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A3725" w:rsidRDefault="00D94648">
      <w:pPr>
        <w:rPr>
          <w:sz w:val="28"/>
          <w:szCs w:val="28"/>
          <w:lang w:eastAsia="ar-SA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3487420</wp:posOffset>
                </wp:positionH>
                <wp:positionV relativeFrom="page">
                  <wp:posOffset>454025</wp:posOffset>
                </wp:positionV>
                <wp:extent cx="636270" cy="800100"/>
                <wp:effectExtent l="0" t="0" r="0" b="0"/>
                <wp:wrapNone/>
                <wp:docPr id="1" name="Рисунок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2"/>
                        <pic:cNvPicPr>
                          <a:picLocks noChangeAspect="1"/>
                        </pic:cNvPicPr>
                      </pic:nvPicPr>
                      <pic:blipFill>
                        <a:blip r:embed="rId8"/>
                        <a:stretch/>
                      </pic:blipFill>
                      <pic:spPr bwMode="auto">
                        <a:xfrm>
                          <a:off x="0" y="0"/>
                          <a:ext cx="63627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z-index:251659264;o:allowoverlap:true;o:allowincell:true;mso-position-horizontal-relative:page;margin-left:274.60pt;mso-position-horizontal:absolute;mso-position-vertical-relative:page;margin-top:35.75pt;mso-position-vertical:absolute;width:50.10pt;height:63.00pt;mso-wrap-distance-left:9.00pt;mso-wrap-distance-top:0.00pt;mso-wrap-distance-right:9.00pt;mso-wrap-distance-bottom:0.00pt;" stroked="f">
                <v:path textboxrect="0,0,0,0"/>
                <v:imagedata r:id="rId13" o:title=""/>
              </v:shape>
            </w:pict>
          </mc:Fallback>
        </mc:AlternateContent>
      </w:r>
    </w:p>
    <w:p w:rsidR="003A3725" w:rsidRDefault="003A3725">
      <w:pPr>
        <w:rPr>
          <w:sz w:val="28"/>
          <w:szCs w:val="28"/>
          <w:lang w:eastAsia="ar-SA"/>
        </w:rPr>
      </w:pPr>
    </w:p>
    <w:p w:rsidR="003A3725" w:rsidRDefault="00D94648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ХАНТЫ-МАНСИЙСКИЙ </w:t>
      </w:r>
    </w:p>
    <w:p w:rsidR="003A3725" w:rsidRDefault="00D94648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МУНИЦИПАЛЬНЫЙ РАЙОН</w:t>
      </w:r>
    </w:p>
    <w:p w:rsidR="003A3725" w:rsidRDefault="00D94648">
      <w:pPr>
        <w:jc w:val="center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Ханты-Мансийский автономный округ – Югра</w:t>
      </w:r>
    </w:p>
    <w:p w:rsidR="003A3725" w:rsidRDefault="003A3725">
      <w:pPr>
        <w:jc w:val="center"/>
        <w:rPr>
          <w:sz w:val="28"/>
          <w:szCs w:val="28"/>
          <w:lang w:eastAsia="en-US"/>
        </w:rPr>
      </w:pPr>
    </w:p>
    <w:p w:rsidR="003A3725" w:rsidRDefault="00D94648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АДМИНИСТРАЦИЯ ХАНТЫ-МАНСИЙСКОГО РАЙОНА</w:t>
      </w:r>
    </w:p>
    <w:p w:rsidR="003A3725" w:rsidRDefault="003A3725">
      <w:pPr>
        <w:jc w:val="center"/>
        <w:rPr>
          <w:b/>
          <w:sz w:val="28"/>
          <w:szCs w:val="28"/>
          <w:lang w:eastAsia="en-US"/>
        </w:rPr>
      </w:pPr>
    </w:p>
    <w:p w:rsidR="003A3725" w:rsidRDefault="00D94648">
      <w:pPr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>Р А С П О Р Я Ж Е Н И Е</w:t>
      </w:r>
    </w:p>
    <w:p w:rsidR="003A3725" w:rsidRDefault="003A3725">
      <w:pPr>
        <w:jc w:val="center"/>
        <w:rPr>
          <w:sz w:val="28"/>
          <w:szCs w:val="28"/>
          <w:lang w:eastAsia="en-US"/>
        </w:rPr>
      </w:pPr>
    </w:p>
    <w:p w:rsidR="003A3725" w:rsidRDefault="00D94648">
      <w:pPr>
        <w:rPr>
          <w:sz w:val="28"/>
          <w:szCs w:val="28"/>
          <w:lang w:eastAsia="en-US"/>
        </w:rPr>
      </w:pPr>
      <w:bookmarkStart w:id="0" w:name="_Hlk224826862"/>
      <w:r>
        <w:rPr>
          <w:sz w:val="28"/>
          <w:szCs w:val="28"/>
          <w:lang w:eastAsia="en-US"/>
        </w:rPr>
        <w:t xml:space="preserve">от </w:t>
      </w:r>
      <w:r w:rsidR="00767769">
        <w:rPr>
          <w:sz w:val="28"/>
          <w:szCs w:val="28"/>
          <w:lang w:eastAsia="en-US"/>
        </w:rPr>
        <w:t>18.03.2026</w:t>
      </w:r>
      <w:r>
        <w:rPr>
          <w:sz w:val="28"/>
          <w:szCs w:val="28"/>
          <w:lang w:eastAsia="en-US"/>
        </w:rPr>
        <w:t xml:space="preserve">                                                                                              № </w:t>
      </w:r>
      <w:r w:rsidR="00767769">
        <w:rPr>
          <w:sz w:val="28"/>
          <w:szCs w:val="28"/>
          <w:lang w:eastAsia="en-US"/>
        </w:rPr>
        <w:t>49-р</w:t>
      </w:r>
    </w:p>
    <w:bookmarkEnd w:id="0"/>
    <w:p w:rsidR="003A3725" w:rsidRDefault="00D94648">
      <w:pPr>
        <w:rPr>
          <w:i/>
          <w:sz w:val="24"/>
          <w:szCs w:val="24"/>
          <w:lang w:eastAsia="en-US"/>
        </w:rPr>
      </w:pPr>
      <w:r>
        <w:rPr>
          <w:i/>
          <w:sz w:val="24"/>
          <w:szCs w:val="24"/>
          <w:lang w:eastAsia="en-US"/>
        </w:rPr>
        <w:t>г. Ханты-Мансийск</w:t>
      </w:r>
    </w:p>
    <w:p w:rsidR="003A3725" w:rsidRDefault="003A3725">
      <w:pPr>
        <w:jc w:val="both"/>
        <w:rPr>
          <w:sz w:val="28"/>
          <w:lang w:eastAsia="ar-SA"/>
        </w:rPr>
      </w:pPr>
    </w:p>
    <w:p w:rsidR="003A3725" w:rsidRDefault="003A3725">
      <w:pPr>
        <w:jc w:val="both"/>
        <w:rPr>
          <w:sz w:val="28"/>
          <w:lang w:eastAsia="ar-SA"/>
        </w:rPr>
      </w:pPr>
    </w:p>
    <w:p w:rsidR="003A3725" w:rsidRDefault="00D9464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Об утверждении Плана мероприятий </w:t>
      </w:r>
    </w:p>
    <w:p w:rsidR="003A3725" w:rsidRDefault="00D94648">
      <w:p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(«дорожной карты») по поддержке </w:t>
      </w:r>
    </w:p>
    <w:p w:rsidR="003A3725" w:rsidRDefault="00D94648">
      <w:pPr>
        <w:tabs>
          <w:tab w:val="left" w:pos="5103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доступа негосударственных </w:t>
      </w:r>
    </w:p>
    <w:p w:rsidR="003A3725" w:rsidRDefault="00D94648">
      <w:pPr>
        <w:tabs>
          <w:tab w:val="left" w:pos="5103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организаций (коммерческих, </w:t>
      </w:r>
    </w:p>
    <w:p w:rsidR="003A3725" w:rsidRDefault="00D94648">
      <w:pPr>
        <w:tabs>
          <w:tab w:val="left" w:pos="5103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некоммерческих) к предоставлению </w:t>
      </w:r>
    </w:p>
    <w:p w:rsidR="003A3725" w:rsidRDefault="00D94648">
      <w:pPr>
        <w:tabs>
          <w:tab w:val="left" w:pos="5103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услуг в социальной сфере </w:t>
      </w:r>
    </w:p>
    <w:p w:rsidR="003A3725" w:rsidRDefault="00D94648">
      <w:pPr>
        <w:tabs>
          <w:tab w:val="left" w:pos="5103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 Ханты-Мансийском районе </w:t>
      </w:r>
    </w:p>
    <w:p w:rsidR="003A3725" w:rsidRDefault="00D94648">
      <w:pPr>
        <w:tabs>
          <w:tab w:val="left" w:pos="5103"/>
        </w:tabs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2026 – 2030 годы</w:t>
      </w:r>
    </w:p>
    <w:p w:rsidR="003A3725" w:rsidRDefault="003A3725">
      <w:pPr>
        <w:pStyle w:val="afa"/>
        <w:tabs>
          <w:tab w:val="left" w:pos="700"/>
        </w:tabs>
        <w:jc w:val="both"/>
        <w:rPr>
          <w:sz w:val="28"/>
          <w:szCs w:val="28"/>
        </w:rPr>
      </w:pPr>
    </w:p>
    <w:p w:rsidR="003A3725" w:rsidRDefault="003A3725">
      <w:pPr>
        <w:pStyle w:val="afa"/>
        <w:tabs>
          <w:tab w:val="left" w:pos="700"/>
        </w:tabs>
        <w:jc w:val="both"/>
        <w:rPr>
          <w:sz w:val="28"/>
          <w:szCs w:val="28"/>
        </w:rPr>
      </w:pPr>
    </w:p>
    <w:p w:rsidR="003A3725" w:rsidRDefault="00D94648">
      <w:pPr>
        <w:ind w:firstLine="709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законом от 12.01.1996 № 7-ФЗ «О некоммерческих организациях», постановлением Правительства </w:t>
      </w:r>
      <w:r>
        <w:rPr>
          <w:sz w:val="28"/>
          <w:szCs w:val="28"/>
        </w:rPr>
        <w:br/>
        <w:t xml:space="preserve">Ханты-Мансийского автономного округа – Югры от 30.12.2021 № 633-п </w:t>
      </w:r>
      <w:r>
        <w:rPr>
          <w:sz w:val="28"/>
          <w:szCs w:val="28"/>
        </w:rPr>
        <w:br/>
        <w:t xml:space="preserve">«О мерах по реализации государственной программы Ханты-Мансийского автономного округа – Югры «Развитие экономического потенциала», </w:t>
      </w:r>
      <w:r>
        <w:rPr>
          <w:sz w:val="28"/>
          <w:szCs w:val="28"/>
        </w:rPr>
        <w:br/>
        <w:t xml:space="preserve">в целях формирования рейтинга муниципальных образований </w:t>
      </w:r>
      <w:r>
        <w:rPr>
          <w:sz w:val="28"/>
          <w:szCs w:val="28"/>
        </w:rPr>
        <w:br/>
        <w:t xml:space="preserve">Ханты-Мансийского автономного округа – Югры по итогам реализации механизмов поддержки социально ориентированных некоммерческих организаций и социального предпринимательства, обеспечения доступа негосударственных организаций к предоставлению услуг (работ) </w:t>
      </w:r>
      <w:r>
        <w:rPr>
          <w:sz w:val="28"/>
          <w:szCs w:val="28"/>
        </w:rPr>
        <w:br/>
        <w:t>в социальной сфере и внедрения конкурентных способов оказания муниципальных услуг (работ) в социальной сфере, руководствуясь статьей 32 Устава Ханты-Мансийского района:</w:t>
      </w:r>
    </w:p>
    <w:p w:rsidR="003A3725" w:rsidRDefault="00D94648">
      <w:pPr>
        <w:widowControl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</w:p>
    <w:p w:rsidR="003A3725" w:rsidRDefault="00D94648">
      <w:pPr>
        <w:ind w:left="1" w:firstLine="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1. Утвердить:</w:t>
      </w:r>
    </w:p>
    <w:p w:rsidR="003A3725" w:rsidRDefault="00D94648">
      <w:pPr>
        <w:ind w:left="2" w:firstLine="1"/>
        <w:jc w:val="both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          1.1. Информацию об </w:t>
      </w:r>
      <w:r>
        <w:rPr>
          <w:rFonts w:eastAsia="Arial"/>
          <w:iCs/>
          <w:color w:val="000000" w:themeColor="text1"/>
          <w:sz w:val="28"/>
          <w:szCs w:val="28"/>
        </w:rPr>
        <w:t xml:space="preserve">итогах развития негосударственного сектора экономики в социальной сфере Ханты-Мансийского района </w:t>
      </w:r>
      <w:r>
        <w:rPr>
          <w:rFonts w:eastAsia="Arial"/>
          <w:iCs/>
          <w:color w:val="000000" w:themeColor="text1"/>
          <w:sz w:val="28"/>
          <w:szCs w:val="28"/>
        </w:rPr>
        <w:br/>
        <w:t xml:space="preserve">за 2022 – 2025 годы и об основных направлениях работы по поддержке доступа негосударственных организаций (коммерческих, некоммерческих) </w:t>
      </w:r>
      <w:r>
        <w:rPr>
          <w:rFonts w:eastAsia="Arial"/>
          <w:iCs/>
          <w:color w:val="000000" w:themeColor="text1"/>
          <w:sz w:val="28"/>
          <w:szCs w:val="28"/>
        </w:rPr>
        <w:lastRenderedPageBreak/>
        <w:t xml:space="preserve">к предоставлению услуг в социальной сфере в Ханты-Мансийском районе на 2026 – 2030 годы </w:t>
      </w:r>
      <w:r>
        <w:rPr>
          <w:color w:val="000000" w:themeColor="text1"/>
          <w:sz w:val="28"/>
          <w:szCs w:val="28"/>
        </w:rPr>
        <w:t>согласно приложению 1 к настоящему распоряжению.</w:t>
      </w:r>
    </w:p>
    <w:p w:rsidR="003A3725" w:rsidRDefault="00D94648">
      <w:pPr>
        <w:ind w:left="1" w:firstLine="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1.2. План мероприятий («дорожную карту») по поддержке доступа негосударственных организаций (коммерческих, некоммерческих) </w:t>
      </w:r>
      <w:r>
        <w:rPr>
          <w:color w:val="000000" w:themeColor="text1"/>
          <w:sz w:val="28"/>
          <w:szCs w:val="28"/>
        </w:rPr>
        <w:br/>
        <w:t>к предоставлению услуг в социальной сфере в Ханты-Мансийском районе на 2026 – 2030 годы согласно приложению 2 к настоящему распоряжению.</w:t>
      </w:r>
    </w:p>
    <w:p w:rsidR="003A3725" w:rsidRDefault="00D94648">
      <w:pPr>
        <w:ind w:right="-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1.3. </w:t>
      </w:r>
      <w:r>
        <w:rPr>
          <w:sz w:val="28"/>
          <w:szCs w:val="28"/>
        </w:rPr>
        <w:t xml:space="preserve">Целевые индикаторы </w:t>
      </w:r>
      <w:r>
        <w:rPr>
          <w:color w:val="000000" w:themeColor="text1"/>
          <w:sz w:val="28"/>
          <w:szCs w:val="28"/>
        </w:rPr>
        <w:t xml:space="preserve">Плана мероприятий («дорожной карты») </w:t>
      </w:r>
      <w:r>
        <w:rPr>
          <w:color w:val="000000" w:themeColor="text1"/>
          <w:sz w:val="28"/>
          <w:szCs w:val="28"/>
        </w:rPr>
        <w:br/>
        <w:t xml:space="preserve">по поддержке доступа негосударственных организаций (коммерческих, некоммерческих) к предоставлению услуг в социальной сфере </w:t>
      </w:r>
      <w:r>
        <w:rPr>
          <w:color w:val="000000" w:themeColor="text1"/>
          <w:sz w:val="28"/>
          <w:szCs w:val="28"/>
        </w:rPr>
        <w:br/>
        <w:t xml:space="preserve">в Ханты-Мансийском районе на 2026 – 2030 годы согласно приложению 3 </w:t>
      </w:r>
      <w:r>
        <w:rPr>
          <w:color w:val="000000" w:themeColor="text1"/>
          <w:sz w:val="28"/>
          <w:szCs w:val="28"/>
        </w:rPr>
        <w:br/>
        <w:t>к настоящему распоряжению.</w:t>
      </w:r>
    </w:p>
    <w:p w:rsidR="003A3725" w:rsidRDefault="00D94648">
      <w:pPr>
        <w:pStyle w:val="210"/>
        <w:spacing w:after="0" w:line="240" w:lineRule="auto"/>
        <w:ind w:firstLine="709"/>
        <w:jc w:val="both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2. </w:t>
      </w:r>
      <w:r>
        <w:rPr>
          <w:sz w:val="28"/>
          <w:szCs w:val="28"/>
        </w:rPr>
        <w:t>Опубликовать настоящее распоряжение в газете «Наш район», официальном сетевом издании «Наш район Ханты-Мансийский», разместить на официальном сайте Администрации Ханты-Мансийского района.</w:t>
      </w:r>
    </w:p>
    <w:p w:rsidR="003A3725" w:rsidRDefault="00D94648">
      <w:pPr>
        <w:widowControl w:val="0"/>
        <w:tabs>
          <w:tab w:val="left" w:pos="993"/>
          <w:tab w:val="left" w:pos="1843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 Контроль за выполнением настоящего распоряжения оставляю </w:t>
      </w:r>
      <w:r>
        <w:rPr>
          <w:sz w:val="28"/>
          <w:szCs w:val="28"/>
        </w:rPr>
        <w:br/>
        <w:t>за собой</w:t>
      </w:r>
      <w:r>
        <w:rPr>
          <w:color w:val="000000" w:themeColor="text1"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3A3725" w:rsidRDefault="003A3725">
      <w:pPr>
        <w:pStyle w:val="afa"/>
        <w:tabs>
          <w:tab w:val="left" w:pos="0"/>
          <w:tab w:val="left" w:pos="300"/>
          <w:tab w:val="left" w:pos="10773"/>
        </w:tabs>
        <w:rPr>
          <w:sz w:val="28"/>
          <w:szCs w:val="28"/>
        </w:rPr>
      </w:pPr>
    </w:p>
    <w:p w:rsidR="003A3725" w:rsidRDefault="003A3725">
      <w:pPr>
        <w:pStyle w:val="afa"/>
        <w:tabs>
          <w:tab w:val="left" w:pos="0"/>
          <w:tab w:val="left" w:pos="300"/>
          <w:tab w:val="left" w:pos="10773"/>
        </w:tabs>
        <w:rPr>
          <w:sz w:val="28"/>
          <w:szCs w:val="28"/>
        </w:rPr>
      </w:pPr>
    </w:p>
    <w:p w:rsidR="003A3725" w:rsidRDefault="003A3725">
      <w:pPr>
        <w:widowControl w:val="0"/>
        <w:rPr>
          <w:rFonts w:eastAsiaTheme="minorHAnsi"/>
          <w:color w:val="000000" w:themeColor="text1"/>
          <w:sz w:val="28"/>
          <w:szCs w:val="28"/>
          <w:lang w:eastAsia="en-US"/>
        </w:rPr>
      </w:pPr>
    </w:p>
    <w:p w:rsidR="003A3725" w:rsidRDefault="00D94648">
      <w:pPr>
        <w:widowControl w:val="0"/>
        <w:rPr>
          <w:rFonts w:eastAsiaTheme="minorHAnsi"/>
          <w:color w:val="000000" w:themeColor="text1"/>
          <w:sz w:val="28"/>
          <w:szCs w:val="28"/>
          <w:lang w:eastAsia="en-US"/>
        </w:rPr>
      </w:pPr>
      <w:r>
        <w:rPr>
          <w:rFonts w:eastAsiaTheme="minorHAnsi"/>
          <w:color w:val="000000" w:themeColor="text1"/>
          <w:sz w:val="28"/>
          <w:szCs w:val="28"/>
          <w:lang w:eastAsia="en-US"/>
        </w:rPr>
        <w:t>Глава Ханты-Мансийского района                                               К.Р.Минулин</w:t>
      </w: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rPr>
          <w:sz w:val="28"/>
          <w:szCs w:val="28"/>
        </w:rPr>
      </w:pPr>
    </w:p>
    <w:p w:rsidR="003A3725" w:rsidRDefault="003A3725">
      <w:pPr>
        <w:rPr>
          <w:sz w:val="28"/>
          <w:szCs w:val="28"/>
        </w:rPr>
      </w:pPr>
    </w:p>
    <w:p w:rsidR="003A3725" w:rsidRDefault="00D9464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1</w:t>
      </w:r>
    </w:p>
    <w:p w:rsidR="003A3725" w:rsidRDefault="00D94648">
      <w:pPr>
        <w:jc w:val="right"/>
        <w:rPr>
          <w:sz w:val="28"/>
          <w:szCs w:val="28"/>
        </w:rPr>
      </w:pPr>
      <w:r>
        <w:rPr>
          <w:sz w:val="28"/>
          <w:szCs w:val="28"/>
        </w:rPr>
        <w:t>к распоряжению Администрации</w:t>
      </w:r>
    </w:p>
    <w:p w:rsidR="003A3725" w:rsidRDefault="00D946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района </w:t>
      </w:r>
    </w:p>
    <w:p w:rsidR="00767769" w:rsidRDefault="00767769" w:rsidP="0076776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 18.03.2026 № 49-р</w:t>
      </w:r>
    </w:p>
    <w:p w:rsidR="003A3725" w:rsidRDefault="003A3725">
      <w:pPr>
        <w:rPr>
          <w:color w:val="000000" w:themeColor="text1"/>
          <w:sz w:val="28"/>
          <w:szCs w:val="28"/>
        </w:rPr>
      </w:pPr>
    </w:p>
    <w:p w:rsidR="003A3725" w:rsidRDefault="00D94648">
      <w:pPr>
        <w:jc w:val="center"/>
        <w:rPr>
          <w:rFonts w:eastAsia="Arial"/>
          <w:iCs/>
          <w:color w:val="000000" w:themeColor="text1"/>
          <w:sz w:val="28"/>
          <w:szCs w:val="28"/>
        </w:rPr>
      </w:pPr>
      <w:r>
        <w:rPr>
          <w:rFonts w:eastAsia="Arial"/>
          <w:iCs/>
          <w:color w:val="000000" w:themeColor="text1"/>
          <w:sz w:val="28"/>
          <w:szCs w:val="28"/>
        </w:rPr>
        <w:t xml:space="preserve">Информация об итогах развития негосударственного сектора экономики </w:t>
      </w:r>
    </w:p>
    <w:p w:rsidR="003A3725" w:rsidRDefault="00D94648">
      <w:pPr>
        <w:jc w:val="center"/>
        <w:rPr>
          <w:rFonts w:eastAsia="Arial"/>
          <w:iCs/>
          <w:color w:val="000000" w:themeColor="text1"/>
          <w:sz w:val="28"/>
          <w:szCs w:val="28"/>
        </w:rPr>
      </w:pPr>
      <w:r>
        <w:rPr>
          <w:rFonts w:eastAsia="Arial"/>
          <w:iCs/>
          <w:color w:val="000000" w:themeColor="text1"/>
          <w:sz w:val="28"/>
          <w:szCs w:val="28"/>
        </w:rPr>
        <w:t xml:space="preserve">в социальной сфере Ханты-Мансийского района за 2022 – 2025 годы </w:t>
      </w:r>
    </w:p>
    <w:p w:rsidR="003A3725" w:rsidRDefault="00D94648">
      <w:pPr>
        <w:jc w:val="center"/>
        <w:rPr>
          <w:rFonts w:eastAsia="Arial"/>
          <w:iCs/>
          <w:color w:val="000000" w:themeColor="text1"/>
          <w:sz w:val="28"/>
          <w:szCs w:val="28"/>
        </w:rPr>
      </w:pPr>
      <w:r>
        <w:rPr>
          <w:rFonts w:eastAsia="Arial"/>
          <w:iCs/>
          <w:color w:val="000000" w:themeColor="text1"/>
          <w:sz w:val="28"/>
          <w:szCs w:val="28"/>
        </w:rPr>
        <w:t xml:space="preserve">и об основных направлениях работы по поддержке доступа негосударственных организаций (коммерческих, некоммерческих) </w:t>
      </w:r>
    </w:p>
    <w:p w:rsidR="003A3725" w:rsidRDefault="00D94648">
      <w:pPr>
        <w:jc w:val="center"/>
        <w:rPr>
          <w:rFonts w:eastAsia="Arial"/>
          <w:iCs/>
          <w:color w:val="000000" w:themeColor="text1"/>
          <w:sz w:val="28"/>
          <w:szCs w:val="28"/>
        </w:rPr>
      </w:pPr>
      <w:r>
        <w:rPr>
          <w:rFonts w:eastAsia="Arial"/>
          <w:iCs/>
          <w:color w:val="000000" w:themeColor="text1"/>
          <w:sz w:val="28"/>
          <w:szCs w:val="28"/>
        </w:rPr>
        <w:t>к предоставлению услуг в социальной сфере в Ханты-Мансийском районе на 2026 – 2030 годы</w:t>
      </w:r>
    </w:p>
    <w:p w:rsidR="003A3725" w:rsidRDefault="003A3725">
      <w:pPr>
        <w:jc w:val="right"/>
        <w:rPr>
          <w:rFonts w:eastAsia="Arial"/>
          <w:iCs/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D94648">
      <w:pPr>
        <w:jc w:val="both"/>
        <w:rPr>
          <w:color w:val="FF0000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>
        <w:rPr>
          <w:sz w:val="28"/>
          <w:szCs w:val="28"/>
        </w:rPr>
        <w:t xml:space="preserve">Администрацией Ханты-Мансийского района ведется планомерная работа по решению комплекса задач, направленных на создание условий развития деятельности социально ориентированных </w:t>
      </w:r>
      <w:r>
        <w:rPr>
          <w:color w:val="000000" w:themeColor="text1"/>
          <w:sz w:val="28"/>
          <w:szCs w:val="28"/>
        </w:rPr>
        <w:t xml:space="preserve">некоммерческих организаций (далее – СОНКО) и социального предпринимательства </w:t>
      </w:r>
      <w:r>
        <w:rPr>
          <w:color w:val="000000" w:themeColor="text1"/>
          <w:sz w:val="28"/>
          <w:szCs w:val="28"/>
        </w:rPr>
        <w:br/>
        <w:t>на территории Ханты-Мансийского района.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Поддержка СОНКО и социального предпринимательства оказывается в нескольких ключевых форматах.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1. Финансовая поддержка является основным инструментом стимулирования деятельности СОНКО, позволяющим реализовывать значимые социальные проекты.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Основой финансовой поддержки СОНКО и социального предпринимательства в Ханты-Мансийском районе являются муниципальные программы Ханты-Мансийского района: 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«Развитие гражданского общества Ханты-Мансийского района»;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«Культура Ханты-Мансийского района»;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«Развитие спорта и туризма на территории Ханты-Мансийского района»;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«Укрепление межнационального и межконфессионального согласия, поддержка и развитие языков и культуры народов Российской Федерации, проживающих на территории муниципального образования </w:t>
      </w:r>
      <w:r>
        <w:rPr>
          <w:sz w:val="28"/>
          <w:szCs w:val="28"/>
        </w:rPr>
        <w:br/>
        <w:t>Ханты-Мансийский район, обеспечение социальной и культурной адаптации мигрантов, профилактика межнациональных (межэтнических) конфликтов»;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«Развитие малого и среднего предпринимательства</w:t>
      </w:r>
      <w:r>
        <w:t xml:space="preserve"> </w:t>
      </w:r>
      <w:r>
        <w:rPr>
          <w:sz w:val="28"/>
          <w:szCs w:val="28"/>
        </w:rPr>
        <w:t>на территории Ханты-Мансийского района».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Финансовая поддержка СОНКО предоставляется в форме субсидии </w:t>
      </w:r>
      <w:r>
        <w:rPr>
          <w:sz w:val="28"/>
          <w:szCs w:val="28"/>
        </w:rPr>
        <w:br/>
        <w:t xml:space="preserve">на финансовое обеспечение затрат, связанных с организацией </w:t>
      </w:r>
      <w:r>
        <w:rPr>
          <w:sz w:val="28"/>
          <w:szCs w:val="28"/>
        </w:rPr>
        <w:br/>
        <w:t xml:space="preserve">и проведением социально значимых общественных мероприятий </w:t>
      </w:r>
      <w:r>
        <w:rPr>
          <w:sz w:val="28"/>
          <w:szCs w:val="28"/>
        </w:rPr>
        <w:br/>
        <w:t xml:space="preserve">и (или) проектов на территории Ханты-Мансийского района, регулируется Порядком предоставления субсидий из бюджета Ханты-Мансийского района юридическим лицам (за исключением государственных, </w:t>
      </w:r>
      <w:r>
        <w:rPr>
          <w:sz w:val="28"/>
          <w:szCs w:val="28"/>
        </w:rPr>
        <w:lastRenderedPageBreak/>
        <w:t>муниципальных учреждений) на проведение социально значимых общественных мероприятий и (или) проектов, утвержденным постановлением Администрации Ханты-Мансийского района от 24.03.2025 № 197.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субъектов малого и среднего предпринимательства, имеющих статус «социальное предприятие», в Ханты-Мансийском районе в 2025 году введена новая мера финансовой поддержки в форме субсидии </w:t>
      </w:r>
      <w:r>
        <w:rPr>
          <w:sz w:val="28"/>
          <w:szCs w:val="28"/>
        </w:rPr>
        <w:br/>
        <w:t>на возмещение части затрат по аренде нежилых помещений, приобретению оборудования (основных средств) и лицензионных программных продуктов, созданию и (или) развитию центров (групп) времяпрепровождения детей и спортивных центров, прохождению курсов повышения квалификации, профессиональной переподготовки, выплатам по передаче прав на франшизу (паушальный взнос).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Постановлением Администрации Ханты-Мансийского района </w:t>
      </w:r>
      <w:r>
        <w:rPr>
          <w:sz w:val="28"/>
          <w:szCs w:val="28"/>
        </w:rPr>
        <w:br/>
        <w:t xml:space="preserve">от 05.12.2023 № 846 утвержден Порядок предоставления грантов в форме субсидии победителям Конкурса на Грант Главы Ханты-Мансийского района, регулирующий финансовое обеспечение социально значимых проектов некоммерческих организаций на осуществление деятельности </w:t>
      </w:r>
      <w:r>
        <w:rPr>
          <w:sz w:val="28"/>
          <w:szCs w:val="28"/>
        </w:rPr>
        <w:br/>
        <w:t>по направлениям, установленным пунктом 1 статьи 31.1 Федерального закона от 12.01.1996 № 7-ФЗ «О некоммерческих организациях».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Для успешной работы организациям необходима материальная база, доступ к которой значительно упрощается благодаря мерам имущественной поддержки. Постановлением Администрации </w:t>
      </w:r>
      <w:r>
        <w:rPr>
          <w:sz w:val="28"/>
          <w:szCs w:val="28"/>
        </w:rPr>
        <w:br/>
        <w:t>Ханты-Мансийского района от 16.03.2021 № 64 утвержден перечень муниципального имущества Ханты-Мансийского района, предназначенного для предоставления во владение и (или) пользование социально ориентированным некоммерческим организациям.</w:t>
      </w:r>
    </w:p>
    <w:p w:rsidR="003A3725" w:rsidRDefault="00D9464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Развитие потенциала и повышение компетенций руководителей </w:t>
      </w:r>
      <w:r>
        <w:rPr>
          <w:sz w:val="28"/>
          <w:szCs w:val="28"/>
        </w:rPr>
        <w:br/>
        <w:t>и сотрудников СОНКО – ключевой фактор устойчивости организаций.</w:t>
      </w:r>
    </w:p>
    <w:p w:rsidR="003A3725" w:rsidRDefault="00D94648">
      <w:pPr>
        <w:shd w:val="clear" w:color="auto" w:fill="FFFFFF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 базе муниципального автономного учреждения</w:t>
      </w:r>
      <w:r>
        <w:rPr>
          <w:sz w:val="28"/>
          <w:szCs w:val="28"/>
        </w:rPr>
        <w:br/>
        <w:t xml:space="preserve">Ханты-Мансийского района «Организационно-методический центр» осуществляет деятельность муниципальный ресурсный центр </w:t>
      </w:r>
      <w:r>
        <w:rPr>
          <w:sz w:val="28"/>
          <w:szCs w:val="28"/>
        </w:rPr>
        <w:br/>
        <w:t>для некоммерческих организаций (далее – Ресурсный центр), деятельность которого направлена на оказание информационной, консультационной, организационной и иной ресурсной поддержки СОНКО, добровольческим (волонтерским) организациям, гражданским активистам, инициативным группам граждан, креативным сообществам Ханты-Мансийского района.</w:t>
      </w:r>
    </w:p>
    <w:p w:rsidR="003A3725" w:rsidRDefault="00D94648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сфере оказания социальных услуг на территории </w:t>
      </w:r>
      <w:r>
        <w:rPr>
          <w:sz w:val="28"/>
          <w:szCs w:val="28"/>
        </w:rPr>
        <w:br/>
        <w:t xml:space="preserve">Ханты-Мансийского района состоят в отраслевом реестре 127 организаций и субъектов СМП, основными направлениями деятельности которых являются развитие сфер культуры, туризма, спорта, межнационального </w:t>
      </w:r>
      <w:r>
        <w:rPr>
          <w:sz w:val="28"/>
          <w:szCs w:val="28"/>
        </w:rPr>
        <w:br/>
        <w:t>и межконфессионального мира и согласия, а также реализация дополнительных образовательных программ, в том числе военно-патриотического воспитания.</w:t>
      </w:r>
    </w:p>
    <w:p w:rsidR="003A3725" w:rsidRDefault="00D94648">
      <w:pPr>
        <w:pStyle w:val="afa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Реализация социально значимых проектов осуществляется через платформы: </w:t>
      </w:r>
      <w:r>
        <w:rPr>
          <w:bCs/>
          <w:sz w:val="28"/>
          <w:szCs w:val="28"/>
        </w:rPr>
        <w:t>«Грант Президента Российской Федерации» на реализацию проектов в области культуры, искусства и креативных (творческих) индустрий</w:t>
      </w:r>
      <w:r>
        <w:rPr>
          <w:sz w:val="28"/>
          <w:szCs w:val="28"/>
        </w:rPr>
        <w:t>, «</w:t>
      </w:r>
      <w:proofErr w:type="spellStart"/>
      <w:r>
        <w:rPr>
          <w:sz w:val="28"/>
          <w:szCs w:val="28"/>
        </w:rPr>
        <w:t>Добро.рф</w:t>
      </w:r>
      <w:proofErr w:type="spellEnd"/>
      <w:r>
        <w:rPr>
          <w:sz w:val="28"/>
          <w:szCs w:val="28"/>
        </w:rPr>
        <w:t>»,</w:t>
      </w:r>
      <w:r>
        <w:rPr>
          <w:sz w:val="26"/>
          <w:szCs w:val="26"/>
        </w:rPr>
        <w:t xml:space="preserve"> «</w:t>
      </w:r>
      <w:proofErr w:type="spellStart"/>
      <w:r>
        <w:rPr>
          <w:sz w:val="28"/>
          <w:szCs w:val="28"/>
        </w:rPr>
        <w:t>ГрантгубернатораЮгры.рф</w:t>
      </w:r>
      <w:proofErr w:type="spellEnd"/>
      <w:r>
        <w:rPr>
          <w:sz w:val="28"/>
          <w:szCs w:val="28"/>
        </w:rPr>
        <w:t>», «Международная премия «Мы вместе», «Фонд Тимченко», «</w:t>
      </w:r>
      <w:proofErr w:type="spellStart"/>
      <w:r>
        <w:rPr>
          <w:sz w:val="28"/>
          <w:szCs w:val="28"/>
        </w:rPr>
        <w:t>Росмолодежь.Гранты</w:t>
      </w:r>
      <w:proofErr w:type="spellEnd"/>
      <w:r>
        <w:rPr>
          <w:sz w:val="28"/>
          <w:szCs w:val="28"/>
        </w:rPr>
        <w:t>», «Молоды душой», «Родные города», «ЁЛКА». Благодаря эффективному механизму сопровождения, осуществляемому Ресурсным центром, ежегодно увеличивается число заявляемых на конкурсы проектов и проектов-победителей.</w:t>
      </w:r>
    </w:p>
    <w:p w:rsidR="003A3725" w:rsidRDefault="00D94648">
      <w:pPr>
        <w:tabs>
          <w:tab w:val="num" w:pos="0"/>
        </w:tabs>
        <w:ind w:firstLine="36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В рейтинге реализации механизмов поддержки социально ориентированных некоммерческих организаций и социального предпринимательства по итогам 2024 года Ханты-Мансийский район </w:t>
      </w:r>
      <w:r>
        <w:rPr>
          <w:sz w:val="28"/>
          <w:szCs w:val="28"/>
        </w:rPr>
        <w:br/>
        <w:t xml:space="preserve">занял среди муниципальных районов 6 место (2023 год – 2 место, </w:t>
      </w:r>
      <w:r>
        <w:rPr>
          <w:sz w:val="28"/>
          <w:szCs w:val="28"/>
        </w:rPr>
        <w:br/>
        <w:t>2022 год – 4 место).</w:t>
      </w:r>
    </w:p>
    <w:p w:rsidR="003A3725" w:rsidRDefault="00D9464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Основными целями Плана мероприятий («дорожной карты») </w:t>
      </w:r>
      <w:r>
        <w:rPr>
          <w:color w:val="000000" w:themeColor="text1"/>
          <w:sz w:val="28"/>
          <w:szCs w:val="28"/>
        </w:rPr>
        <w:br/>
        <w:t xml:space="preserve">по поддержке доступа негосударственных организаций (коммерческих, некоммерческих) к предоставлению услуг в социальной сфере </w:t>
      </w:r>
      <w:r>
        <w:rPr>
          <w:color w:val="000000" w:themeColor="text1"/>
          <w:sz w:val="28"/>
          <w:szCs w:val="28"/>
        </w:rPr>
        <w:br/>
        <w:t>в Ханты-Мансийском районе на 2026 – 2030 годы (далее – Дорожная карта), являются:</w:t>
      </w:r>
    </w:p>
    <w:p w:rsidR="003A3725" w:rsidRDefault="00D94648">
      <w:pPr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  <w:t xml:space="preserve">совершенствование доступа негосударственных поставщиков </w:t>
      </w:r>
      <w:r>
        <w:rPr>
          <w:color w:val="000000" w:themeColor="text1"/>
          <w:sz w:val="28"/>
          <w:szCs w:val="28"/>
        </w:rPr>
        <w:br/>
        <w:t xml:space="preserve">к предоставлению населению услуг в социальной сфере, финансируемых </w:t>
      </w:r>
      <w:r>
        <w:rPr>
          <w:color w:val="000000" w:themeColor="text1"/>
          <w:sz w:val="28"/>
          <w:szCs w:val="28"/>
        </w:rPr>
        <w:br/>
        <w:t>из бюджета Ханты-Мансийского района;</w:t>
      </w:r>
    </w:p>
    <w:p w:rsidR="003A3725" w:rsidRDefault="00D946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</w:t>
      </w:r>
      <w:r>
        <w:rPr>
          <w:rFonts w:ascii="Times New Roman" w:hAnsi="Times New Roman" w:cs="Times New Roman"/>
          <w:color w:val="000000" w:themeColor="text1"/>
          <w:sz w:val="28"/>
          <w:szCs w:val="28"/>
          <w:highlight w:val="white"/>
        </w:rPr>
        <w:t>азвитие механизмов персонифицированного финансирования (сертификаты) на оказание услуг социальной сферы для отдельных категорий граждан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;</w:t>
      </w:r>
    </w:p>
    <w:p w:rsidR="003A3725" w:rsidRDefault="00D946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внедрение межмуниципальных принципов развития социальной сферы, которые возможно сбалансировать посредством обмена опытом (лучшими практиками) работы с СОНКО и социальным бизнесом, реализацией совместных социальных проектов;</w:t>
      </w:r>
    </w:p>
    <w:p w:rsidR="003A3725" w:rsidRDefault="00D946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туристической привлекательности Ханты-Мансийского района, разработка туристических продуктов, развитие туристической инфраструктуры;</w:t>
      </w:r>
    </w:p>
    <w:p w:rsidR="003A3725" w:rsidRDefault="00D946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развитие компетенций и профессиональных навыков негосударственных поставщиков в социальной сфере, содействие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br/>
        <w:t>в реализации обучающих программ, развитии института наставничества для начинающих негосударственных поставщиков услуг в социальной сфере.</w:t>
      </w:r>
    </w:p>
    <w:p w:rsidR="003A3725" w:rsidRDefault="00D94648"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pBd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Для достижения поставленных целей органы Администрации      Ханты-Мансийского района, учреждения, осуществляющие деятельность </w:t>
      </w:r>
      <w:r>
        <w:rPr>
          <w:color w:val="000000" w:themeColor="text1"/>
          <w:sz w:val="28"/>
          <w:szCs w:val="28"/>
        </w:rPr>
        <w:br/>
        <w:t xml:space="preserve">в социальной сфере на территории Ханты-Мансийского района, представители некоммерческого сектора, инициативная общественность принимают участие в определении приоритетов муниципального развития, касающихся достижения социальных целей, оценке потенциала негосударственных поставщиков с точки зрения участия в реализации стратегических задач, </w:t>
      </w:r>
      <w:r>
        <w:rPr>
          <w:rFonts w:eastAsia="Arial"/>
          <w:color w:val="000000" w:themeColor="text1"/>
          <w:sz w:val="28"/>
          <w:szCs w:val="28"/>
        </w:rPr>
        <w:t xml:space="preserve">повышении интереса к СОНКО и социальному </w:t>
      </w:r>
      <w:r>
        <w:rPr>
          <w:rFonts w:eastAsia="Arial"/>
          <w:color w:val="000000" w:themeColor="text1"/>
          <w:sz w:val="28"/>
          <w:szCs w:val="28"/>
        </w:rPr>
        <w:lastRenderedPageBreak/>
        <w:t xml:space="preserve">бизнесу как к потенциальным  работодателям, особенно среди молодежи </w:t>
      </w:r>
      <w:r>
        <w:rPr>
          <w:rFonts w:eastAsia="Arial"/>
          <w:color w:val="000000" w:themeColor="text1"/>
          <w:sz w:val="28"/>
          <w:szCs w:val="28"/>
        </w:rPr>
        <w:br/>
        <w:t>(на стадии получения образования (профессии), волонтеров (добровольцев)).</w:t>
      </w:r>
    </w:p>
    <w:p w:rsidR="003A3725" w:rsidRDefault="00D9464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Мероприятия Дорожной карты направлены на достижение следующих </w:t>
      </w:r>
      <w:r>
        <w:rPr>
          <w:bCs/>
          <w:color w:val="000000" w:themeColor="text1"/>
          <w:sz w:val="28"/>
          <w:szCs w:val="28"/>
        </w:rPr>
        <w:t>результатов</w:t>
      </w:r>
      <w:r>
        <w:rPr>
          <w:color w:val="000000" w:themeColor="text1"/>
          <w:sz w:val="28"/>
          <w:szCs w:val="28"/>
        </w:rPr>
        <w:t xml:space="preserve">: </w:t>
      </w:r>
    </w:p>
    <w:p w:rsidR="003A3725" w:rsidRDefault="00D946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расширение перечня негосударственных поставщиков и видов услуг социальной сферы; </w:t>
      </w:r>
    </w:p>
    <w:p w:rsidR="003A3725" w:rsidRDefault="00D94648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повышение эффективности использования бюджетных средств, выделяемых на предоставление гражданам услуг в социальной сфере;</w:t>
      </w:r>
    </w:p>
    <w:p w:rsidR="003A3725" w:rsidRDefault="00D9464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rFonts w:eastAsia="Arial"/>
          <w:color w:val="000000" w:themeColor="text1"/>
          <w:sz w:val="28"/>
          <w:szCs w:val="28"/>
        </w:rPr>
        <w:t>оптимизация мер государственной (муниципальной) поддержки негосударственных поставщиков (СОНКО и социальных предпринимателей) услуг социальной сферы</w:t>
      </w:r>
      <w:r>
        <w:rPr>
          <w:color w:val="000000" w:themeColor="text1"/>
          <w:sz w:val="28"/>
          <w:szCs w:val="28"/>
        </w:rPr>
        <w:t>;</w:t>
      </w:r>
    </w:p>
    <w:p w:rsidR="003A3725" w:rsidRDefault="00D9464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повышение устойчивости негосударственного сектора экономики </w:t>
      </w:r>
      <w:r>
        <w:rPr>
          <w:color w:val="000000" w:themeColor="text1"/>
          <w:sz w:val="28"/>
          <w:szCs w:val="28"/>
        </w:rPr>
        <w:br/>
        <w:t>в социальной сфере (обучение управленческим навыкам, оптимизация административных процессов, привлечение внебюджетного финансирования);</w:t>
      </w:r>
    </w:p>
    <w:p w:rsidR="003A3725" w:rsidRDefault="00D94648">
      <w:pPr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создание условий для развития негосударственных поставщиков </w:t>
      </w:r>
      <w:r>
        <w:rPr>
          <w:color w:val="000000" w:themeColor="text1"/>
          <w:sz w:val="28"/>
          <w:szCs w:val="28"/>
        </w:rPr>
        <w:br/>
        <w:t>в социальной сфере посредством создания благоприятных организационных и экономических условий ведения деятельности (финансовая, имущественная, образовательная, консультационная и иная поддержка).</w:t>
      </w:r>
    </w:p>
    <w:p w:rsidR="003A3725" w:rsidRDefault="003A3725">
      <w:pPr>
        <w:pStyle w:val="ConsPlusNormal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color w:val="000000" w:themeColor="text1"/>
          <w:sz w:val="28"/>
          <w:szCs w:val="28"/>
        </w:rPr>
      </w:pPr>
    </w:p>
    <w:p w:rsidR="003A3725" w:rsidRDefault="003A3725">
      <w:pPr>
        <w:rPr>
          <w:color w:val="000000" w:themeColor="text1"/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D94648">
      <w:pPr>
        <w:ind w:left="1" w:firstLine="1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</w:t>
      </w:r>
    </w:p>
    <w:p w:rsidR="003A3725" w:rsidRDefault="003A3725">
      <w:pPr>
        <w:jc w:val="right"/>
        <w:rPr>
          <w:sz w:val="28"/>
          <w:szCs w:val="28"/>
        </w:rPr>
        <w:sectPr w:rsidR="003A3725">
          <w:headerReference w:type="default" r:id="rId14"/>
          <w:headerReference w:type="first" r:id="rId15"/>
          <w:type w:val="continuous"/>
          <w:pgSz w:w="11906" w:h="16838"/>
          <w:pgMar w:top="1418" w:right="1276" w:bottom="1134" w:left="1559" w:header="720" w:footer="720" w:gutter="0"/>
          <w:cols w:space="720"/>
          <w:titlePg/>
          <w:docGrid w:linePitch="360"/>
        </w:sectPr>
      </w:pPr>
    </w:p>
    <w:p w:rsidR="003A3725" w:rsidRDefault="00D9464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2</w:t>
      </w:r>
    </w:p>
    <w:p w:rsidR="003A3725" w:rsidRDefault="00D94648">
      <w:pPr>
        <w:jc w:val="right"/>
        <w:rPr>
          <w:sz w:val="28"/>
          <w:szCs w:val="28"/>
        </w:rPr>
      </w:pPr>
      <w:r>
        <w:rPr>
          <w:sz w:val="28"/>
          <w:szCs w:val="28"/>
        </w:rPr>
        <w:t>к распоряжению Администрации</w:t>
      </w:r>
    </w:p>
    <w:p w:rsidR="003A3725" w:rsidRDefault="00D946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района </w:t>
      </w:r>
    </w:p>
    <w:p w:rsidR="00767769" w:rsidRDefault="00767769" w:rsidP="0076776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от 18.03.2026 № 49-р</w:t>
      </w:r>
    </w:p>
    <w:p w:rsidR="003A3725" w:rsidRDefault="003A3725">
      <w:pPr>
        <w:ind w:left="1" w:firstLine="1"/>
        <w:jc w:val="both"/>
        <w:rPr>
          <w:color w:val="000000" w:themeColor="text1"/>
          <w:sz w:val="28"/>
          <w:szCs w:val="28"/>
        </w:rPr>
      </w:pPr>
    </w:p>
    <w:p w:rsidR="003A3725" w:rsidRDefault="00D94648">
      <w:pPr>
        <w:ind w:left="1" w:firstLine="1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План мероприятий («дорожная карта») по поддержке доступа негосударственных организаций</w:t>
      </w:r>
    </w:p>
    <w:p w:rsidR="003A3725" w:rsidRDefault="00D94648">
      <w:pPr>
        <w:ind w:left="1" w:firstLine="1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(коммерческих, некоммерческих) к предоставлению услуг в социальной сфере</w:t>
      </w:r>
    </w:p>
    <w:p w:rsidR="003A3725" w:rsidRDefault="00D94648">
      <w:pPr>
        <w:ind w:left="1" w:firstLine="1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Ханты-Мансийском районе на 2026 – 2030 годы</w:t>
      </w:r>
    </w:p>
    <w:p w:rsidR="003A3725" w:rsidRDefault="003A3725">
      <w:pPr>
        <w:ind w:left="1" w:firstLine="1"/>
        <w:jc w:val="center"/>
        <w:rPr>
          <w:color w:val="000000" w:themeColor="text1"/>
          <w:sz w:val="28"/>
          <w:szCs w:val="28"/>
        </w:rPr>
      </w:pPr>
    </w:p>
    <w:tbl>
      <w:tblPr>
        <w:tblpPr w:leftFromText="180" w:rightFromText="180" w:vertAnchor="text" w:tblpY="1"/>
        <w:tblW w:w="141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704"/>
        <w:gridCol w:w="4961"/>
        <w:gridCol w:w="3293"/>
        <w:gridCol w:w="2410"/>
        <w:gridCol w:w="2802"/>
      </w:tblGrid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tabs>
                <w:tab w:val="left" w:pos="359"/>
              </w:tabs>
              <w:contextualSpacing/>
              <w:jc w:val="center"/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4961" w:type="dxa"/>
          </w:tcPr>
          <w:p w:rsidR="003A3725" w:rsidRDefault="00D9464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Наименование мероприятия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Ответственные исполнители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Срок исполнения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Результат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tabs>
                <w:tab w:val="left" w:pos="359"/>
              </w:tabs>
              <w:contextualSpacing/>
              <w:jc w:val="center"/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color w:val="000000" w:themeColor="text1"/>
                <w:sz w:val="26"/>
                <w:szCs w:val="26"/>
                <w:lang w:eastAsia="en-US"/>
              </w:rPr>
              <w:t>1</w:t>
            </w:r>
          </w:p>
        </w:tc>
        <w:tc>
          <w:tcPr>
            <w:tcW w:w="4961" w:type="dxa"/>
          </w:tcPr>
          <w:p w:rsidR="003A3725" w:rsidRDefault="00D9464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2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3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4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5</w:t>
            </w:r>
          </w:p>
        </w:tc>
      </w:tr>
      <w:tr w:rsidR="003A3725" w:rsidTr="00D94648">
        <w:trPr>
          <w:trHeight w:val="20"/>
        </w:trPr>
        <w:tc>
          <w:tcPr>
            <w:tcW w:w="14170" w:type="dxa"/>
            <w:gridSpan w:val="5"/>
          </w:tcPr>
          <w:p w:rsidR="003A3725" w:rsidRDefault="00D94648">
            <w:pPr>
              <w:jc w:val="both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1. Совершенствование </w:t>
            </w:r>
            <w:r>
              <w:rPr>
                <w:color w:val="000000" w:themeColor="text1"/>
                <w:sz w:val="26"/>
                <w:szCs w:val="26"/>
              </w:rPr>
              <w:t>нормативного правового регулирования участия негосударственных организаций (коммерческих, некоммерческих) в оказании услуг социальной сферы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tabs>
                <w:tab w:val="left" w:pos="359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1.1.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Внесение изменений в действующие муниципальные правовые акты </w:t>
            </w:r>
            <w:r>
              <w:rPr>
                <w:sz w:val="26"/>
                <w:szCs w:val="26"/>
              </w:rPr>
              <w:br/>
              <w:t>Ханты-Мансийского района в целях обеспечения поэтапного доступа социально ориентированных некоммерческих организаций (далее – СОНКО) к бюджетным средствам на оказание услуг в социальной сфере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управление по культуре, спорту и социальной политике Администрации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Ханты-Мансийского района (далее – Управление по культуре);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комитет по образованию Администрации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Ханты-Мансийского района (далее – Комитет по образованию);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сектор молодежной политики управления организации местного самоуправления и Административной </w:t>
            </w:r>
            <w:r>
              <w:rPr>
                <w:sz w:val="26"/>
                <w:szCs w:val="26"/>
              </w:rPr>
              <w:lastRenderedPageBreak/>
              <w:t>реформы Администрации Ханты-Мансийского района (далее – Сектор молодежной политики):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департамент имущественных и земельных отношений Администрации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Ханты-Мансийского района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(далее – </w:t>
            </w: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  <w:r>
              <w:rPr>
                <w:sz w:val="26"/>
                <w:szCs w:val="26"/>
              </w:rPr>
              <w:t>)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по мере необходимости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муниципальные правовые акты Ханты-Мансийского района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tabs>
                <w:tab w:val="left" w:pos="359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1.2.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Формирование и ведение реестра негосударственных поставщиков услуг в   социальной сфере, в т.ч. социально ориентированных некоммерческих организаций (далее – Реестр)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</w:t>
            </w:r>
            <w:r>
              <w:t xml:space="preserve"> </w:t>
            </w:r>
            <w:r>
              <w:rPr>
                <w:sz w:val="26"/>
                <w:szCs w:val="26"/>
              </w:rPr>
              <w:t xml:space="preserve">Администрации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Ханты-Мансийского района (далее – Комитет экономической политики)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постоянно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размещенный Реестр в разделе «Гражданская активность» на официальном сайте Администрации Ханты-Мансийского района (далее –</w:t>
            </w:r>
            <w:r>
              <w:t xml:space="preserve"> </w:t>
            </w:r>
            <w:r>
              <w:rPr>
                <w:sz w:val="26"/>
                <w:szCs w:val="26"/>
              </w:rPr>
              <w:t>специализированный раздел)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tabs>
                <w:tab w:val="left" w:pos="359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1.3.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Обеспечение актуальности информации о поддержке негосударственных поставщиков услуг в социальной сфере, размещаемой в специализированном разделе 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муниципальное автономное учреждение Ханты-Мансийского района «Организационно-методический центр»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(далее – Ресурсный центр)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постоянно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актуальная информация в специализированном разделе </w:t>
            </w:r>
          </w:p>
        </w:tc>
      </w:tr>
      <w:tr w:rsidR="003A3725" w:rsidTr="00D94648">
        <w:trPr>
          <w:trHeight w:val="20"/>
        </w:trPr>
        <w:tc>
          <w:tcPr>
            <w:tcW w:w="14170" w:type="dxa"/>
            <w:gridSpan w:val="5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2.  Развитие механизмов поддержки негосударственных организаций (коммерческих, некоммерческих), участвующих в оказании услуг социальной сферы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2.1.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Реализация муниципальной программы «Развитие гражданского общества Ханты-</w:t>
            </w:r>
            <w:r>
              <w:rPr>
                <w:sz w:val="26"/>
                <w:szCs w:val="26"/>
              </w:rPr>
              <w:lastRenderedPageBreak/>
              <w:t>Мансийского района</w:t>
            </w:r>
            <w:r>
              <w:rPr>
                <w:sz w:val="26"/>
                <w:szCs w:val="26"/>
                <w:lang w:eastAsia="en-US"/>
              </w:rPr>
              <w:t xml:space="preserve">» в части </w:t>
            </w:r>
            <w:r>
              <w:rPr>
                <w:sz w:val="26"/>
                <w:szCs w:val="26"/>
              </w:rPr>
              <w:t>поддержки социально ориентированных некоммерческих организаций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lastRenderedPageBreak/>
              <w:t>Сектор молодежной политики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отчетный год</w:t>
            </w:r>
          </w:p>
        </w:tc>
        <w:tc>
          <w:tcPr>
            <w:tcW w:w="2802" w:type="dxa"/>
            <w:vMerge w:val="restart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расширение доступа </w:t>
            </w:r>
            <w:r>
              <w:rPr>
                <w:sz w:val="26"/>
                <w:szCs w:val="26"/>
              </w:rPr>
              <w:br/>
              <w:t xml:space="preserve">к участию </w:t>
            </w:r>
            <w:r>
              <w:rPr>
                <w:sz w:val="26"/>
                <w:szCs w:val="26"/>
              </w:rPr>
              <w:lastRenderedPageBreak/>
              <w:t xml:space="preserve">негосударственных организаций, социальных предпринимателей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предоставлении услуг (работ) </w:t>
            </w:r>
            <w:r>
              <w:rPr>
                <w:sz w:val="26"/>
                <w:szCs w:val="26"/>
              </w:rPr>
              <w:br/>
              <w:t>в социальной сфере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2.2.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Реализация муниципальной программы </w:t>
            </w:r>
            <w:r>
              <w:rPr>
                <w:sz w:val="26"/>
                <w:szCs w:val="26"/>
                <w:lang w:eastAsia="en-US"/>
              </w:rPr>
              <w:t>«Развитие малого и среднего предпринимательства на территории Ханты-Мансийского района» в части развития социального предпринимательства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</w:t>
            </w:r>
          </w:p>
          <w:p w:rsidR="003A3725" w:rsidRDefault="003A372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3A3725" w:rsidRDefault="00D94648">
            <w:pPr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  <w:vMerge/>
          </w:tcPr>
          <w:p w:rsidR="003A3725" w:rsidRDefault="003A3725">
            <w:pPr>
              <w:jc w:val="both"/>
              <w:rPr>
                <w:color w:val="FF0000"/>
                <w:sz w:val="26"/>
                <w:szCs w:val="26"/>
              </w:rPr>
            </w:pP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2.3.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Реализация муниципальной программы «Культура Ханты-Мансийского района» в части предоставления субсидий </w:t>
            </w:r>
            <w:r>
              <w:rPr>
                <w:sz w:val="26"/>
                <w:szCs w:val="26"/>
              </w:rPr>
              <w:br/>
              <w:t>из местного бюджета социально ориентированным некоммерческим организациям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</w:t>
            </w:r>
          </w:p>
        </w:tc>
        <w:tc>
          <w:tcPr>
            <w:tcW w:w="2410" w:type="dxa"/>
          </w:tcPr>
          <w:p w:rsidR="003A3725" w:rsidRDefault="00D94648">
            <w:pPr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  <w:vMerge/>
          </w:tcPr>
          <w:p w:rsidR="003A3725" w:rsidRDefault="003A3725">
            <w:pPr>
              <w:jc w:val="both"/>
              <w:rPr>
                <w:color w:val="FF0000"/>
                <w:sz w:val="26"/>
                <w:szCs w:val="26"/>
                <w:highlight w:val="yellow"/>
              </w:rPr>
            </w:pP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2.4.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Реализация муниципальной программы «Развитие спорта и туризма на территории Ханты-Мансийского района» в части предоставления субсидий из местного бюджета социально ориентированным некоммерческим организациям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</w:t>
            </w:r>
          </w:p>
          <w:p w:rsidR="003A3725" w:rsidRDefault="003A372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3A3725" w:rsidRDefault="00D94648">
            <w:pPr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  <w:vMerge/>
          </w:tcPr>
          <w:p w:rsidR="003A3725" w:rsidRDefault="003A3725">
            <w:pPr>
              <w:jc w:val="both"/>
              <w:rPr>
                <w:color w:val="FF0000"/>
                <w:sz w:val="26"/>
                <w:szCs w:val="26"/>
                <w:highlight w:val="yellow"/>
              </w:rPr>
            </w:pP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Реализация муниципальной программы «Укрепление межнационального и межконфессионального согласия, поддержка и развитие языков и культуры народов Российской Федерации, проживающих на территории муниципального образования Ханты-Мансийский район, обеспечение социальной и культурной адаптации мигрантов, профилактика </w:t>
            </w:r>
            <w:r>
              <w:rPr>
                <w:sz w:val="26"/>
                <w:szCs w:val="26"/>
              </w:rPr>
              <w:lastRenderedPageBreak/>
              <w:t>межнациональных (межэтнических) конфликтов» в части предоставления субсидий из местного бюджета социально ориентированным некоммерческим организациям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Управление по культуре</w:t>
            </w:r>
          </w:p>
        </w:tc>
        <w:tc>
          <w:tcPr>
            <w:tcW w:w="2410" w:type="dxa"/>
          </w:tcPr>
          <w:p w:rsidR="003A3725" w:rsidRDefault="00D94648">
            <w:pPr>
              <w:contextualSpacing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  <w:vMerge/>
          </w:tcPr>
          <w:p w:rsidR="003A3725" w:rsidRDefault="003A3725">
            <w:pPr>
              <w:jc w:val="both"/>
              <w:rPr>
                <w:color w:val="FF0000"/>
                <w:sz w:val="26"/>
                <w:szCs w:val="26"/>
                <w:highlight w:val="yellow"/>
              </w:rPr>
            </w:pP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2.4.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Оказание имущественной поддержки СОНКО, осуществляющим виды деятельности, указанные в части 1 статьи 31.1 Федерального закона </w:t>
            </w:r>
            <w:r>
              <w:rPr>
                <w:sz w:val="26"/>
                <w:szCs w:val="26"/>
              </w:rPr>
              <w:br/>
              <w:t xml:space="preserve">от 12 января 1996 года № 7-ФЗ </w:t>
            </w:r>
            <w:r>
              <w:rPr>
                <w:sz w:val="26"/>
                <w:szCs w:val="26"/>
              </w:rPr>
              <w:br/>
              <w:t xml:space="preserve">«О некоммерческих организациях», субъектам малого и среднего предпринимательства, осуществляющим деятельность в сфере социального предпринимательства, соответствующую одному или нескольким условиям, определенным статьей 24.1 Федерального закона от 24 июля 2007 года № 209-ФЗ </w:t>
            </w:r>
            <w:r>
              <w:rPr>
                <w:sz w:val="26"/>
                <w:szCs w:val="26"/>
              </w:rPr>
              <w:br/>
              <w:t xml:space="preserve">«О развитии малого и среднего предпринимательства в Российской Федерации», путем предоставления </w:t>
            </w:r>
            <w:r>
              <w:rPr>
                <w:sz w:val="26"/>
                <w:szCs w:val="26"/>
              </w:rPr>
              <w:br/>
              <w:t xml:space="preserve">во владение и (или) в пользование муниципального имущества 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расширение доступа негосударственных организаций, социальных предпринимателей к предоставлению услуг (работ) в социальной сфере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2.5.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Передача на исполнение негосударственным организациям (коммерческим, некоммерческим) услуг в социальной сфере, в том числе СОНКО 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расширение доступа </w:t>
            </w:r>
            <w:r>
              <w:rPr>
                <w:sz w:val="26"/>
                <w:szCs w:val="26"/>
              </w:rPr>
              <w:br/>
              <w:t xml:space="preserve">к участию негосударственных организаций, социальных предпринимателей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в предоставлении услуг (работ) </w:t>
            </w:r>
            <w:r>
              <w:rPr>
                <w:sz w:val="26"/>
                <w:szCs w:val="26"/>
              </w:rPr>
              <w:br/>
              <w:t>в социальной сфере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2.6.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Формирование и размещение в специализированном разделе перечня объектов образования, культуры, спорта, иных социальных объектов, закрепленных за муниципальными учреждениями, доступных для СОНКО и социальным предпринимателям на условиях почасовой аренды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Управление по культуре; муниципальные учреждения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Ханты-Мансийского района;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администрации сельских поселений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(по согласованию)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 xml:space="preserve">до 01 декабря </w:t>
            </w:r>
          </w:p>
          <w:p w:rsidR="003A3725" w:rsidRDefault="00D94648">
            <w:pPr>
              <w:jc w:val="center"/>
              <w:rPr>
                <w:rFonts w:eastAsia="Calibri"/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</w:rPr>
              <w:t>отчетного года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расширение доступа </w:t>
            </w:r>
            <w:r>
              <w:rPr>
                <w:sz w:val="26"/>
                <w:szCs w:val="26"/>
              </w:rPr>
              <w:br/>
              <w:t xml:space="preserve">к участию негосударственных организаций, социальных предпринимателей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 предоставлении услуг (работ) </w:t>
            </w:r>
            <w:r>
              <w:rPr>
                <w:sz w:val="26"/>
                <w:szCs w:val="26"/>
              </w:rPr>
              <w:br/>
              <w:t>в социальной сфере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2.7.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rFonts w:eastAsia="Calibri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Предоставление не менее 1 % газетной полосы в газете «Наш район» </w:t>
            </w:r>
            <w:r>
              <w:rPr>
                <w:sz w:val="26"/>
                <w:szCs w:val="26"/>
              </w:rPr>
              <w:br/>
              <w:t>для информирования о мерах поддержки СОНКО и социальных предпринимателей, обеспечения доступа негосударственных организаций к предоставлению услуг в социальной сфере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муниципальное автономное учреждение Ханты-Мансийского района «Редакция газеты «Наш район» (далее – газета «Наш район»);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центр; 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информирование негосударственных организаций, социальных предпринимателей </w:t>
            </w:r>
            <w:r>
              <w:rPr>
                <w:sz w:val="26"/>
                <w:szCs w:val="26"/>
              </w:rPr>
              <w:br/>
              <w:t>о предоставляемых мерах поддержки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2.8.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Мониторинг потребности в социальных услугах, не оказываемых муниципальными учреждениями, но востребованных </w:t>
            </w:r>
            <w:r>
              <w:rPr>
                <w:sz w:val="26"/>
                <w:szCs w:val="26"/>
              </w:rPr>
              <w:br/>
              <w:t>у населения Ханты-Мансийского района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постоянно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расширение перечня услуг, оказываемых СОНКО, социальными предпринимателями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2.9.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Расширение системы персонифицированного финансирования посредством реализации сертификатов на оказание услуг социальной сферы для отдельных категорий граждан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</w:t>
            </w:r>
          </w:p>
          <w:p w:rsidR="003A3725" w:rsidRDefault="003A372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повышение доступности бюджетных средств для негосударственных поставщиков услуг социальной сферы, качества услуг социальной сферы и удовлетворенности потребителей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2.10.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Заключение соглашения о сотрудничестве с Фондом поддержки предпринимательства Югры «Мой Бизнес» 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 xml:space="preserve">II </w:t>
            </w:r>
            <w:r>
              <w:rPr>
                <w:sz w:val="26"/>
                <w:szCs w:val="26"/>
              </w:rPr>
              <w:t xml:space="preserve">квартал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отчетного года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содействие развитию и популяризации в </w:t>
            </w:r>
            <w:r>
              <w:rPr>
                <w:bCs/>
                <w:sz w:val="26"/>
                <w:szCs w:val="26"/>
              </w:rPr>
              <w:t>автономном округе</w:t>
            </w:r>
            <w:r>
              <w:rPr>
                <w:sz w:val="26"/>
                <w:szCs w:val="26"/>
              </w:rPr>
              <w:t xml:space="preserve"> социального предпринимательства как института, способствующего смягчению социальных проблем и достижению позитивных социальных изменений в обществе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2.11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Создание «</w:t>
            </w:r>
            <w:proofErr w:type="spellStart"/>
            <w:r>
              <w:rPr>
                <w:rFonts w:eastAsiaTheme="minorEastAsia"/>
                <w:sz w:val="26"/>
                <w:szCs w:val="26"/>
              </w:rPr>
              <w:t>Добро.Центра</w:t>
            </w:r>
            <w:proofErr w:type="spellEnd"/>
            <w:r>
              <w:rPr>
                <w:rFonts w:eastAsiaTheme="minorEastAsia"/>
                <w:sz w:val="26"/>
                <w:szCs w:val="26"/>
              </w:rPr>
              <w:t>» в сфере молодежи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Сектор молодежной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МАУ «Молодежный центр Ханты-Мансийского района»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rFonts w:eastAsiaTheme="minorEastAsia"/>
                <w:sz w:val="26"/>
                <w:szCs w:val="26"/>
              </w:rPr>
              <w:t>реализация потенциала молодежи, увеличение количества добровольцев и волонтеров в сфере молодежной политики</w:t>
            </w:r>
          </w:p>
        </w:tc>
      </w:tr>
      <w:tr w:rsidR="003A3725" w:rsidTr="00D94648">
        <w:trPr>
          <w:trHeight w:val="20"/>
        </w:trPr>
        <w:tc>
          <w:tcPr>
            <w:tcW w:w="14170" w:type="dxa"/>
            <w:gridSpan w:val="5"/>
          </w:tcPr>
          <w:p w:rsidR="003A3725" w:rsidRDefault="00D94648">
            <w:pPr>
              <w:jc w:val="both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Раздел 3. </w:t>
            </w:r>
            <w:r>
              <w:rPr>
                <w:color w:val="000000" w:themeColor="text1"/>
                <w:sz w:val="26"/>
                <w:szCs w:val="26"/>
              </w:rPr>
              <w:t xml:space="preserve"> Содействие реализации отдельных направлений развития сферы негосударственных организаций (коммерческих, некоммерческих), участвующих в оказании услуг социальной сферы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3.1.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Реализация обучающих и просветительских программ для СОНКО и инициативных групп, направленных </w:t>
            </w:r>
            <w:r>
              <w:rPr>
                <w:sz w:val="26"/>
                <w:szCs w:val="26"/>
              </w:rPr>
              <w:br/>
              <w:t xml:space="preserve">на расширение знаний о деятельности СОНКО, на обучение работе </w:t>
            </w:r>
            <w:r>
              <w:rPr>
                <w:sz w:val="26"/>
                <w:szCs w:val="26"/>
              </w:rPr>
              <w:br/>
              <w:t>с применением проектного подхода, продвижению информации о своей деятельности, способствующей продвижению накопленного опыта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Ресурсный центр;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</w:t>
            </w:r>
          </w:p>
          <w:p w:rsidR="003A3725" w:rsidRDefault="003A3725">
            <w:pPr>
              <w:jc w:val="center"/>
              <w:rPr>
                <w:sz w:val="26"/>
                <w:szCs w:val="26"/>
                <w:highlight w:val="yellow"/>
              </w:rPr>
            </w:pP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  <w:highlight w:val="yellow"/>
              </w:rPr>
            </w:pPr>
            <w:r>
              <w:rPr>
                <w:sz w:val="26"/>
                <w:szCs w:val="26"/>
              </w:rPr>
              <w:t>увеличение количества зарегистрированных СОНКО, социальных предпринимателей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3.2.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pacing w:val="2"/>
                <w:sz w:val="26"/>
                <w:szCs w:val="26"/>
              </w:rPr>
              <w:t xml:space="preserve">Оказание информационной, консультационной, образовательной, организационной и иной ресурсной поддержки </w:t>
            </w:r>
            <w:r>
              <w:rPr>
                <w:sz w:val="26"/>
                <w:szCs w:val="26"/>
              </w:rPr>
              <w:t xml:space="preserve">СОНКО и социальных предпринимателей, в том числе по вопросам порядка регистрации СОНКО, участия в региональных и федеральных грантовых конкурсах, оказание помощи </w:t>
            </w:r>
            <w:r>
              <w:rPr>
                <w:sz w:val="26"/>
                <w:szCs w:val="26"/>
              </w:rPr>
              <w:br/>
              <w:t xml:space="preserve">в формировании заявок на гранты </w:t>
            </w:r>
            <w:r>
              <w:rPr>
                <w:sz w:val="26"/>
                <w:szCs w:val="26"/>
              </w:rPr>
              <w:br/>
              <w:t>и конкурсы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Ресурсный центр 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ресурсная поддержка социально ориентированных некоммерческих организаций, социальных предпринимателей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3.3.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Проведение образовательных мероприятий для работников СОНКО и социальных предпринимателей 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Ресурсный центр 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расширение доступа </w:t>
            </w:r>
            <w:r>
              <w:rPr>
                <w:sz w:val="26"/>
                <w:szCs w:val="26"/>
              </w:rPr>
              <w:br/>
              <w:t xml:space="preserve">к участию социально ориентированных некоммерческих организаций и социальных предпринимателей </w:t>
            </w:r>
            <w:r>
              <w:rPr>
                <w:sz w:val="26"/>
                <w:szCs w:val="26"/>
              </w:rPr>
              <w:br/>
              <w:t>в предоставлении услуг (работ) в социальной сфере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3.4.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Проведение круглых столов, рабочих встреч и индивидуальных консультаций с </w:t>
            </w:r>
            <w:r>
              <w:rPr>
                <w:sz w:val="26"/>
                <w:szCs w:val="26"/>
              </w:rPr>
              <w:lastRenderedPageBreak/>
              <w:t>субъектами МСП, социальными предпринимателями, зарегистрированными на территории Ханты-Мансийского района, с потенциальными поставщиками услуг социальной сферы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Ресурсный центр;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</w:t>
            </w:r>
          </w:p>
          <w:p w:rsidR="003A3725" w:rsidRDefault="003A372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отчетный год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выявление потенциальных </w:t>
            </w:r>
            <w:r>
              <w:rPr>
                <w:sz w:val="26"/>
                <w:szCs w:val="26"/>
              </w:rPr>
              <w:lastRenderedPageBreak/>
              <w:t>поставщиков услуг (работ) в социальной сфере на территории Ханты-Мансийского района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3.5.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Оказание содействия в получении субъектами малого и среднего предпринимательства статуса социального предприятия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отчетный год</w:t>
            </w:r>
          </w:p>
          <w:p w:rsidR="003A3725" w:rsidRDefault="003A372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увеличение числа субъектов малого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 среднего предпринимательства, имеющих статус социального предприятия</w:t>
            </w:r>
          </w:p>
        </w:tc>
      </w:tr>
      <w:tr w:rsidR="003A3725" w:rsidTr="00D94648">
        <w:trPr>
          <w:trHeight w:val="20"/>
        </w:trPr>
        <w:tc>
          <w:tcPr>
            <w:tcW w:w="14170" w:type="dxa"/>
            <w:gridSpan w:val="5"/>
          </w:tcPr>
          <w:p w:rsidR="003A3725" w:rsidRDefault="00D94648">
            <w:pPr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Раздел 4.</w:t>
            </w:r>
            <w:r>
              <w:rPr>
                <w:color w:val="000000" w:themeColor="text1"/>
                <w:sz w:val="26"/>
                <w:szCs w:val="26"/>
              </w:rPr>
              <w:t xml:space="preserve"> Формирование и сопровождение результатов реализации мероприятий «дорожной карты»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4.1.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Предоставление информации о ходе реализации Плана мероприятий («дорожная карта») по поддержке доступа негосударственных организаций (коммерческих, некоммерческих) к предоставлению услуг в социальной сфере </w:t>
            </w:r>
            <w:r>
              <w:rPr>
                <w:sz w:val="26"/>
                <w:szCs w:val="26"/>
              </w:rPr>
              <w:br/>
              <w:t xml:space="preserve">в Ханты-Мансийском районе </w:t>
            </w:r>
            <w:r>
              <w:rPr>
                <w:sz w:val="26"/>
                <w:szCs w:val="26"/>
              </w:rPr>
              <w:br/>
              <w:t>на 2026 – 2030 годы в Комитет экономической политики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  <w:r>
              <w:rPr>
                <w:sz w:val="26"/>
                <w:szCs w:val="26"/>
              </w:rPr>
              <w:t>;</w:t>
            </w:r>
          </w:p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Сектор молодежной политики;</w:t>
            </w:r>
            <w:r>
              <w:rPr>
                <w:sz w:val="26"/>
                <w:szCs w:val="26"/>
              </w:rPr>
              <w:t xml:space="preserve">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газета «Наш район»</w:t>
            </w:r>
          </w:p>
          <w:p w:rsidR="003A3725" w:rsidRDefault="003A372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ежеквартально </w:t>
            </w:r>
            <w:r>
              <w:rPr>
                <w:sz w:val="26"/>
                <w:szCs w:val="26"/>
              </w:rPr>
              <w:br/>
              <w:t xml:space="preserve">в срок до 5 числа месяца, следующего </w:t>
            </w:r>
            <w:r>
              <w:rPr>
                <w:sz w:val="26"/>
                <w:szCs w:val="26"/>
              </w:rPr>
              <w:br/>
              <w:t>за отчетным кварталом;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ежегодно в срок </w:t>
            </w:r>
            <w:r>
              <w:rPr>
                <w:sz w:val="26"/>
                <w:szCs w:val="26"/>
              </w:rPr>
              <w:br/>
              <w:t>до 15 января года, следующего за отчетным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повышение эффективности принятия управленческих решений</w:t>
            </w:r>
          </w:p>
        </w:tc>
      </w:tr>
      <w:tr w:rsidR="003A3725" w:rsidTr="00D94648">
        <w:trPr>
          <w:trHeight w:val="20"/>
        </w:trPr>
        <w:tc>
          <w:tcPr>
            <w:tcW w:w="704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4.2.</w:t>
            </w:r>
          </w:p>
        </w:tc>
        <w:tc>
          <w:tcPr>
            <w:tcW w:w="4961" w:type="dxa"/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Предоставление в Комитет экономической политики информации и материалов для формирования ежегодного рейтинга муниципальных образований Ханты-Мансийского автономного округа – Югры по реализации механизмов поддержки СОНКО </w:t>
            </w:r>
          </w:p>
        </w:tc>
        <w:tc>
          <w:tcPr>
            <w:tcW w:w="3293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  <w:r>
              <w:rPr>
                <w:sz w:val="26"/>
                <w:szCs w:val="26"/>
              </w:rPr>
              <w:t>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Комитет </w:t>
            </w:r>
            <w:r>
              <w:rPr>
                <w:sz w:val="26"/>
                <w:szCs w:val="26"/>
              </w:rPr>
              <w:br/>
              <w:t>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комитет по финансам Администрации </w:t>
            </w:r>
            <w:r>
              <w:rPr>
                <w:sz w:val="26"/>
                <w:szCs w:val="26"/>
              </w:rPr>
              <w:br/>
              <w:t xml:space="preserve">Ханты-Мансийского района </w:t>
            </w:r>
            <w:r>
              <w:rPr>
                <w:sz w:val="26"/>
                <w:szCs w:val="26"/>
              </w:rPr>
              <w:lastRenderedPageBreak/>
              <w:t>(далее – Комитет по финансам);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rFonts w:eastAsia="Calibri"/>
                <w:sz w:val="26"/>
                <w:szCs w:val="26"/>
                <w:lang w:eastAsia="en-US"/>
              </w:rPr>
              <w:t>Сектор молодежной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газета «Наш район»</w:t>
            </w:r>
          </w:p>
        </w:tc>
        <w:tc>
          <w:tcPr>
            <w:tcW w:w="2410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 xml:space="preserve">ежегодно, </w:t>
            </w:r>
            <w:r>
              <w:rPr>
                <w:sz w:val="26"/>
                <w:szCs w:val="26"/>
              </w:rPr>
              <w:br/>
              <w:t xml:space="preserve">в соответствии </w:t>
            </w:r>
            <w:r>
              <w:rPr>
                <w:sz w:val="26"/>
                <w:szCs w:val="26"/>
              </w:rPr>
              <w:br/>
              <w:t>с установленными сроками</w:t>
            </w:r>
          </w:p>
        </w:tc>
        <w:tc>
          <w:tcPr>
            <w:tcW w:w="2802" w:type="dxa"/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повышение эффективности принятия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управленческих решений</w:t>
            </w:r>
          </w:p>
        </w:tc>
      </w:tr>
    </w:tbl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3A3725">
      <w:pPr>
        <w:jc w:val="right"/>
        <w:rPr>
          <w:sz w:val="28"/>
          <w:szCs w:val="28"/>
        </w:rPr>
      </w:pPr>
    </w:p>
    <w:p w:rsidR="003A3725" w:rsidRDefault="00D94648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3</w:t>
      </w:r>
    </w:p>
    <w:p w:rsidR="003A3725" w:rsidRDefault="00D94648">
      <w:pPr>
        <w:jc w:val="right"/>
        <w:rPr>
          <w:sz w:val="28"/>
          <w:szCs w:val="28"/>
        </w:rPr>
      </w:pPr>
      <w:r>
        <w:rPr>
          <w:sz w:val="28"/>
          <w:szCs w:val="28"/>
        </w:rPr>
        <w:t>к распоряжению Администрации</w:t>
      </w:r>
    </w:p>
    <w:p w:rsidR="003A3725" w:rsidRDefault="00D94648">
      <w:pPr>
        <w:jc w:val="right"/>
        <w:rPr>
          <w:sz w:val="28"/>
          <w:szCs w:val="28"/>
        </w:rPr>
      </w:pPr>
      <w:r>
        <w:rPr>
          <w:sz w:val="28"/>
          <w:szCs w:val="28"/>
        </w:rPr>
        <w:t xml:space="preserve">Ханты-Мансийского района </w:t>
      </w:r>
    </w:p>
    <w:p w:rsidR="00767769" w:rsidRDefault="00767769" w:rsidP="00767769">
      <w:pPr>
        <w:jc w:val="right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 xml:space="preserve">от 18.03.2026 </w:t>
      </w:r>
      <w:bookmarkStart w:id="1" w:name="_GoBack"/>
      <w:bookmarkEnd w:id="1"/>
      <w:r>
        <w:rPr>
          <w:sz w:val="28"/>
          <w:szCs w:val="28"/>
          <w:lang w:eastAsia="en-US"/>
        </w:rPr>
        <w:t>№ 49-р</w:t>
      </w:r>
    </w:p>
    <w:p w:rsidR="003A3725" w:rsidRDefault="003A3725">
      <w:pPr>
        <w:rPr>
          <w:color w:val="000000" w:themeColor="text1"/>
          <w:sz w:val="28"/>
          <w:szCs w:val="28"/>
        </w:rPr>
      </w:pPr>
    </w:p>
    <w:p w:rsidR="003A3725" w:rsidRDefault="00D94648">
      <w:pPr>
        <w:ind w:left="-284" w:right="-456"/>
        <w:jc w:val="center"/>
        <w:rPr>
          <w:color w:val="000000" w:themeColor="text1"/>
          <w:sz w:val="28"/>
          <w:szCs w:val="28"/>
        </w:rPr>
      </w:pPr>
      <w:r>
        <w:rPr>
          <w:sz w:val="28"/>
          <w:szCs w:val="28"/>
        </w:rPr>
        <w:t xml:space="preserve">Целевые индикаторы </w:t>
      </w:r>
      <w:r>
        <w:rPr>
          <w:color w:val="000000" w:themeColor="text1"/>
          <w:sz w:val="28"/>
          <w:szCs w:val="28"/>
        </w:rPr>
        <w:t xml:space="preserve">Плана мероприятий («дорожной карты») по поддержке доступа негосударственных </w:t>
      </w:r>
    </w:p>
    <w:p w:rsidR="003A3725" w:rsidRDefault="00D94648">
      <w:pPr>
        <w:ind w:left="-284" w:right="-45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организаций (коммерческих, некоммерческих) к предоставлению услуг в социальной сфере </w:t>
      </w:r>
    </w:p>
    <w:p w:rsidR="003A3725" w:rsidRDefault="00D94648">
      <w:pPr>
        <w:ind w:left="-284" w:right="-456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 Ханты-Мансийском районе на 2026 – 2030 годы</w:t>
      </w:r>
    </w:p>
    <w:p w:rsidR="003A3725" w:rsidRDefault="003A3725">
      <w:pPr>
        <w:ind w:left="-284" w:right="-456"/>
        <w:jc w:val="center"/>
        <w:rPr>
          <w:color w:val="000000" w:themeColor="text1"/>
          <w:sz w:val="28"/>
          <w:szCs w:val="28"/>
        </w:rPr>
      </w:pPr>
    </w:p>
    <w:tbl>
      <w:tblPr>
        <w:tblpPr w:leftFromText="180" w:rightFromText="180" w:vertAnchor="text" w:tblpX="-289" w:tblpY="1"/>
        <w:tblW w:w="14737" w:type="dxa"/>
        <w:tblLayout w:type="fixed"/>
        <w:tblCellMar>
          <w:left w:w="62" w:type="dxa"/>
          <w:right w:w="62" w:type="dxa"/>
        </w:tblCellMar>
        <w:tblLook w:val="0000" w:firstRow="0" w:lastRow="0" w:firstColumn="0" w:lastColumn="0" w:noHBand="0" w:noVBand="0"/>
      </w:tblPr>
      <w:tblGrid>
        <w:gridCol w:w="846"/>
        <w:gridCol w:w="4819"/>
        <w:gridCol w:w="1701"/>
        <w:gridCol w:w="992"/>
        <w:gridCol w:w="1274"/>
        <w:gridCol w:w="993"/>
        <w:gridCol w:w="993"/>
        <w:gridCol w:w="992"/>
        <w:gridCol w:w="2127"/>
      </w:tblGrid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 xml:space="preserve">№ </w:t>
            </w:r>
          </w:p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п/п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Наименование целевого показателя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Единицы измерения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2026 год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2027 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2028 год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2029 год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2030 год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Исполнитель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Наличие Центра общественного развития и поддержки добровольческих, благотворительных и гражданских инициатив –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Добро.Центр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», вошедшего в «зелёную» зону по итогам ежегодного мониторинга, проводимого Ассоциацией волонтерских центров, некоммерческих организаций и институтов общественного развития «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Добро.рф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политики,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t xml:space="preserve"> 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pStyle w:val="ConsPlusNormal"/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Количество СОНКО, осуществляющих деятельность в области организации и поддержки благотворительности и добровольчества (</w:t>
            </w:r>
            <w:proofErr w:type="spellStart"/>
            <w:r>
              <w:rPr>
                <w:rFonts w:ascii="Times New Roman" w:hAnsi="Times New Roman" w:cs="Times New Roman"/>
                <w:sz w:val="26"/>
                <w:szCs w:val="26"/>
              </w:rPr>
              <w:t>волонтерства</w:t>
            </w:r>
            <w:proofErr w:type="spellEnd"/>
            <w:r>
              <w:rPr>
                <w:rFonts w:ascii="Times New Roman" w:hAnsi="Times New Roman" w:cs="Times New Roman"/>
                <w:sz w:val="26"/>
                <w:szCs w:val="26"/>
              </w:rPr>
              <w:t>) в Ханты-Мансийском районе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4</w:t>
            </w:r>
            <w:r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en-US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Управление по культуре 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Доля бюджетных ассигнований Ханты-Мансийского района, направляемых на предоставление субсидий на реализацию мероприятий по формированию инфраструктуры </w:t>
            </w:r>
            <w:proofErr w:type="gramStart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поддержки </w:t>
            </w:r>
            <w: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СОНКО</w:t>
            </w:r>
            <w:proofErr w:type="gramEnd"/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и/или социальных предпринимателей, включая ресурсные центры социально ориентированных некоммерческих организаций, центры инноваций социальной сферы, добровольческие центры, в общем объеме расходов бюджета Ханты-Мансийского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0,19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финансам;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Комитет по образованию; </w:t>
            </w:r>
            <w:r>
              <w:rPr>
                <w:sz w:val="26"/>
                <w:szCs w:val="26"/>
              </w:rPr>
              <w:lastRenderedPageBreak/>
              <w:t>Управление по культуре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негосударственных поставщиков услуг в социальной сфере в Ханты-Мансийском районе</w:t>
            </w:r>
          </w:p>
          <w:p w:rsidR="003A3725" w:rsidRDefault="003A3725">
            <w:pPr>
              <w:jc w:val="both"/>
              <w:rPr>
                <w:sz w:val="26"/>
                <w:szCs w:val="26"/>
              </w:rPr>
            </w:pPr>
          </w:p>
          <w:p w:rsidR="003A3725" w:rsidRDefault="003A3725">
            <w:pPr>
              <w:jc w:val="both"/>
              <w:rPr>
                <w:sz w:val="26"/>
                <w:szCs w:val="2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43,3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44,4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45,5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47,0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48,0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некоммерческих организаций – исполнителей общественно полезных услуг (ИОПУ)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субъектов малого и среднего предпринимательства, имеющих статус социального предприятия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1,04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центр; 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7.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Доля негосударственных организаций в общем количестве организаций, оказывающих услуги в социальной сфере в Ханты-Мансийском районе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39,1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41,2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42,4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43,8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центр; 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Предоставление финансовой поддержки из средств местного бюджета </w:t>
            </w:r>
            <w:r>
              <w:t xml:space="preserve"> </w:t>
            </w:r>
            <w:r>
              <w:rPr>
                <w:sz w:val="26"/>
                <w:szCs w:val="26"/>
              </w:rPr>
              <w:t xml:space="preserve">негосударственным поставщикам услуг в   социальной сфере участникам специальной военной операции и членам их семей (в том числе, реализующим образовательные программы и обеспечивающим трудоустройство участников специальной военной операции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да/нет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Количество негосударственных поставщиков услуг в социальной сфере в Ханты-Мансийском районе, получивших финансовую поддержку из бюджета Ханты-Мансийского района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9,93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10,4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11,5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12,0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Ресурсный центр 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Доля средств бюджета Ханты-Мансийского района, </w:t>
            </w:r>
            <w:proofErr w:type="gramStart"/>
            <w:r>
              <w:rPr>
                <w:sz w:val="26"/>
                <w:szCs w:val="26"/>
              </w:rPr>
              <w:t xml:space="preserve">выделенных </w:t>
            </w:r>
            <w:r>
              <w:t xml:space="preserve"> </w:t>
            </w:r>
            <w:r>
              <w:rPr>
                <w:sz w:val="26"/>
                <w:szCs w:val="26"/>
              </w:rPr>
              <w:t>негосударственным</w:t>
            </w:r>
            <w:proofErr w:type="gramEnd"/>
            <w:r>
              <w:rPr>
                <w:sz w:val="26"/>
                <w:szCs w:val="26"/>
              </w:rPr>
              <w:t xml:space="preserve"> поставщикам услуг в   социальной сфере, на предоставление услуг, в общем объеме средств бюджета </w:t>
            </w:r>
            <w:r>
              <w:rPr>
                <w:sz w:val="26"/>
                <w:szCs w:val="26"/>
              </w:rPr>
              <w:lastRenderedPageBreak/>
              <w:t>Ханты-Мансийского района, выделенных на предоставление услуг в социальной сфере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Комитет </w:t>
            </w:r>
            <w:r>
              <w:rPr>
                <w:sz w:val="26"/>
                <w:szCs w:val="26"/>
              </w:rPr>
              <w:br/>
              <w:t>по образованию;</w:t>
            </w:r>
          </w:p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управление </w:t>
            </w:r>
            <w:r>
              <w:rPr>
                <w:sz w:val="26"/>
                <w:szCs w:val="26"/>
              </w:rPr>
              <w:br/>
              <w:t xml:space="preserve">по культуре, спорту и </w:t>
            </w:r>
            <w:r>
              <w:rPr>
                <w:sz w:val="26"/>
                <w:szCs w:val="26"/>
              </w:rPr>
              <w:lastRenderedPageBreak/>
              <w:t>социальной политике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11.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Доля муниципального имущества, предоставленного негосударственным  поставщикам, осуществляющим деятельность в социальной сфере, от общего количества имущества, включенного в перечни муниципального 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предпринимательства, за исключением имущественных прав некоммерческих организаций) (далее – перечни муниципального имущества)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Площадь помещений, зданий, сооружений, земельных участков (далее – недвижимое имущество), включенного в перечни муниципального имущества, и находившегося в отчетном году во владении (пользовании) негосударственных поставщиков, осуществляющих деятельность в социальной сфере, 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кв. метров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12.1.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СОНКО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кв. метров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0,0843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0,0843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0,0843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0,0843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0,0843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12.2.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социальных предпринимателей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кв. метров на </w:t>
            </w:r>
            <w:r>
              <w:rPr>
                <w:sz w:val="26"/>
                <w:szCs w:val="26"/>
              </w:rPr>
              <w:lastRenderedPageBreak/>
              <w:t>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0,0080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0,0080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0,0080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0,0080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негосударственных поставщиков услуг в   социальной сфере, у которых находилось во владении (пользовании) в отчетном году недвижимое имущество, включенное в перечни муниципального имущества, 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13.1.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СОНКО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13.2.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социальных предпринимателей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негосударственных поставщиков услуг в   социальной сфере, которые использовали в отчетном году площади помещений муниципальной собственности, находящейся на праве хозяйственного ведения или оперативного управления у муниципальных унитарных предприятий и муниципальных учреждений, не включенные в перечни муниципального имущества, 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14.1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СОНКО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0,0007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14.2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социальных предпринимателей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15.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Площадь недвижимого имущества, не включенного в перечни муниципального имущества, и находящегося во владении (пользовании) в отчетном году </w:t>
            </w:r>
            <w:proofErr w:type="gramStart"/>
            <w:r>
              <w:rPr>
                <w:sz w:val="26"/>
                <w:szCs w:val="26"/>
              </w:rPr>
              <w:t xml:space="preserve">у </w:t>
            </w:r>
            <w:r>
              <w:t xml:space="preserve"> </w:t>
            </w:r>
            <w:r>
              <w:rPr>
                <w:sz w:val="26"/>
                <w:szCs w:val="26"/>
              </w:rPr>
              <w:t>негосударственных</w:t>
            </w:r>
            <w:proofErr w:type="gramEnd"/>
            <w:r>
              <w:rPr>
                <w:sz w:val="26"/>
                <w:szCs w:val="26"/>
              </w:rPr>
              <w:t xml:space="preserve"> поставщиков услуг в   социальной сфере, из них: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кв. метров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3A3725">
            <w:pPr>
              <w:jc w:val="center"/>
              <w:rPr>
                <w:color w:val="FF0000"/>
                <w:sz w:val="26"/>
                <w:szCs w:val="26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15.1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СОНКО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кв. метров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0,0424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0,0424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0,0424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0,0424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0,0424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15.2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для социальных предпринимателей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кв. метров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0,0015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0,0015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0,0015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0,0015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16.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Доля ежегодного увеличения количества объектов имущества (в том числе движимого и недвижимого) в перечнях </w:t>
            </w:r>
            <w:r>
              <w:rPr>
                <w:rFonts w:eastAsia="TimesNewRoman"/>
                <w:sz w:val="26"/>
                <w:szCs w:val="26"/>
              </w:rPr>
              <w:t>муниципального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17.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pStyle w:val="ConsPlusNormal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Доля ежегодного увеличения площади недвижимого имущества, включенного в перечни </w:t>
            </w:r>
            <w:r>
              <w:rPr>
                <w:rFonts w:ascii="Times New Roman" w:eastAsia="TimesNewRoman" w:hAnsi="Times New Roman" w:cs="Times New Roman"/>
                <w:sz w:val="26"/>
                <w:szCs w:val="26"/>
              </w:rPr>
              <w:t>муниципального имущества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proofErr w:type="spellStart"/>
            <w:r>
              <w:rPr>
                <w:sz w:val="26"/>
                <w:szCs w:val="26"/>
              </w:rPr>
              <w:t>Депимущества</w:t>
            </w:r>
            <w:proofErr w:type="spellEnd"/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18.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Доля фактов получения гражданами услуг (работ) у негосударственных поставщиков услуг в социальной сфере, в общей численности фактов получения гражданами услуг (работ) в социальной сфере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1,55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1,65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1,75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Комитет </w:t>
            </w:r>
            <w:r>
              <w:rPr>
                <w:sz w:val="26"/>
                <w:szCs w:val="26"/>
              </w:rPr>
              <w:br/>
              <w:t>по образованию;</w:t>
            </w:r>
          </w:p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Управление </w:t>
            </w:r>
            <w:r>
              <w:rPr>
                <w:sz w:val="26"/>
                <w:szCs w:val="26"/>
              </w:rPr>
              <w:br/>
              <w:t>по культуре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19.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Доля средств бюджета Ханты-Мансийского района, переданных</w:t>
            </w:r>
            <w:r>
              <w:t xml:space="preserve"> </w:t>
            </w:r>
            <w:r>
              <w:rPr>
                <w:sz w:val="26"/>
                <w:szCs w:val="26"/>
              </w:rPr>
              <w:t>негосударственным поставщикам услуг в   социальной сфере, осуществляющим образовательную деятельность, в общем объеме расходов бюджета Ханты-</w:t>
            </w:r>
            <w:r>
              <w:rPr>
                <w:sz w:val="26"/>
                <w:szCs w:val="26"/>
              </w:rPr>
              <w:lastRenderedPageBreak/>
              <w:t>Мансийского района, предусмотренном на сферу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процентов</w:t>
            </w:r>
          </w:p>
          <w:p w:rsidR="003A3725" w:rsidRDefault="003A3725">
            <w:pPr>
              <w:widowControl w:val="0"/>
              <w:jc w:val="center"/>
              <w:rPr>
                <w:sz w:val="26"/>
                <w:szCs w:val="26"/>
              </w:rPr>
            </w:pPr>
          </w:p>
          <w:p w:rsidR="003A3725" w:rsidRDefault="003A3725">
            <w:pPr>
              <w:widowControl w:val="0"/>
              <w:jc w:val="center"/>
              <w:rPr>
                <w:sz w:val="26"/>
                <w:szCs w:val="26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0,01</w:t>
            </w:r>
          </w:p>
          <w:p w:rsidR="003A3725" w:rsidRDefault="003A3725">
            <w:pPr>
              <w:jc w:val="center"/>
              <w:rPr>
                <w:sz w:val="26"/>
                <w:szCs w:val="26"/>
              </w:rPr>
            </w:pPr>
          </w:p>
          <w:p w:rsidR="003A3725" w:rsidRDefault="003A3725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0,01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20.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Доля негосударственных поставщиков услуг в социальной сфере, осуществляющих образовательную деятельность за счет средств бюджета Ханты-Мансийского района, в общем числе организаций всех форм собственности и индивидуальных предпринимателей, осуществляющих образовательную деятельность, за счет средств бюджета Ханты-Мансийского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21.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Удельный вес численности воспитанников у негосударственных поставщиков услуг в социальной сфере, осуществляющих образовательную деятельность по образовательным программам дошкольного образования, в общей численности воспитанников образовательных организаций, реализующих образовательные программы дошкольного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22.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Доля детей, получивших услуги по реализации дополнительных общеразвивающих программ в соответствии с социальным сертификатом на получение государственной (муниципальной) услуги в социальной сфере (государственных (муниципальных) услуг в социальной </w:t>
            </w:r>
            <w:r>
              <w:rPr>
                <w:sz w:val="26"/>
                <w:szCs w:val="26"/>
              </w:rPr>
              <w:lastRenderedPageBreak/>
              <w:t xml:space="preserve">сфере) у </w:t>
            </w:r>
            <w:r>
              <w:t xml:space="preserve"> </w:t>
            </w:r>
            <w:r>
              <w:rPr>
                <w:sz w:val="26"/>
                <w:szCs w:val="26"/>
              </w:rPr>
              <w:t>негосударственных поставщиков услуг в социальной сфере, в общем количестве детей в муниципальном образовании в возрасте от 5 до 18 лет включительно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0,9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1</w:t>
            </w:r>
            <w:r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en-US"/>
              </w:rPr>
              <w:t>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23.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Доля негосударственных поставщиков услуг в социальной сфере – исполнителей государственных (муниципальных) услуг в социальной сфере по реализации дополнительных общеразвивающих программ в соответствии с социальным сертификатом на получение государственной (муниципальной) услуги в социальной сфере (государственных (муниципальных) услуг в социальной сфере) в общем количестве исполнителей таких услуг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24.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Доля граждан, систематически занимающихся физической культурой и спортом в негосударственных организациях (от общей численности граждан, систематически занимающихся физической культурой и спортом в организациях всех форм собственности в Ханты-Мансийском районе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процентов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  <w:lang w:val="en-US"/>
              </w:rPr>
              <w:t>2</w:t>
            </w:r>
            <w:r>
              <w:rPr>
                <w:sz w:val="26"/>
                <w:szCs w:val="26"/>
              </w:rPr>
              <w:t>,</w:t>
            </w:r>
            <w:r>
              <w:rPr>
                <w:sz w:val="26"/>
                <w:szCs w:val="26"/>
                <w:lang w:val="en-US"/>
              </w:rPr>
              <w:t>5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25.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Предоставление теле- </w:t>
            </w:r>
            <w:proofErr w:type="spellStart"/>
            <w:r>
              <w:rPr>
                <w:sz w:val="26"/>
                <w:szCs w:val="26"/>
              </w:rPr>
              <w:t>радиоэфирного</w:t>
            </w:r>
            <w:proofErr w:type="spellEnd"/>
            <w:r>
              <w:rPr>
                <w:sz w:val="26"/>
                <w:szCs w:val="26"/>
              </w:rPr>
              <w:t xml:space="preserve"> времени, газетных полос в местных средствах массовой информации для информирования о мерах поддержки СОНКО и социальных предпринимателей, обеспечения доступа негосударственных </w:t>
            </w:r>
            <w:r>
              <w:rPr>
                <w:sz w:val="26"/>
                <w:szCs w:val="26"/>
              </w:rPr>
              <w:lastRenderedPageBreak/>
              <w:t xml:space="preserve">организаций к предоставлению услуг в социальной сфере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% от общего объема информации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3,0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color w:val="FF0000"/>
                <w:sz w:val="26"/>
                <w:szCs w:val="26"/>
              </w:rPr>
            </w:pPr>
            <w:r>
              <w:rPr>
                <w:sz w:val="26"/>
                <w:szCs w:val="26"/>
              </w:rPr>
              <w:t>МАУ Ханты-Мансийского района «Редакция газеты «Наш район»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26.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негосударственных организаций и индивидуальных предпринимателей, осуществляющих деятельность в социальной сфере на территории Ханты-Мансийского района, ставших победителями конкурса «Лучший негосударственный поставщик услуг в социальной сфере Ханты-Мансийского автономного округа – Югры» (за последние 3 года)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27.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Количество негосударственных поставщиков услуг в социальной сфере, получивших финансовую поддержку из бюджета Ханты-Мансийского района на реализацию проектов в сфере внутреннего и въездного туризма, в том числе этнографического и событийного туризма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6,3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7,8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8,9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политики,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Ресурсный центр 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t>28.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Количество действующих на территории Ханты-Мансийского района СОНКО, ставших в отчетном году победителями конкурсов Фонда президентских грантов, Президентского фонда культурных инициатив и других федеральных конкурсов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3,1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5,2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Сектор молодежной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</w:t>
            </w:r>
          </w:p>
        </w:tc>
      </w:tr>
      <w:tr w:rsidR="003A3725">
        <w:trPr>
          <w:trHeight w:val="2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tabs>
                <w:tab w:val="left" w:pos="359"/>
                <w:tab w:val="left" w:pos="642"/>
              </w:tabs>
              <w:contextualSpacing/>
              <w:jc w:val="center"/>
              <w:rPr>
                <w:rFonts w:eastAsiaTheme="minorHAnsi"/>
                <w:sz w:val="26"/>
                <w:szCs w:val="26"/>
                <w:lang w:eastAsia="en-US"/>
              </w:rPr>
            </w:pPr>
            <w:r>
              <w:rPr>
                <w:rFonts w:eastAsiaTheme="minorHAnsi"/>
                <w:sz w:val="26"/>
                <w:szCs w:val="26"/>
                <w:lang w:eastAsia="en-US"/>
              </w:rPr>
              <w:lastRenderedPageBreak/>
              <w:t>29.</w:t>
            </w:r>
          </w:p>
        </w:tc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both"/>
              <w:rPr>
                <w:color w:val="000000" w:themeColor="text1"/>
                <w:sz w:val="26"/>
                <w:szCs w:val="26"/>
              </w:rPr>
            </w:pPr>
            <w:r>
              <w:rPr>
                <w:color w:val="000000" w:themeColor="text1"/>
                <w:sz w:val="26"/>
                <w:szCs w:val="26"/>
              </w:rPr>
              <w:t>Количество действующих на территории Ханты-Мансийского района СОНКО – победителей региональных конкурсов поддержки СОНКО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widowControl w:val="0"/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единиц на 10 тысяч населения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2,6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3,6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4,7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Управление по культуре;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Ресурсный центр;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Сектор молодежной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экономической политики;</w:t>
            </w:r>
          </w:p>
          <w:p w:rsidR="003A3725" w:rsidRDefault="00D94648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Комитет по образованию</w:t>
            </w:r>
          </w:p>
        </w:tc>
      </w:tr>
    </w:tbl>
    <w:p w:rsidR="003A3725" w:rsidRDefault="003A3725">
      <w:pPr>
        <w:jc w:val="right"/>
        <w:rPr>
          <w:rFonts w:eastAsia="Calibri"/>
          <w:sz w:val="28"/>
          <w:szCs w:val="28"/>
        </w:rPr>
      </w:pPr>
    </w:p>
    <w:p w:rsidR="003A3725" w:rsidRDefault="003A3725">
      <w:pPr>
        <w:jc w:val="right"/>
        <w:rPr>
          <w:rFonts w:eastAsia="Calibri"/>
          <w:sz w:val="28"/>
          <w:szCs w:val="28"/>
        </w:rPr>
      </w:pPr>
    </w:p>
    <w:sectPr w:rsidR="003A3725">
      <w:headerReference w:type="default" r:id="rId16"/>
      <w:type w:val="nextColumn"/>
      <w:pgSz w:w="16838" w:h="11906" w:orient="landscape"/>
      <w:pgMar w:top="1418" w:right="1276" w:bottom="1134" w:left="1559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94648" w:rsidRDefault="00D94648">
      <w:r>
        <w:separator/>
      </w:r>
    </w:p>
  </w:endnote>
  <w:endnote w:type="continuationSeparator" w:id="0">
    <w:p w:rsidR="00D94648" w:rsidRDefault="00D946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20002A87" w:usb1="00000000" w:usb2="00000000" w:usb3="00000000" w:csb0="000001FF" w:csb1="00000000"/>
  </w:font>
  <w:font w:name="TimesNewRoman">
    <w:charset w:val="00"/>
    <w:family w:val="auto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94648" w:rsidRDefault="00D94648">
      <w:r>
        <w:separator/>
      </w:r>
    </w:p>
  </w:footnote>
  <w:footnote w:type="continuationSeparator" w:id="0">
    <w:p w:rsidR="00D94648" w:rsidRDefault="00D946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864129193"/>
      <w:docPartObj>
        <w:docPartGallery w:val="Page Numbers (Top of Page)"/>
        <w:docPartUnique/>
      </w:docPartObj>
    </w:sdtPr>
    <w:sdtEndPr/>
    <w:sdtContent>
      <w:p w:rsidR="00D94648" w:rsidRDefault="00D94648">
        <w:pPr>
          <w:pStyle w:val="afc"/>
          <w:jc w:val="center"/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>22</w:t>
        </w:r>
        <w:r>
          <w:rPr>
            <w:sz w:val="24"/>
          </w:rPr>
          <w:fldChar w:fldCharType="end"/>
        </w:r>
      </w:p>
    </w:sdtContent>
  </w:sdt>
  <w:p w:rsidR="00D94648" w:rsidRDefault="00D94648">
    <w:pPr>
      <w:pStyle w:val="afc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365016714"/>
      <w:docPartObj>
        <w:docPartGallery w:val="Page Numbers (Top of Page)"/>
        <w:docPartUnique/>
      </w:docPartObj>
    </w:sdtPr>
    <w:sdtEndPr/>
    <w:sdtContent>
      <w:p w:rsidR="00D94648" w:rsidRDefault="00D94648">
        <w:pPr>
          <w:pStyle w:val="afc"/>
          <w:jc w:val="center"/>
          <w:rPr>
            <w:sz w:val="24"/>
          </w:rPr>
        </w:pPr>
        <w:r>
          <w:rPr>
            <w:sz w:val="24"/>
          </w:rPr>
          <w:fldChar w:fldCharType="begin"/>
        </w:r>
        <w:r>
          <w:rPr>
            <w:sz w:val="24"/>
          </w:rPr>
          <w:instrText>PAGE   \* MERGEFORMAT</w:instrText>
        </w:r>
        <w:r>
          <w:rPr>
            <w:sz w:val="24"/>
          </w:rPr>
          <w:fldChar w:fldCharType="separate"/>
        </w:r>
        <w:r>
          <w:rPr>
            <w:sz w:val="24"/>
          </w:rPr>
          <w:t>2</w:t>
        </w:r>
        <w:r>
          <w:rPr>
            <w:sz w:val="24"/>
          </w:rPr>
          <w:fldChar w:fldCharType="end"/>
        </w:r>
      </w:p>
    </w:sdtContent>
  </w:sdt>
  <w:p w:rsidR="00D94648" w:rsidRDefault="00D94648">
    <w:pPr>
      <w:pStyle w:val="afc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664858839"/>
      <w:docPartObj>
        <w:docPartGallery w:val="Page Numbers (Top of Page)"/>
        <w:docPartUnique/>
      </w:docPartObj>
    </w:sdtPr>
    <w:sdtEndPr/>
    <w:sdtContent>
      <w:p w:rsidR="00D94648" w:rsidRDefault="00D94648">
        <w:pPr>
          <w:pStyle w:val="af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27</w:t>
        </w:r>
        <w:r>
          <w:fldChar w:fldCharType="end"/>
        </w:r>
      </w:p>
    </w:sdtContent>
  </w:sdt>
  <w:p w:rsidR="00D94648" w:rsidRDefault="00D94648">
    <w:pPr>
      <w:pStyle w:val="afc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E27DB4"/>
    <w:multiLevelType w:val="multilevel"/>
    <w:tmpl w:val="6A5A8B54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  <w:color w:val="000000" w:themeColor="text1"/>
      </w:rPr>
    </w:lvl>
    <w:lvl w:ilvl="1">
      <w:start w:val="1"/>
      <w:numFmt w:val="decimal"/>
      <w:lvlText w:val="%1.%2."/>
      <w:lvlJc w:val="left"/>
      <w:pPr>
        <w:ind w:left="1141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C59667D"/>
    <w:multiLevelType w:val="hybridMultilevel"/>
    <w:tmpl w:val="481E18CE"/>
    <w:lvl w:ilvl="0" w:tplc="16CCD61A">
      <w:start w:val="1"/>
      <w:numFmt w:val="decimal"/>
      <w:lvlText w:val="%1."/>
      <w:lvlJc w:val="left"/>
      <w:pPr>
        <w:ind w:left="360" w:hanging="360"/>
      </w:pPr>
    </w:lvl>
    <w:lvl w:ilvl="1" w:tplc="2BAE15A2">
      <w:start w:val="1"/>
      <w:numFmt w:val="lowerLetter"/>
      <w:lvlText w:val="%2."/>
      <w:lvlJc w:val="left"/>
      <w:pPr>
        <w:ind w:left="1089" w:hanging="360"/>
      </w:pPr>
    </w:lvl>
    <w:lvl w:ilvl="2" w:tplc="37482502">
      <w:start w:val="1"/>
      <w:numFmt w:val="lowerRoman"/>
      <w:lvlText w:val="%3."/>
      <w:lvlJc w:val="right"/>
      <w:pPr>
        <w:ind w:left="1809" w:hanging="180"/>
      </w:pPr>
    </w:lvl>
    <w:lvl w:ilvl="3" w:tplc="23887A4A">
      <w:start w:val="1"/>
      <w:numFmt w:val="decimal"/>
      <w:lvlText w:val="%4."/>
      <w:lvlJc w:val="left"/>
      <w:pPr>
        <w:ind w:left="2529" w:hanging="360"/>
      </w:pPr>
    </w:lvl>
    <w:lvl w:ilvl="4" w:tplc="F17CE0A2">
      <w:start w:val="1"/>
      <w:numFmt w:val="lowerLetter"/>
      <w:lvlText w:val="%5."/>
      <w:lvlJc w:val="left"/>
      <w:pPr>
        <w:ind w:left="3249" w:hanging="360"/>
      </w:pPr>
    </w:lvl>
    <w:lvl w:ilvl="5" w:tplc="35B6F516">
      <w:start w:val="1"/>
      <w:numFmt w:val="lowerRoman"/>
      <w:lvlText w:val="%6."/>
      <w:lvlJc w:val="right"/>
      <w:pPr>
        <w:ind w:left="3969" w:hanging="180"/>
      </w:pPr>
    </w:lvl>
    <w:lvl w:ilvl="6" w:tplc="D5721948">
      <w:start w:val="1"/>
      <w:numFmt w:val="decimal"/>
      <w:lvlText w:val="%7."/>
      <w:lvlJc w:val="left"/>
      <w:pPr>
        <w:ind w:left="4689" w:hanging="360"/>
      </w:pPr>
    </w:lvl>
    <w:lvl w:ilvl="7" w:tplc="2E26D724">
      <w:start w:val="1"/>
      <w:numFmt w:val="lowerLetter"/>
      <w:lvlText w:val="%8."/>
      <w:lvlJc w:val="left"/>
      <w:pPr>
        <w:ind w:left="5409" w:hanging="360"/>
      </w:pPr>
    </w:lvl>
    <w:lvl w:ilvl="8" w:tplc="FD7623B4">
      <w:start w:val="1"/>
      <w:numFmt w:val="lowerRoman"/>
      <w:lvlText w:val="%9."/>
      <w:lvlJc w:val="right"/>
      <w:pPr>
        <w:ind w:left="6129" w:hanging="180"/>
      </w:pPr>
    </w:lvl>
  </w:abstractNum>
  <w:abstractNum w:abstractNumId="2" w15:restartNumberingAfterBreak="0">
    <w:nsid w:val="0E410F99"/>
    <w:multiLevelType w:val="hybridMultilevel"/>
    <w:tmpl w:val="29C0F2EC"/>
    <w:lvl w:ilvl="0" w:tplc="F6A0DE4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F24D016">
      <w:start w:val="1"/>
      <w:numFmt w:val="lowerLetter"/>
      <w:lvlText w:val="%2."/>
      <w:lvlJc w:val="left"/>
      <w:pPr>
        <w:ind w:left="1440" w:hanging="360"/>
      </w:pPr>
    </w:lvl>
    <w:lvl w:ilvl="2" w:tplc="535A0B88">
      <w:start w:val="1"/>
      <w:numFmt w:val="lowerRoman"/>
      <w:lvlText w:val="%3."/>
      <w:lvlJc w:val="right"/>
      <w:pPr>
        <w:ind w:left="2160" w:hanging="180"/>
      </w:pPr>
    </w:lvl>
    <w:lvl w:ilvl="3" w:tplc="DA06A71A">
      <w:start w:val="1"/>
      <w:numFmt w:val="decimal"/>
      <w:lvlText w:val="%4."/>
      <w:lvlJc w:val="left"/>
      <w:pPr>
        <w:ind w:left="2880" w:hanging="360"/>
      </w:pPr>
    </w:lvl>
    <w:lvl w:ilvl="4" w:tplc="0E8692E4">
      <w:start w:val="1"/>
      <w:numFmt w:val="lowerLetter"/>
      <w:lvlText w:val="%5."/>
      <w:lvlJc w:val="left"/>
      <w:pPr>
        <w:ind w:left="3600" w:hanging="360"/>
      </w:pPr>
    </w:lvl>
    <w:lvl w:ilvl="5" w:tplc="AF420696">
      <w:start w:val="1"/>
      <w:numFmt w:val="lowerRoman"/>
      <w:lvlText w:val="%6."/>
      <w:lvlJc w:val="right"/>
      <w:pPr>
        <w:ind w:left="4320" w:hanging="180"/>
      </w:pPr>
    </w:lvl>
    <w:lvl w:ilvl="6" w:tplc="1B865DF8">
      <w:start w:val="1"/>
      <w:numFmt w:val="decimal"/>
      <w:lvlText w:val="%7."/>
      <w:lvlJc w:val="left"/>
      <w:pPr>
        <w:ind w:left="5040" w:hanging="360"/>
      </w:pPr>
    </w:lvl>
    <w:lvl w:ilvl="7" w:tplc="52BC4B8E">
      <w:start w:val="1"/>
      <w:numFmt w:val="lowerLetter"/>
      <w:lvlText w:val="%8."/>
      <w:lvlJc w:val="left"/>
      <w:pPr>
        <w:ind w:left="5760" w:hanging="360"/>
      </w:pPr>
    </w:lvl>
    <w:lvl w:ilvl="8" w:tplc="F01273BE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9D2A0F"/>
    <w:multiLevelType w:val="hybridMultilevel"/>
    <w:tmpl w:val="95C2D7AC"/>
    <w:lvl w:ilvl="0" w:tplc="5C28C4A2">
      <w:start w:val="2024"/>
      <w:numFmt w:val="decimal"/>
      <w:lvlText w:val="%1"/>
      <w:lvlJc w:val="left"/>
      <w:pPr>
        <w:ind w:left="960" w:hanging="600"/>
      </w:pPr>
      <w:rPr>
        <w:rFonts w:hint="default"/>
        <w:color w:val="auto"/>
      </w:rPr>
    </w:lvl>
    <w:lvl w:ilvl="1" w:tplc="FD147F54">
      <w:start w:val="1"/>
      <w:numFmt w:val="lowerLetter"/>
      <w:lvlText w:val="%2."/>
      <w:lvlJc w:val="left"/>
      <w:pPr>
        <w:ind w:left="1440" w:hanging="360"/>
      </w:pPr>
    </w:lvl>
    <w:lvl w:ilvl="2" w:tplc="25F462EC">
      <w:start w:val="1"/>
      <w:numFmt w:val="lowerRoman"/>
      <w:lvlText w:val="%3."/>
      <w:lvlJc w:val="right"/>
      <w:pPr>
        <w:ind w:left="2160" w:hanging="180"/>
      </w:pPr>
    </w:lvl>
    <w:lvl w:ilvl="3" w:tplc="94F05844">
      <w:start w:val="1"/>
      <w:numFmt w:val="decimal"/>
      <w:lvlText w:val="%4."/>
      <w:lvlJc w:val="left"/>
      <w:pPr>
        <w:ind w:left="2880" w:hanging="360"/>
      </w:pPr>
    </w:lvl>
    <w:lvl w:ilvl="4" w:tplc="B220E6BC">
      <w:start w:val="1"/>
      <w:numFmt w:val="lowerLetter"/>
      <w:lvlText w:val="%5."/>
      <w:lvlJc w:val="left"/>
      <w:pPr>
        <w:ind w:left="3600" w:hanging="360"/>
      </w:pPr>
    </w:lvl>
    <w:lvl w:ilvl="5" w:tplc="40986300">
      <w:start w:val="1"/>
      <w:numFmt w:val="lowerRoman"/>
      <w:lvlText w:val="%6."/>
      <w:lvlJc w:val="right"/>
      <w:pPr>
        <w:ind w:left="4320" w:hanging="180"/>
      </w:pPr>
    </w:lvl>
    <w:lvl w:ilvl="6" w:tplc="60C6F9A6">
      <w:start w:val="1"/>
      <w:numFmt w:val="decimal"/>
      <w:lvlText w:val="%7."/>
      <w:lvlJc w:val="left"/>
      <w:pPr>
        <w:ind w:left="5040" w:hanging="360"/>
      </w:pPr>
    </w:lvl>
    <w:lvl w:ilvl="7" w:tplc="D866456C">
      <w:start w:val="1"/>
      <w:numFmt w:val="lowerLetter"/>
      <w:lvlText w:val="%8."/>
      <w:lvlJc w:val="left"/>
      <w:pPr>
        <w:ind w:left="5760" w:hanging="360"/>
      </w:pPr>
    </w:lvl>
    <w:lvl w:ilvl="8" w:tplc="8CE2436C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8C543C"/>
    <w:multiLevelType w:val="hybridMultilevel"/>
    <w:tmpl w:val="8AF8D018"/>
    <w:lvl w:ilvl="0" w:tplc="C4F0B12C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6E04047A">
      <w:start w:val="1"/>
      <w:numFmt w:val="lowerLetter"/>
      <w:lvlText w:val="%2."/>
      <w:lvlJc w:val="left"/>
      <w:pPr>
        <w:ind w:left="1440" w:hanging="360"/>
      </w:pPr>
    </w:lvl>
    <w:lvl w:ilvl="2" w:tplc="06261FB6">
      <w:start w:val="1"/>
      <w:numFmt w:val="lowerRoman"/>
      <w:lvlText w:val="%3."/>
      <w:lvlJc w:val="right"/>
      <w:pPr>
        <w:ind w:left="2160" w:hanging="180"/>
      </w:pPr>
    </w:lvl>
    <w:lvl w:ilvl="3" w:tplc="E5E2BEB2">
      <w:start w:val="1"/>
      <w:numFmt w:val="decimal"/>
      <w:lvlText w:val="%4."/>
      <w:lvlJc w:val="left"/>
      <w:pPr>
        <w:ind w:left="2880" w:hanging="360"/>
      </w:pPr>
    </w:lvl>
    <w:lvl w:ilvl="4" w:tplc="5232A52C">
      <w:start w:val="1"/>
      <w:numFmt w:val="lowerLetter"/>
      <w:lvlText w:val="%5."/>
      <w:lvlJc w:val="left"/>
      <w:pPr>
        <w:ind w:left="3600" w:hanging="360"/>
      </w:pPr>
    </w:lvl>
    <w:lvl w:ilvl="5" w:tplc="2CDAF538">
      <w:start w:val="1"/>
      <w:numFmt w:val="lowerRoman"/>
      <w:lvlText w:val="%6."/>
      <w:lvlJc w:val="right"/>
      <w:pPr>
        <w:ind w:left="4320" w:hanging="180"/>
      </w:pPr>
    </w:lvl>
    <w:lvl w:ilvl="6" w:tplc="157698CA">
      <w:start w:val="1"/>
      <w:numFmt w:val="decimal"/>
      <w:lvlText w:val="%7."/>
      <w:lvlJc w:val="left"/>
      <w:pPr>
        <w:ind w:left="5040" w:hanging="360"/>
      </w:pPr>
    </w:lvl>
    <w:lvl w:ilvl="7" w:tplc="077A46D8">
      <w:start w:val="1"/>
      <w:numFmt w:val="lowerLetter"/>
      <w:lvlText w:val="%8."/>
      <w:lvlJc w:val="left"/>
      <w:pPr>
        <w:ind w:left="5760" w:hanging="360"/>
      </w:pPr>
    </w:lvl>
    <w:lvl w:ilvl="8" w:tplc="36C69FBC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97152F"/>
    <w:multiLevelType w:val="hybridMultilevel"/>
    <w:tmpl w:val="BF720464"/>
    <w:lvl w:ilvl="0" w:tplc="E6C0F546">
      <w:start w:val="1"/>
      <w:numFmt w:val="decimal"/>
      <w:lvlText w:val="%1."/>
      <w:lvlJc w:val="left"/>
      <w:pPr>
        <w:ind w:left="1863" w:hanging="1155"/>
      </w:pPr>
      <w:rPr>
        <w:rFonts w:cstheme="minorBidi" w:hint="default"/>
      </w:rPr>
    </w:lvl>
    <w:lvl w:ilvl="1" w:tplc="2D80F114">
      <w:start w:val="1"/>
      <w:numFmt w:val="lowerLetter"/>
      <w:lvlText w:val="%2."/>
      <w:lvlJc w:val="left"/>
      <w:pPr>
        <w:ind w:left="1788" w:hanging="360"/>
      </w:pPr>
    </w:lvl>
    <w:lvl w:ilvl="2" w:tplc="53A2F192">
      <w:start w:val="1"/>
      <w:numFmt w:val="lowerRoman"/>
      <w:lvlText w:val="%3."/>
      <w:lvlJc w:val="right"/>
      <w:pPr>
        <w:ind w:left="2508" w:hanging="180"/>
      </w:pPr>
    </w:lvl>
    <w:lvl w:ilvl="3" w:tplc="1DB8A76E">
      <w:start w:val="1"/>
      <w:numFmt w:val="decimal"/>
      <w:lvlText w:val="%4."/>
      <w:lvlJc w:val="left"/>
      <w:pPr>
        <w:ind w:left="3228" w:hanging="360"/>
      </w:pPr>
    </w:lvl>
    <w:lvl w:ilvl="4" w:tplc="C6A4FC7E">
      <w:start w:val="1"/>
      <w:numFmt w:val="lowerLetter"/>
      <w:lvlText w:val="%5."/>
      <w:lvlJc w:val="left"/>
      <w:pPr>
        <w:ind w:left="3948" w:hanging="360"/>
      </w:pPr>
    </w:lvl>
    <w:lvl w:ilvl="5" w:tplc="F76C8D02">
      <w:start w:val="1"/>
      <w:numFmt w:val="lowerRoman"/>
      <w:lvlText w:val="%6."/>
      <w:lvlJc w:val="right"/>
      <w:pPr>
        <w:ind w:left="4668" w:hanging="180"/>
      </w:pPr>
    </w:lvl>
    <w:lvl w:ilvl="6" w:tplc="1BAAC104">
      <w:start w:val="1"/>
      <w:numFmt w:val="decimal"/>
      <w:lvlText w:val="%7."/>
      <w:lvlJc w:val="left"/>
      <w:pPr>
        <w:ind w:left="5388" w:hanging="360"/>
      </w:pPr>
    </w:lvl>
    <w:lvl w:ilvl="7" w:tplc="2D00BA0A">
      <w:start w:val="1"/>
      <w:numFmt w:val="lowerLetter"/>
      <w:lvlText w:val="%8."/>
      <w:lvlJc w:val="left"/>
      <w:pPr>
        <w:ind w:left="6108" w:hanging="360"/>
      </w:pPr>
    </w:lvl>
    <w:lvl w:ilvl="8" w:tplc="A0D6D440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1E125B43"/>
    <w:multiLevelType w:val="hybridMultilevel"/>
    <w:tmpl w:val="D060A1B8"/>
    <w:lvl w:ilvl="0" w:tplc="AB7E9C3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452B0A0">
      <w:start w:val="1"/>
      <w:numFmt w:val="lowerLetter"/>
      <w:lvlText w:val="%2."/>
      <w:lvlJc w:val="left"/>
      <w:pPr>
        <w:ind w:left="1440" w:hanging="360"/>
      </w:pPr>
    </w:lvl>
    <w:lvl w:ilvl="2" w:tplc="9F0627E2">
      <w:start w:val="1"/>
      <w:numFmt w:val="lowerRoman"/>
      <w:lvlText w:val="%3."/>
      <w:lvlJc w:val="right"/>
      <w:pPr>
        <w:ind w:left="2160" w:hanging="180"/>
      </w:pPr>
    </w:lvl>
    <w:lvl w:ilvl="3" w:tplc="582E72D0">
      <w:start w:val="1"/>
      <w:numFmt w:val="decimal"/>
      <w:lvlText w:val="%4."/>
      <w:lvlJc w:val="left"/>
      <w:pPr>
        <w:ind w:left="2880" w:hanging="360"/>
      </w:pPr>
    </w:lvl>
    <w:lvl w:ilvl="4" w:tplc="3A9CDF5C">
      <w:start w:val="1"/>
      <w:numFmt w:val="lowerLetter"/>
      <w:lvlText w:val="%5."/>
      <w:lvlJc w:val="left"/>
      <w:pPr>
        <w:ind w:left="3600" w:hanging="360"/>
      </w:pPr>
    </w:lvl>
    <w:lvl w:ilvl="5" w:tplc="645CB400">
      <w:start w:val="1"/>
      <w:numFmt w:val="lowerRoman"/>
      <w:lvlText w:val="%6."/>
      <w:lvlJc w:val="right"/>
      <w:pPr>
        <w:ind w:left="4320" w:hanging="180"/>
      </w:pPr>
    </w:lvl>
    <w:lvl w:ilvl="6" w:tplc="FE18652A">
      <w:start w:val="1"/>
      <w:numFmt w:val="decimal"/>
      <w:lvlText w:val="%7."/>
      <w:lvlJc w:val="left"/>
      <w:pPr>
        <w:ind w:left="5040" w:hanging="360"/>
      </w:pPr>
    </w:lvl>
    <w:lvl w:ilvl="7" w:tplc="524ED774">
      <w:start w:val="1"/>
      <w:numFmt w:val="lowerLetter"/>
      <w:lvlText w:val="%8."/>
      <w:lvlJc w:val="left"/>
      <w:pPr>
        <w:ind w:left="5760" w:hanging="360"/>
      </w:pPr>
    </w:lvl>
    <w:lvl w:ilvl="8" w:tplc="1DE65A8E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B1711D"/>
    <w:multiLevelType w:val="hybridMultilevel"/>
    <w:tmpl w:val="885245B8"/>
    <w:lvl w:ilvl="0" w:tplc="F7680CDA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63541B10">
      <w:start w:val="1"/>
      <w:numFmt w:val="lowerLetter"/>
      <w:lvlText w:val="%2."/>
      <w:lvlJc w:val="left"/>
      <w:pPr>
        <w:ind w:left="1789" w:hanging="360"/>
      </w:pPr>
    </w:lvl>
    <w:lvl w:ilvl="2" w:tplc="A47CB59E">
      <w:start w:val="1"/>
      <w:numFmt w:val="lowerRoman"/>
      <w:lvlText w:val="%3."/>
      <w:lvlJc w:val="right"/>
      <w:pPr>
        <w:ind w:left="2509" w:hanging="180"/>
      </w:pPr>
    </w:lvl>
    <w:lvl w:ilvl="3" w:tplc="E27EA706">
      <w:start w:val="1"/>
      <w:numFmt w:val="decimal"/>
      <w:lvlText w:val="%4."/>
      <w:lvlJc w:val="left"/>
      <w:pPr>
        <w:ind w:left="3229" w:hanging="360"/>
      </w:pPr>
    </w:lvl>
    <w:lvl w:ilvl="4" w:tplc="10841DE2">
      <w:start w:val="1"/>
      <w:numFmt w:val="lowerLetter"/>
      <w:lvlText w:val="%5."/>
      <w:lvlJc w:val="left"/>
      <w:pPr>
        <w:ind w:left="3949" w:hanging="360"/>
      </w:pPr>
    </w:lvl>
    <w:lvl w:ilvl="5" w:tplc="DD68673A">
      <w:start w:val="1"/>
      <w:numFmt w:val="lowerRoman"/>
      <w:lvlText w:val="%6."/>
      <w:lvlJc w:val="right"/>
      <w:pPr>
        <w:ind w:left="4669" w:hanging="180"/>
      </w:pPr>
    </w:lvl>
    <w:lvl w:ilvl="6" w:tplc="8E14238E">
      <w:start w:val="1"/>
      <w:numFmt w:val="decimal"/>
      <w:lvlText w:val="%7."/>
      <w:lvlJc w:val="left"/>
      <w:pPr>
        <w:ind w:left="5389" w:hanging="360"/>
      </w:pPr>
    </w:lvl>
    <w:lvl w:ilvl="7" w:tplc="6A26B69E">
      <w:start w:val="1"/>
      <w:numFmt w:val="lowerLetter"/>
      <w:lvlText w:val="%8."/>
      <w:lvlJc w:val="left"/>
      <w:pPr>
        <w:ind w:left="6109" w:hanging="360"/>
      </w:pPr>
    </w:lvl>
    <w:lvl w:ilvl="8" w:tplc="802C7B5E">
      <w:start w:val="1"/>
      <w:numFmt w:val="lowerRoman"/>
      <w:lvlText w:val="%9."/>
      <w:lvlJc w:val="right"/>
      <w:pPr>
        <w:ind w:left="6829" w:hanging="180"/>
      </w:pPr>
    </w:lvl>
  </w:abstractNum>
  <w:abstractNum w:abstractNumId="8" w15:restartNumberingAfterBreak="0">
    <w:nsid w:val="302075B2"/>
    <w:multiLevelType w:val="hybridMultilevel"/>
    <w:tmpl w:val="E13C7C0A"/>
    <w:lvl w:ilvl="0" w:tplc="F6BC1C0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D64BAF6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 w:tplc="125CC968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 w:tplc="1DD4C0F6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 w:tplc="401C079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 w:tplc="3DBCA22A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 w:tplc="B5B808E4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 w:tplc="7A6E5E4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 w:tplc="66B0DC7A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9" w15:restartNumberingAfterBreak="0">
    <w:nsid w:val="32FE6EAA"/>
    <w:multiLevelType w:val="multilevel"/>
    <w:tmpl w:val="9C1A052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0" w15:restartNumberingAfterBreak="0">
    <w:nsid w:val="3FBA03E7"/>
    <w:multiLevelType w:val="hybridMultilevel"/>
    <w:tmpl w:val="C3CC0318"/>
    <w:lvl w:ilvl="0" w:tplc="2C94B9B2">
      <w:start w:val="1"/>
      <w:numFmt w:val="decimal"/>
      <w:lvlText w:val="%1."/>
      <w:lvlJc w:val="left"/>
      <w:pPr>
        <w:ind w:left="810" w:hanging="360"/>
      </w:pPr>
    </w:lvl>
    <w:lvl w:ilvl="1" w:tplc="5B16AFB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2621E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BBECD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B3861D0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2AC99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88515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7E9F9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AA518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61933D1"/>
    <w:multiLevelType w:val="multilevel"/>
    <w:tmpl w:val="674C5876"/>
    <w:lvl w:ilvl="0">
      <w:start w:val="1"/>
      <w:numFmt w:val="decimal"/>
      <w:lvlText w:val="%1."/>
      <w:lvlJc w:val="left"/>
      <w:pPr>
        <w:ind w:left="567" w:hanging="283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110" w:hanging="7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2" w15:restartNumberingAfterBreak="0">
    <w:nsid w:val="576A50D3"/>
    <w:multiLevelType w:val="multilevel"/>
    <w:tmpl w:val="2E6427D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66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749" w:hanging="2160"/>
      </w:pPr>
      <w:rPr>
        <w:rFonts w:hint="default"/>
      </w:rPr>
    </w:lvl>
  </w:abstractNum>
  <w:abstractNum w:abstractNumId="13" w15:restartNumberingAfterBreak="0">
    <w:nsid w:val="578D0B28"/>
    <w:multiLevelType w:val="hybridMultilevel"/>
    <w:tmpl w:val="82068628"/>
    <w:lvl w:ilvl="0" w:tplc="11600BF2">
      <w:start w:val="1"/>
      <w:numFmt w:val="decimal"/>
      <w:lvlText w:val="%1."/>
      <w:lvlJc w:val="left"/>
      <w:pPr>
        <w:ind w:left="720" w:hanging="360"/>
      </w:pPr>
    </w:lvl>
    <w:lvl w:ilvl="1" w:tplc="8ECA668E">
      <w:start w:val="1"/>
      <w:numFmt w:val="lowerLetter"/>
      <w:lvlText w:val="%2."/>
      <w:lvlJc w:val="left"/>
      <w:pPr>
        <w:ind w:left="1440" w:hanging="360"/>
      </w:pPr>
    </w:lvl>
    <w:lvl w:ilvl="2" w:tplc="D67E3AEA">
      <w:start w:val="1"/>
      <w:numFmt w:val="lowerRoman"/>
      <w:lvlText w:val="%3."/>
      <w:lvlJc w:val="right"/>
      <w:pPr>
        <w:ind w:left="2160" w:hanging="180"/>
      </w:pPr>
    </w:lvl>
    <w:lvl w:ilvl="3" w:tplc="70DE8D0A">
      <w:start w:val="1"/>
      <w:numFmt w:val="decimal"/>
      <w:lvlText w:val="%4."/>
      <w:lvlJc w:val="left"/>
      <w:pPr>
        <w:ind w:left="2880" w:hanging="360"/>
      </w:pPr>
    </w:lvl>
    <w:lvl w:ilvl="4" w:tplc="209A065A">
      <w:start w:val="1"/>
      <w:numFmt w:val="lowerLetter"/>
      <w:lvlText w:val="%5."/>
      <w:lvlJc w:val="left"/>
      <w:pPr>
        <w:ind w:left="3600" w:hanging="360"/>
      </w:pPr>
    </w:lvl>
    <w:lvl w:ilvl="5" w:tplc="16588A98">
      <w:start w:val="1"/>
      <w:numFmt w:val="lowerRoman"/>
      <w:lvlText w:val="%6."/>
      <w:lvlJc w:val="right"/>
      <w:pPr>
        <w:ind w:left="4320" w:hanging="180"/>
      </w:pPr>
    </w:lvl>
    <w:lvl w:ilvl="6" w:tplc="81144B92">
      <w:start w:val="1"/>
      <w:numFmt w:val="decimal"/>
      <w:lvlText w:val="%7."/>
      <w:lvlJc w:val="left"/>
      <w:pPr>
        <w:ind w:left="5040" w:hanging="360"/>
      </w:pPr>
    </w:lvl>
    <w:lvl w:ilvl="7" w:tplc="79981EA2">
      <w:start w:val="1"/>
      <w:numFmt w:val="lowerLetter"/>
      <w:lvlText w:val="%8."/>
      <w:lvlJc w:val="left"/>
      <w:pPr>
        <w:ind w:left="5760" w:hanging="360"/>
      </w:pPr>
    </w:lvl>
    <w:lvl w:ilvl="8" w:tplc="705266D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8502E88"/>
    <w:multiLevelType w:val="hybridMultilevel"/>
    <w:tmpl w:val="8618B97E"/>
    <w:lvl w:ilvl="0" w:tplc="8BD8693C">
      <w:start w:val="1"/>
      <w:numFmt w:val="decimal"/>
      <w:lvlText w:val="%1."/>
      <w:lvlJc w:val="left"/>
      <w:pPr>
        <w:ind w:left="720" w:hanging="360"/>
      </w:pPr>
    </w:lvl>
    <w:lvl w:ilvl="1" w:tplc="956276FA">
      <w:start w:val="1"/>
      <w:numFmt w:val="lowerLetter"/>
      <w:lvlText w:val="%2."/>
      <w:lvlJc w:val="left"/>
      <w:pPr>
        <w:ind w:left="1440" w:hanging="360"/>
      </w:pPr>
    </w:lvl>
    <w:lvl w:ilvl="2" w:tplc="C8C8456C">
      <w:start w:val="1"/>
      <w:numFmt w:val="lowerRoman"/>
      <w:lvlText w:val="%3."/>
      <w:lvlJc w:val="right"/>
      <w:pPr>
        <w:ind w:left="2160" w:hanging="180"/>
      </w:pPr>
    </w:lvl>
    <w:lvl w:ilvl="3" w:tplc="B50CFB56">
      <w:start w:val="1"/>
      <w:numFmt w:val="decimal"/>
      <w:lvlText w:val="%4."/>
      <w:lvlJc w:val="left"/>
      <w:pPr>
        <w:ind w:left="2880" w:hanging="360"/>
      </w:pPr>
    </w:lvl>
    <w:lvl w:ilvl="4" w:tplc="C82E2FA4">
      <w:start w:val="1"/>
      <w:numFmt w:val="lowerLetter"/>
      <w:lvlText w:val="%5."/>
      <w:lvlJc w:val="left"/>
      <w:pPr>
        <w:ind w:left="3600" w:hanging="360"/>
      </w:pPr>
    </w:lvl>
    <w:lvl w:ilvl="5" w:tplc="F5E86920">
      <w:start w:val="1"/>
      <w:numFmt w:val="lowerRoman"/>
      <w:lvlText w:val="%6."/>
      <w:lvlJc w:val="right"/>
      <w:pPr>
        <w:ind w:left="4320" w:hanging="180"/>
      </w:pPr>
    </w:lvl>
    <w:lvl w:ilvl="6" w:tplc="75C21886">
      <w:start w:val="1"/>
      <w:numFmt w:val="decimal"/>
      <w:lvlText w:val="%7."/>
      <w:lvlJc w:val="left"/>
      <w:pPr>
        <w:ind w:left="5040" w:hanging="360"/>
      </w:pPr>
    </w:lvl>
    <w:lvl w:ilvl="7" w:tplc="22DE27DC">
      <w:start w:val="1"/>
      <w:numFmt w:val="lowerLetter"/>
      <w:lvlText w:val="%8."/>
      <w:lvlJc w:val="left"/>
      <w:pPr>
        <w:ind w:left="5760" w:hanging="360"/>
      </w:pPr>
    </w:lvl>
    <w:lvl w:ilvl="8" w:tplc="858EFC8C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8D1286"/>
    <w:multiLevelType w:val="hybridMultilevel"/>
    <w:tmpl w:val="AABC8672"/>
    <w:lvl w:ilvl="0" w:tplc="28B8A23E">
      <w:start w:val="1"/>
      <w:numFmt w:val="decimal"/>
      <w:lvlText w:val="%1."/>
      <w:lvlJc w:val="left"/>
      <w:pPr>
        <w:ind w:left="720" w:hanging="360"/>
      </w:pPr>
    </w:lvl>
    <w:lvl w:ilvl="1" w:tplc="8FF662F6">
      <w:start w:val="1"/>
      <w:numFmt w:val="lowerLetter"/>
      <w:lvlText w:val="%2."/>
      <w:lvlJc w:val="left"/>
      <w:pPr>
        <w:ind w:left="1440" w:hanging="360"/>
      </w:pPr>
    </w:lvl>
    <w:lvl w:ilvl="2" w:tplc="10364A72">
      <w:start w:val="1"/>
      <w:numFmt w:val="lowerRoman"/>
      <w:lvlText w:val="%3."/>
      <w:lvlJc w:val="right"/>
      <w:pPr>
        <w:ind w:left="2160" w:hanging="180"/>
      </w:pPr>
    </w:lvl>
    <w:lvl w:ilvl="3" w:tplc="5D9A6FB6">
      <w:start w:val="1"/>
      <w:numFmt w:val="decimal"/>
      <w:lvlText w:val="%4."/>
      <w:lvlJc w:val="left"/>
      <w:pPr>
        <w:ind w:left="2880" w:hanging="360"/>
      </w:pPr>
    </w:lvl>
    <w:lvl w:ilvl="4" w:tplc="01403A3A">
      <w:start w:val="1"/>
      <w:numFmt w:val="lowerLetter"/>
      <w:lvlText w:val="%5."/>
      <w:lvlJc w:val="left"/>
      <w:pPr>
        <w:ind w:left="3600" w:hanging="360"/>
      </w:pPr>
    </w:lvl>
    <w:lvl w:ilvl="5" w:tplc="148A3D4E">
      <w:start w:val="1"/>
      <w:numFmt w:val="lowerRoman"/>
      <w:lvlText w:val="%6."/>
      <w:lvlJc w:val="right"/>
      <w:pPr>
        <w:ind w:left="4320" w:hanging="180"/>
      </w:pPr>
    </w:lvl>
    <w:lvl w:ilvl="6" w:tplc="6770C4CC">
      <w:start w:val="1"/>
      <w:numFmt w:val="decimal"/>
      <w:lvlText w:val="%7."/>
      <w:lvlJc w:val="left"/>
      <w:pPr>
        <w:ind w:left="5040" w:hanging="360"/>
      </w:pPr>
    </w:lvl>
    <w:lvl w:ilvl="7" w:tplc="40A0AB0E">
      <w:start w:val="1"/>
      <w:numFmt w:val="lowerLetter"/>
      <w:lvlText w:val="%8."/>
      <w:lvlJc w:val="left"/>
      <w:pPr>
        <w:ind w:left="5760" w:hanging="360"/>
      </w:pPr>
    </w:lvl>
    <w:lvl w:ilvl="8" w:tplc="B5FAB1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EF35D4"/>
    <w:multiLevelType w:val="hybridMultilevel"/>
    <w:tmpl w:val="9506A0C8"/>
    <w:lvl w:ilvl="0" w:tplc="8D3811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579C9374">
      <w:start w:val="1"/>
      <w:numFmt w:val="lowerLetter"/>
      <w:lvlText w:val="%2."/>
      <w:lvlJc w:val="left"/>
      <w:pPr>
        <w:ind w:left="1440" w:hanging="360"/>
      </w:pPr>
    </w:lvl>
    <w:lvl w:ilvl="2" w:tplc="55F4EE24">
      <w:start w:val="1"/>
      <w:numFmt w:val="lowerRoman"/>
      <w:lvlText w:val="%3."/>
      <w:lvlJc w:val="right"/>
      <w:pPr>
        <w:ind w:left="2160" w:hanging="180"/>
      </w:pPr>
    </w:lvl>
    <w:lvl w:ilvl="3" w:tplc="9424A03A">
      <w:start w:val="1"/>
      <w:numFmt w:val="decimal"/>
      <w:lvlText w:val="%4."/>
      <w:lvlJc w:val="left"/>
      <w:pPr>
        <w:ind w:left="2880" w:hanging="360"/>
      </w:pPr>
    </w:lvl>
    <w:lvl w:ilvl="4" w:tplc="7D56D43E">
      <w:start w:val="1"/>
      <w:numFmt w:val="lowerLetter"/>
      <w:lvlText w:val="%5."/>
      <w:lvlJc w:val="left"/>
      <w:pPr>
        <w:ind w:left="3600" w:hanging="360"/>
      </w:pPr>
    </w:lvl>
    <w:lvl w:ilvl="5" w:tplc="F51CB3F4">
      <w:start w:val="1"/>
      <w:numFmt w:val="lowerRoman"/>
      <w:lvlText w:val="%6."/>
      <w:lvlJc w:val="right"/>
      <w:pPr>
        <w:ind w:left="4320" w:hanging="180"/>
      </w:pPr>
    </w:lvl>
    <w:lvl w:ilvl="6" w:tplc="280E2724">
      <w:start w:val="1"/>
      <w:numFmt w:val="decimal"/>
      <w:lvlText w:val="%7."/>
      <w:lvlJc w:val="left"/>
      <w:pPr>
        <w:ind w:left="5040" w:hanging="360"/>
      </w:pPr>
    </w:lvl>
    <w:lvl w:ilvl="7" w:tplc="17600CEE">
      <w:start w:val="1"/>
      <w:numFmt w:val="lowerLetter"/>
      <w:lvlText w:val="%8."/>
      <w:lvlJc w:val="left"/>
      <w:pPr>
        <w:ind w:left="5760" w:hanging="360"/>
      </w:pPr>
    </w:lvl>
    <w:lvl w:ilvl="8" w:tplc="52363814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8BA7357"/>
    <w:multiLevelType w:val="hybridMultilevel"/>
    <w:tmpl w:val="485C541C"/>
    <w:lvl w:ilvl="0" w:tplc="229401D6">
      <w:start w:val="2024"/>
      <w:numFmt w:val="decimal"/>
      <w:lvlText w:val="%1"/>
      <w:lvlJc w:val="left"/>
      <w:pPr>
        <w:ind w:left="960" w:hanging="600"/>
      </w:pPr>
      <w:rPr>
        <w:rFonts w:hint="default"/>
      </w:rPr>
    </w:lvl>
    <w:lvl w:ilvl="1" w:tplc="A9DCD384">
      <w:start w:val="1"/>
      <w:numFmt w:val="lowerLetter"/>
      <w:lvlText w:val="%2."/>
      <w:lvlJc w:val="left"/>
      <w:pPr>
        <w:ind w:left="1440" w:hanging="360"/>
      </w:pPr>
    </w:lvl>
    <w:lvl w:ilvl="2" w:tplc="00F64CEA">
      <w:start w:val="1"/>
      <w:numFmt w:val="lowerRoman"/>
      <w:lvlText w:val="%3."/>
      <w:lvlJc w:val="right"/>
      <w:pPr>
        <w:ind w:left="2160" w:hanging="180"/>
      </w:pPr>
    </w:lvl>
    <w:lvl w:ilvl="3" w:tplc="0686C178">
      <w:start w:val="1"/>
      <w:numFmt w:val="decimal"/>
      <w:lvlText w:val="%4."/>
      <w:lvlJc w:val="left"/>
      <w:pPr>
        <w:ind w:left="2880" w:hanging="360"/>
      </w:pPr>
    </w:lvl>
    <w:lvl w:ilvl="4" w:tplc="C8588CE8">
      <w:start w:val="1"/>
      <w:numFmt w:val="lowerLetter"/>
      <w:lvlText w:val="%5."/>
      <w:lvlJc w:val="left"/>
      <w:pPr>
        <w:ind w:left="3600" w:hanging="360"/>
      </w:pPr>
    </w:lvl>
    <w:lvl w:ilvl="5" w:tplc="0B38D426">
      <w:start w:val="1"/>
      <w:numFmt w:val="lowerRoman"/>
      <w:lvlText w:val="%6."/>
      <w:lvlJc w:val="right"/>
      <w:pPr>
        <w:ind w:left="4320" w:hanging="180"/>
      </w:pPr>
    </w:lvl>
    <w:lvl w:ilvl="6" w:tplc="563A5C32">
      <w:start w:val="1"/>
      <w:numFmt w:val="decimal"/>
      <w:lvlText w:val="%7."/>
      <w:lvlJc w:val="left"/>
      <w:pPr>
        <w:ind w:left="5040" w:hanging="360"/>
      </w:pPr>
    </w:lvl>
    <w:lvl w:ilvl="7" w:tplc="712E7330">
      <w:start w:val="1"/>
      <w:numFmt w:val="lowerLetter"/>
      <w:lvlText w:val="%8."/>
      <w:lvlJc w:val="left"/>
      <w:pPr>
        <w:ind w:left="5760" w:hanging="360"/>
      </w:pPr>
    </w:lvl>
    <w:lvl w:ilvl="8" w:tplc="9104D272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895F91"/>
    <w:multiLevelType w:val="hybridMultilevel"/>
    <w:tmpl w:val="F01E4E1E"/>
    <w:lvl w:ilvl="0" w:tplc="6DF012A2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4B48A106">
      <w:start w:val="1"/>
      <w:numFmt w:val="lowerLetter"/>
      <w:lvlText w:val="%2."/>
      <w:lvlJc w:val="left"/>
      <w:pPr>
        <w:ind w:left="1789" w:hanging="360"/>
      </w:pPr>
    </w:lvl>
    <w:lvl w:ilvl="2" w:tplc="14AE957C">
      <w:start w:val="1"/>
      <w:numFmt w:val="lowerRoman"/>
      <w:lvlText w:val="%3."/>
      <w:lvlJc w:val="right"/>
      <w:pPr>
        <w:ind w:left="2509" w:hanging="180"/>
      </w:pPr>
    </w:lvl>
    <w:lvl w:ilvl="3" w:tplc="2C0C4438">
      <w:start w:val="1"/>
      <w:numFmt w:val="decimal"/>
      <w:lvlText w:val="%4."/>
      <w:lvlJc w:val="left"/>
      <w:pPr>
        <w:ind w:left="3229" w:hanging="360"/>
      </w:pPr>
    </w:lvl>
    <w:lvl w:ilvl="4" w:tplc="6B70FE44">
      <w:start w:val="1"/>
      <w:numFmt w:val="lowerLetter"/>
      <w:lvlText w:val="%5."/>
      <w:lvlJc w:val="left"/>
      <w:pPr>
        <w:ind w:left="3949" w:hanging="360"/>
      </w:pPr>
    </w:lvl>
    <w:lvl w:ilvl="5" w:tplc="3044EF32">
      <w:start w:val="1"/>
      <w:numFmt w:val="lowerRoman"/>
      <w:lvlText w:val="%6."/>
      <w:lvlJc w:val="right"/>
      <w:pPr>
        <w:ind w:left="4669" w:hanging="180"/>
      </w:pPr>
    </w:lvl>
    <w:lvl w:ilvl="6" w:tplc="F9A85D04">
      <w:start w:val="1"/>
      <w:numFmt w:val="decimal"/>
      <w:lvlText w:val="%7."/>
      <w:lvlJc w:val="left"/>
      <w:pPr>
        <w:ind w:left="5389" w:hanging="360"/>
      </w:pPr>
    </w:lvl>
    <w:lvl w:ilvl="7" w:tplc="BD0045D0">
      <w:start w:val="1"/>
      <w:numFmt w:val="lowerLetter"/>
      <w:lvlText w:val="%8."/>
      <w:lvlJc w:val="left"/>
      <w:pPr>
        <w:ind w:left="6109" w:hanging="360"/>
      </w:pPr>
    </w:lvl>
    <w:lvl w:ilvl="8" w:tplc="C1FEC68E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D965ED1"/>
    <w:multiLevelType w:val="hybridMultilevel"/>
    <w:tmpl w:val="A5E0F2C6"/>
    <w:lvl w:ilvl="0" w:tplc="5A444B86">
      <w:start w:val="1"/>
      <w:numFmt w:val="decimal"/>
      <w:lvlText w:val="%1."/>
      <w:lvlJc w:val="left"/>
      <w:pPr>
        <w:ind w:left="720" w:hanging="360"/>
      </w:pPr>
    </w:lvl>
    <w:lvl w:ilvl="1" w:tplc="C36CA816">
      <w:start w:val="1"/>
      <w:numFmt w:val="lowerLetter"/>
      <w:lvlText w:val="%2."/>
      <w:lvlJc w:val="left"/>
      <w:pPr>
        <w:ind w:left="1440" w:hanging="360"/>
      </w:pPr>
    </w:lvl>
    <w:lvl w:ilvl="2" w:tplc="BD866908">
      <w:start w:val="1"/>
      <w:numFmt w:val="lowerRoman"/>
      <w:lvlText w:val="%3."/>
      <w:lvlJc w:val="right"/>
      <w:pPr>
        <w:ind w:left="2160" w:hanging="180"/>
      </w:pPr>
    </w:lvl>
    <w:lvl w:ilvl="3" w:tplc="F75634AC">
      <w:start w:val="1"/>
      <w:numFmt w:val="decimal"/>
      <w:lvlText w:val="%4."/>
      <w:lvlJc w:val="left"/>
      <w:pPr>
        <w:ind w:left="2880" w:hanging="360"/>
      </w:pPr>
    </w:lvl>
    <w:lvl w:ilvl="4" w:tplc="299E113A">
      <w:start w:val="1"/>
      <w:numFmt w:val="lowerLetter"/>
      <w:lvlText w:val="%5."/>
      <w:lvlJc w:val="left"/>
      <w:pPr>
        <w:ind w:left="3600" w:hanging="360"/>
      </w:pPr>
    </w:lvl>
    <w:lvl w:ilvl="5" w:tplc="30C2CFEC">
      <w:start w:val="1"/>
      <w:numFmt w:val="lowerRoman"/>
      <w:lvlText w:val="%6."/>
      <w:lvlJc w:val="right"/>
      <w:pPr>
        <w:ind w:left="4320" w:hanging="180"/>
      </w:pPr>
    </w:lvl>
    <w:lvl w:ilvl="6" w:tplc="33D6E2EC">
      <w:start w:val="1"/>
      <w:numFmt w:val="decimal"/>
      <w:lvlText w:val="%7."/>
      <w:lvlJc w:val="left"/>
      <w:pPr>
        <w:ind w:left="5040" w:hanging="360"/>
      </w:pPr>
    </w:lvl>
    <w:lvl w:ilvl="7" w:tplc="26A00E8A">
      <w:start w:val="1"/>
      <w:numFmt w:val="lowerLetter"/>
      <w:lvlText w:val="%8."/>
      <w:lvlJc w:val="left"/>
      <w:pPr>
        <w:ind w:left="5760" w:hanging="360"/>
      </w:pPr>
    </w:lvl>
    <w:lvl w:ilvl="8" w:tplc="3DF0A00E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4"/>
  </w:num>
  <w:num w:numId="3">
    <w:abstractNumId w:val="15"/>
  </w:num>
  <w:num w:numId="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9"/>
  </w:num>
  <w:num w:numId="6">
    <w:abstractNumId w:val="2"/>
  </w:num>
  <w:num w:numId="7">
    <w:abstractNumId w:val="16"/>
  </w:num>
  <w:num w:numId="8">
    <w:abstractNumId w:val="11"/>
  </w:num>
  <w:num w:numId="9">
    <w:abstractNumId w:val="14"/>
  </w:num>
  <w:num w:numId="10">
    <w:abstractNumId w:val="19"/>
  </w:num>
  <w:num w:numId="11">
    <w:abstractNumId w:val="13"/>
  </w:num>
  <w:num w:numId="12">
    <w:abstractNumId w:val="6"/>
  </w:num>
  <w:num w:numId="13">
    <w:abstractNumId w:val="5"/>
  </w:num>
  <w:num w:numId="14">
    <w:abstractNumId w:val="12"/>
  </w:num>
  <w:num w:numId="15">
    <w:abstractNumId w:val="18"/>
  </w:num>
  <w:num w:numId="16">
    <w:abstractNumId w:val="7"/>
  </w:num>
  <w:num w:numId="17">
    <w:abstractNumId w:val="1"/>
  </w:num>
  <w:num w:numId="18">
    <w:abstractNumId w:val="0"/>
  </w:num>
  <w:num w:numId="19">
    <w:abstractNumId w:val="3"/>
  </w:num>
  <w:num w:numId="20">
    <w:abstractNumId w:val="17"/>
  </w:num>
  <w:num w:numId="21">
    <w:abstractNumId w:val="8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3725"/>
    <w:rsid w:val="003A3725"/>
    <w:rsid w:val="00767769"/>
    <w:rsid w:val="008F53E8"/>
    <w:rsid w:val="00D946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241E44"/>
  <w15:docId w15:val="{43C2094E-8805-407D-B992-F690BF7960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pPr>
      <w:keepNext/>
      <w:jc w:val="center"/>
      <w:outlineLvl w:val="0"/>
    </w:pPr>
    <w:rPr>
      <w:b/>
      <w:sz w:val="28"/>
      <w:szCs w:val="24"/>
      <w:lang w:val="en-US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3">
    <w:name w:val="Intense Quote"/>
    <w:basedOn w:val="a"/>
    <w:next w:val="a"/>
    <w:link w:val="a4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4">
    <w:name w:val="Выделенная цитата Знак"/>
    <w:link w:val="a3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5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6">
    <w:name w:val="footnote text"/>
    <w:basedOn w:val="a"/>
    <w:link w:val="a7"/>
    <w:uiPriority w:val="99"/>
    <w:semiHidden/>
    <w:unhideWhenUsed/>
    <w:pPr>
      <w:spacing w:after="40"/>
    </w:pPr>
    <w:rPr>
      <w:sz w:val="18"/>
    </w:rPr>
  </w:style>
  <w:style w:type="character" w:customStyle="1" w:styleId="a7">
    <w:name w:val="Текст сноски Знак"/>
    <w:link w:val="a6"/>
    <w:uiPriority w:val="99"/>
    <w:rPr>
      <w:sz w:val="18"/>
    </w:rPr>
  </w:style>
  <w:style w:type="character" w:styleId="a8">
    <w:name w:val="footnote reference"/>
    <w:basedOn w:val="a0"/>
    <w:uiPriority w:val="99"/>
    <w:unhideWhenUsed/>
    <w:rPr>
      <w:vertAlign w:val="superscript"/>
    </w:rPr>
  </w:style>
  <w:style w:type="paragraph" w:styleId="a9">
    <w:name w:val="endnote text"/>
    <w:basedOn w:val="a"/>
    <w:link w:val="aa"/>
    <w:uiPriority w:val="99"/>
    <w:semiHidden/>
    <w:unhideWhenUsed/>
  </w:style>
  <w:style w:type="character" w:customStyle="1" w:styleId="aa">
    <w:name w:val="Текст концевой сноски Знак"/>
    <w:link w:val="a9"/>
    <w:uiPriority w:val="99"/>
    <w:rPr>
      <w:sz w:val="20"/>
    </w:rPr>
  </w:style>
  <w:style w:type="character" w:styleId="ab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c">
    <w:name w:val="TOC Heading"/>
    <w:uiPriority w:val="39"/>
    <w:unhideWhenUsed/>
  </w:style>
  <w:style w:type="paragraph" w:styleId="ad">
    <w:name w:val="table of figures"/>
    <w:basedOn w:val="a"/>
    <w:next w:val="a"/>
    <w:uiPriority w:val="99"/>
    <w:unhideWhenUsed/>
  </w:style>
  <w:style w:type="paragraph" w:styleId="25">
    <w:name w:val="Body Text 2"/>
    <w:basedOn w:val="a"/>
    <w:pPr>
      <w:spacing w:after="120" w:line="480" w:lineRule="auto"/>
    </w:pPr>
    <w:rPr>
      <w:sz w:val="24"/>
      <w:szCs w:val="24"/>
    </w:rPr>
  </w:style>
  <w:style w:type="paragraph" w:styleId="ae">
    <w:name w:val="Body Text"/>
    <w:basedOn w:val="a"/>
    <w:link w:val="af"/>
    <w:pPr>
      <w:spacing w:after="120"/>
    </w:pPr>
  </w:style>
  <w:style w:type="character" w:customStyle="1" w:styleId="af">
    <w:name w:val="Основной текст Знак"/>
    <w:basedOn w:val="a0"/>
    <w:link w:val="ae"/>
  </w:style>
  <w:style w:type="paragraph" w:styleId="af0">
    <w:name w:val="Body Text Indent"/>
    <w:basedOn w:val="a"/>
    <w:pPr>
      <w:spacing w:after="120"/>
      <w:ind w:left="283"/>
    </w:pPr>
  </w:style>
  <w:style w:type="table" w:styleId="af1">
    <w:name w:val="Table Grid"/>
    <w:basedOn w:val="a1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nformat">
    <w:name w:val="ConsPlusNonformat"/>
    <w:uiPriority w:val="99"/>
    <w:pPr>
      <w:widowControl w:val="0"/>
    </w:pPr>
    <w:rPr>
      <w:rFonts w:ascii="Courier New" w:hAnsi="Courier New" w:cs="Courier New"/>
    </w:rPr>
  </w:style>
  <w:style w:type="paragraph" w:styleId="af2">
    <w:name w:val="Title"/>
    <w:basedOn w:val="a"/>
    <w:next w:val="af3"/>
    <w:link w:val="af4"/>
    <w:qFormat/>
    <w:pPr>
      <w:jc w:val="center"/>
    </w:pPr>
    <w:rPr>
      <w:b/>
      <w:sz w:val="32"/>
      <w:lang w:eastAsia="ar-SA"/>
    </w:rPr>
  </w:style>
  <w:style w:type="paragraph" w:styleId="af3">
    <w:name w:val="Subtitle"/>
    <w:basedOn w:val="a"/>
    <w:next w:val="ae"/>
    <w:link w:val="af5"/>
    <w:qFormat/>
    <w:pPr>
      <w:jc w:val="center"/>
    </w:pPr>
    <w:rPr>
      <w:b/>
      <w:sz w:val="28"/>
      <w:lang w:eastAsia="ar-SA"/>
    </w:rPr>
  </w:style>
  <w:style w:type="character" w:customStyle="1" w:styleId="af5">
    <w:name w:val="Подзаголовок Знак"/>
    <w:link w:val="af3"/>
    <w:rPr>
      <w:b/>
      <w:sz w:val="28"/>
      <w:lang w:eastAsia="ar-SA"/>
    </w:rPr>
  </w:style>
  <w:style w:type="character" w:customStyle="1" w:styleId="af4">
    <w:name w:val="Заголовок Знак"/>
    <w:link w:val="af2"/>
    <w:rPr>
      <w:b/>
      <w:sz w:val="32"/>
      <w:lang w:eastAsia="ar-SA"/>
    </w:rPr>
  </w:style>
  <w:style w:type="paragraph" w:customStyle="1" w:styleId="af6">
    <w:name w:val="Содержимое таблицы"/>
    <w:basedOn w:val="a"/>
    <w:pPr>
      <w:widowControl w:val="0"/>
      <w:suppressLineNumbers/>
    </w:pPr>
    <w:rPr>
      <w:rFonts w:eastAsia="Arial Unicode MS"/>
      <w:sz w:val="24"/>
      <w:szCs w:val="24"/>
    </w:rPr>
  </w:style>
  <w:style w:type="character" w:styleId="af7">
    <w:name w:val="Hyperlink"/>
    <w:uiPriority w:val="99"/>
    <w:unhideWhenUsed/>
    <w:rPr>
      <w:color w:val="0000FF"/>
      <w:u w:val="single"/>
    </w:rPr>
  </w:style>
  <w:style w:type="paragraph" w:styleId="af8">
    <w:name w:val="Balloon Text"/>
    <w:basedOn w:val="a"/>
    <w:link w:val="af9"/>
    <w:rPr>
      <w:rFonts w:ascii="Tahoma" w:hAnsi="Tahoma"/>
      <w:sz w:val="16"/>
      <w:szCs w:val="16"/>
    </w:rPr>
  </w:style>
  <w:style w:type="character" w:customStyle="1" w:styleId="af9">
    <w:name w:val="Текст выноски Знак"/>
    <w:link w:val="af8"/>
    <w:rPr>
      <w:rFonts w:ascii="Tahoma" w:hAnsi="Tahoma" w:cs="Tahoma"/>
      <w:sz w:val="16"/>
      <w:szCs w:val="16"/>
    </w:rPr>
  </w:style>
  <w:style w:type="paragraph" w:customStyle="1" w:styleId="Style3">
    <w:name w:val="Style3"/>
    <w:basedOn w:val="a"/>
    <w:uiPriority w:val="99"/>
    <w:pPr>
      <w:widowControl w:val="0"/>
      <w:spacing w:line="322" w:lineRule="exact"/>
    </w:pPr>
    <w:rPr>
      <w:sz w:val="24"/>
      <w:szCs w:val="24"/>
    </w:rPr>
  </w:style>
  <w:style w:type="paragraph" w:customStyle="1" w:styleId="Style4">
    <w:name w:val="Style4"/>
    <w:basedOn w:val="a"/>
    <w:uiPriority w:val="99"/>
    <w:pPr>
      <w:widowControl w:val="0"/>
    </w:pPr>
    <w:rPr>
      <w:sz w:val="24"/>
      <w:szCs w:val="24"/>
    </w:rPr>
  </w:style>
  <w:style w:type="paragraph" w:customStyle="1" w:styleId="Style5">
    <w:name w:val="Style5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1">
    <w:name w:val="Font Style11"/>
    <w:uiPriority w:val="99"/>
    <w:rPr>
      <w:rFonts w:ascii="Times New Roman" w:hAnsi="Times New Roman" w:cs="Times New Roman"/>
      <w:sz w:val="26"/>
      <w:szCs w:val="26"/>
    </w:rPr>
  </w:style>
  <w:style w:type="character" w:customStyle="1" w:styleId="FontStyle12">
    <w:name w:val="Font Style12"/>
    <w:uiPriority w:val="99"/>
    <w:rPr>
      <w:rFonts w:ascii="Times New Roman" w:hAnsi="Times New Roman" w:cs="Times New Roman"/>
      <w:sz w:val="26"/>
      <w:szCs w:val="26"/>
    </w:rPr>
  </w:style>
  <w:style w:type="paragraph" w:customStyle="1" w:styleId="Style7">
    <w:name w:val="Style7"/>
    <w:basedOn w:val="a"/>
    <w:uiPriority w:val="99"/>
    <w:pPr>
      <w:widowControl w:val="0"/>
    </w:pPr>
    <w:rPr>
      <w:sz w:val="24"/>
      <w:szCs w:val="24"/>
    </w:rPr>
  </w:style>
  <w:style w:type="paragraph" w:customStyle="1" w:styleId="Style9">
    <w:name w:val="Style9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5">
    <w:name w:val="Font Style15"/>
    <w:uiPriority w:val="99"/>
    <w:rPr>
      <w:rFonts w:ascii="Franklin Gothic Medium Cond" w:hAnsi="Franklin Gothic Medium Cond" w:cs="Franklin Gothic Medium Cond"/>
      <w:sz w:val="28"/>
      <w:szCs w:val="28"/>
    </w:rPr>
  </w:style>
  <w:style w:type="character" w:customStyle="1" w:styleId="FontStyle16">
    <w:name w:val="Font Style16"/>
    <w:uiPriority w:val="99"/>
    <w:rPr>
      <w:rFonts w:ascii="Times New Roman" w:hAnsi="Times New Roman" w:cs="Times New Roman"/>
      <w:sz w:val="26"/>
      <w:szCs w:val="26"/>
    </w:rPr>
  </w:style>
  <w:style w:type="paragraph" w:customStyle="1" w:styleId="Style6">
    <w:name w:val="Style6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3">
    <w:name w:val="Font Style13"/>
    <w:uiPriority w:val="99"/>
    <w:rPr>
      <w:rFonts w:ascii="Times New Roman" w:hAnsi="Times New Roman" w:cs="Times New Roman"/>
      <w:sz w:val="26"/>
      <w:szCs w:val="26"/>
    </w:rPr>
  </w:style>
  <w:style w:type="paragraph" w:customStyle="1" w:styleId="Style8">
    <w:name w:val="Style8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4">
    <w:name w:val="Font Style14"/>
    <w:uiPriority w:val="99"/>
    <w:rPr>
      <w:rFonts w:ascii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pPr>
      <w:widowControl w:val="0"/>
    </w:pPr>
    <w:rPr>
      <w:sz w:val="24"/>
      <w:szCs w:val="24"/>
    </w:rPr>
  </w:style>
  <w:style w:type="character" w:customStyle="1" w:styleId="FontStyle17">
    <w:name w:val="Font Style17"/>
    <w:uiPriority w:val="99"/>
    <w:rPr>
      <w:rFonts w:ascii="Times New Roman" w:hAnsi="Times New Roman" w:cs="Times New Roman"/>
      <w:sz w:val="26"/>
      <w:szCs w:val="26"/>
    </w:rPr>
  </w:style>
  <w:style w:type="paragraph" w:styleId="afa">
    <w:name w:val="No Spacing"/>
    <w:link w:val="afb"/>
    <w:uiPriority w:val="1"/>
    <w:qFormat/>
    <w:rPr>
      <w:sz w:val="24"/>
    </w:rPr>
  </w:style>
  <w:style w:type="character" w:customStyle="1" w:styleId="afb">
    <w:name w:val="Без интервала Знак"/>
    <w:link w:val="afa"/>
    <w:uiPriority w:val="1"/>
    <w:rPr>
      <w:sz w:val="24"/>
      <w:lang w:val="ru-RU" w:eastAsia="ru-RU" w:bidi="ar-SA"/>
    </w:rPr>
  </w:style>
  <w:style w:type="paragraph" w:customStyle="1" w:styleId="FR1">
    <w:name w:val="FR1"/>
    <w:pPr>
      <w:widowControl w:val="0"/>
      <w:spacing w:line="300" w:lineRule="auto"/>
    </w:pPr>
    <w:rPr>
      <w:rFonts w:eastAsia="Arial"/>
      <w:b/>
      <w:bCs/>
      <w:sz w:val="28"/>
      <w:szCs w:val="28"/>
      <w:lang w:eastAsia="ar-SA"/>
    </w:rPr>
  </w:style>
  <w:style w:type="paragraph" w:styleId="afc">
    <w:name w:val="header"/>
    <w:basedOn w:val="a"/>
    <w:link w:val="afd"/>
    <w:uiPriority w:val="99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</w:style>
  <w:style w:type="paragraph" w:styleId="afe">
    <w:name w:val="footer"/>
    <w:basedOn w:val="a"/>
    <w:link w:val="aff"/>
    <w:pPr>
      <w:tabs>
        <w:tab w:val="center" w:pos="4677"/>
        <w:tab w:val="right" w:pos="9355"/>
      </w:tabs>
    </w:pPr>
  </w:style>
  <w:style w:type="character" w:customStyle="1" w:styleId="aff">
    <w:name w:val="Нижний колонтитул Знак"/>
    <w:basedOn w:val="a0"/>
    <w:link w:val="afe"/>
  </w:style>
  <w:style w:type="character" w:styleId="aff0">
    <w:name w:val="FollowedHyperlink"/>
    <w:uiPriority w:val="99"/>
    <w:unhideWhenUsed/>
    <w:rPr>
      <w:color w:val="954F72"/>
      <w:u w:val="single"/>
    </w:rPr>
  </w:style>
  <w:style w:type="paragraph" w:customStyle="1" w:styleId="xl66">
    <w:name w:val="xl66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7">
    <w:name w:val="xl67"/>
    <w:basedOn w:val="a"/>
    <w:pPr>
      <w:shd w:val="clear" w:color="000000" w:fill="F2F2F2"/>
      <w:spacing w:before="100" w:beforeAutospacing="1" w:after="100" w:afterAutospacing="1"/>
    </w:pPr>
    <w:rPr>
      <w:sz w:val="24"/>
      <w:szCs w:val="24"/>
    </w:rPr>
  </w:style>
  <w:style w:type="paragraph" w:customStyle="1" w:styleId="xl68">
    <w:name w:val="xl68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69">
    <w:name w:val="xl69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0">
    <w:name w:val="xl70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15"/>
      <w:szCs w:val="15"/>
    </w:rPr>
  </w:style>
  <w:style w:type="paragraph" w:customStyle="1" w:styleId="xl71">
    <w:name w:val="xl71"/>
    <w:basedOn w:val="a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</w:pPr>
    <w:rPr>
      <w:sz w:val="24"/>
      <w:szCs w:val="24"/>
    </w:rPr>
  </w:style>
  <w:style w:type="paragraph" w:styleId="aff1">
    <w:name w:val="List Paragraph"/>
    <w:basedOn w:val="a"/>
    <w:link w:val="aff2"/>
    <w:uiPriority w:val="34"/>
    <w:qFormat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ConsPlusNormal">
    <w:name w:val="ConsPlusNormal"/>
    <w:uiPriority w:val="99"/>
    <w:pPr>
      <w:widowControl w:val="0"/>
    </w:pPr>
    <w:rPr>
      <w:rFonts w:ascii="Calibri" w:hAnsi="Calibri" w:cs="Calibri"/>
      <w:sz w:val="22"/>
    </w:rPr>
  </w:style>
  <w:style w:type="paragraph" w:styleId="aff3">
    <w:name w:val="Normal (Web)"/>
    <w:basedOn w:val="a"/>
    <w:uiPriority w:val="99"/>
    <w:unhideWhenUsed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paragraph" w:customStyle="1" w:styleId="210">
    <w:name w:val="Основной текст 21"/>
    <w:basedOn w:val="a"/>
    <w:pPr>
      <w:spacing w:after="120" w:line="480" w:lineRule="auto"/>
    </w:pPr>
    <w:rPr>
      <w:sz w:val="24"/>
      <w:szCs w:val="24"/>
      <w:lang w:eastAsia="ar-SA"/>
    </w:rPr>
  </w:style>
  <w:style w:type="character" w:customStyle="1" w:styleId="aff2">
    <w:name w:val="Абзац списка Знак"/>
    <w:link w:val="aff1"/>
    <w:uiPriority w:val="34"/>
    <w:qFormat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4" Type="http://schemas.openxmlformats.org/officeDocument/2006/relationships/settings" Target="settings.xm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4189D3-C700-4ADD-8F5E-BB09B158CA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25</Pages>
  <Words>4922</Words>
  <Characters>28061</Characters>
  <Application>Microsoft Office Word</Application>
  <DocSecurity>0</DocSecurity>
  <Lines>233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/>
  <LinksUpToDate>false</LinksUpToDate>
  <CharactersWithSpaces>32918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ngv-dep</dc:creator>
  <cp:keywords/>
  <cp:lastModifiedBy>Толокнова К.В.</cp:lastModifiedBy>
  <cp:revision>21</cp:revision>
  <dcterms:created xsi:type="dcterms:W3CDTF">2025-12-25T13:33:00Z</dcterms:created>
  <dcterms:modified xsi:type="dcterms:W3CDTF">2026-03-19T10:35:00Z</dcterms:modified>
</cp:coreProperties>
</file>