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E18" w:rsidRPr="00684E18" w:rsidRDefault="00684E18" w:rsidP="00684E18">
      <w:pPr>
        <w:widowControl w:val="0"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684E18">
        <w:rPr>
          <w:rFonts w:eastAsia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96058B6" wp14:editId="2037F258">
            <wp:simplePos x="0" y="0"/>
            <wp:positionH relativeFrom="margin">
              <wp:align>center</wp:align>
            </wp:positionH>
            <wp:positionV relativeFrom="page">
              <wp:posOffset>387985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4E18" w:rsidRPr="00684E18" w:rsidRDefault="00684E18" w:rsidP="00684E18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:rsidR="00684E18" w:rsidRPr="00684E18" w:rsidRDefault="00684E18" w:rsidP="00684E18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684E18">
        <w:rPr>
          <w:rFonts w:eastAsia="Times New Roman" w:cs="Times New Roman"/>
          <w:szCs w:val="28"/>
        </w:rPr>
        <w:t xml:space="preserve">ХАНТЫ-МАНСИЙСКИЙ </w:t>
      </w:r>
    </w:p>
    <w:p w:rsidR="00684E18" w:rsidRPr="00684E18" w:rsidRDefault="00684E18" w:rsidP="00684E18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684E18">
        <w:rPr>
          <w:rFonts w:eastAsia="Times New Roman" w:cs="Times New Roman"/>
          <w:szCs w:val="28"/>
        </w:rPr>
        <w:t>МУНИЦИПАЛЬНЫЙ РАЙОН</w:t>
      </w:r>
    </w:p>
    <w:p w:rsidR="00684E18" w:rsidRPr="00684E18" w:rsidRDefault="00684E18" w:rsidP="00684E18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684E18">
        <w:rPr>
          <w:rFonts w:eastAsia="Times New Roman" w:cs="Times New Roman"/>
          <w:szCs w:val="28"/>
        </w:rPr>
        <w:t>Ханты-Мансийский автономный округ – Югра</w:t>
      </w:r>
    </w:p>
    <w:p w:rsidR="00684E18" w:rsidRPr="00684E18" w:rsidRDefault="00684E18" w:rsidP="00684E18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684E18" w:rsidRPr="00684E18" w:rsidRDefault="00684E18" w:rsidP="00684E18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684E18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:rsidR="00684E18" w:rsidRPr="00684E18" w:rsidRDefault="00684E18" w:rsidP="00684E18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:rsidR="00684E18" w:rsidRPr="00684E18" w:rsidRDefault="00684E18" w:rsidP="00684E18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684E18">
        <w:rPr>
          <w:rFonts w:eastAsia="Times New Roman" w:cs="Times New Roman"/>
          <w:b/>
          <w:szCs w:val="28"/>
        </w:rPr>
        <w:t xml:space="preserve">П О С Т А Н О В Л Е Н И Е </w:t>
      </w:r>
    </w:p>
    <w:p w:rsidR="00684E18" w:rsidRPr="00684E18" w:rsidRDefault="00684E18" w:rsidP="00684E18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:rsidR="00684E18" w:rsidRPr="00684E18" w:rsidRDefault="00684E18" w:rsidP="00684E18">
      <w:pPr>
        <w:spacing w:after="0" w:line="240" w:lineRule="auto"/>
        <w:rPr>
          <w:rFonts w:eastAsia="Times New Roman" w:cs="Times New Roman"/>
          <w:szCs w:val="28"/>
        </w:rPr>
      </w:pPr>
      <w:bookmarkStart w:id="0" w:name="_Hlk226970014"/>
      <w:r w:rsidRPr="00684E18">
        <w:rPr>
          <w:rFonts w:eastAsia="Times New Roman" w:cs="Times New Roman"/>
          <w:szCs w:val="28"/>
        </w:rPr>
        <w:t xml:space="preserve">от </w:t>
      </w:r>
      <w:r w:rsidR="00BF1A23">
        <w:rPr>
          <w:rFonts w:eastAsia="Times New Roman" w:cs="Times New Roman"/>
          <w:szCs w:val="28"/>
        </w:rPr>
        <w:t>13.04.2026</w:t>
      </w:r>
      <w:r w:rsidRPr="00684E18">
        <w:rPr>
          <w:rFonts w:eastAsia="Times New Roman" w:cs="Times New Roman"/>
          <w:szCs w:val="28"/>
        </w:rPr>
        <w:t xml:space="preserve">                                                                                                № </w:t>
      </w:r>
      <w:r w:rsidR="00BF1A23">
        <w:rPr>
          <w:rFonts w:eastAsia="Times New Roman" w:cs="Times New Roman"/>
          <w:szCs w:val="28"/>
        </w:rPr>
        <w:t>277</w:t>
      </w:r>
    </w:p>
    <w:bookmarkEnd w:id="0"/>
    <w:p w:rsidR="00684E18" w:rsidRPr="00684E18" w:rsidRDefault="00684E18" w:rsidP="00684E18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684E18">
        <w:rPr>
          <w:rFonts w:eastAsia="Times New Roman" w:cs="Times New Roman"/>
          <w:i/>
          <w:sz w:val="24"/>
          <w:szCs w:val="24"/>
        </w:rPr>
        <w:t>г. Ханты-Мансийск</w:t>
      </w:r>
    </w:p>
    <w:p w:rsidR="00684E18" w:rsidRPr="00684E18" w:rsidRDefault="00684E18" w:rsidP="00684E18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684E18" w:rsidRPr="00684E18" w:rsidRDefault="00684E18" w:rsidP="00684E18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684E18" w:rsidRDefault="00684E1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bookmarkStart w:id="1" w:name="_Hlk178669764"/>
      <w:r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684E18" w:rsidRDefault="00684E1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684E18" w:rsidRDefault="00684E1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:rsidR="00481A5C" w:rsidRDefault="00684E1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28 декабря 2024 года № 1187 </w:t>
      </w:r>
      <w:r>
        <w:rPr>
          <w:rFonts w:eastAsia="Times New Roman" w:cs="Times New Roman"/>
          <w:szCs w:val="28"/>
          <w:lang w:eastAsia="ru-RU"/>
        </w:rPr>
        <w:br/>
        <w:t xml:space="preserve">«О муниципальной программе </w:t>
      </w:r>
    </w:p>
    <w:p w:rsidR="00481A5C" w:rsidRDefault="00684E1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Ханты-Мансийского района </w:t>
      </w:r>
    </w:p>
    <w:p w:rsidR="00481A5C" w:rsidRDefault="00684E18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«Создание условий для ответственного </w:t>
      </w:r>
    </w:p>
    <w:p w:rsidR="00684E18" w:rsidRDefault="00684E18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управления муниципальными </w:t>
      </w:r>
    </w:p>
    <w:p w:rsidR="00684E18" w:rsidRDefault="00684E18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финансами, повышения устойчивости </w:t>
      </w:r>
    </w:p>
    <w:p w:rsidR="00684E18" w:rsidRDefault="00684E18" w:rsidP="00684E18">
      <w:pPr>
        <w:tabs>
          <w:tab w:val="left" w:pos="5103"/>
        </w:tabs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местных </w:t>
      </w:r>
      <w:r>
        <w:rPr>
          <w:rFonts w:eastAsia="Times New Roman" w:cs="Times New Roman"/>
          <w:szCs w:val="28"/>
        </w:rPr>
        <w:t xml:space="preserve">бюджетов </w:t>
      </w:r>
    </w:p>
    <w:p w:rsidR="00481A5C" w:rsidRDefault="00684E18" w:rsidP="00684E18">
      <w:pPr>
        <w:tabs>
          <w:tab w:val="left" w:pos="5103"/>
        </w:tabs>
        <w:spacing w:after="0" w:line="240" w:lineRule="auto"/>
        <w:rPr>
          <w:b/>
          <w:bCs/>
          <w:szCs w:val="28"/>
        </w:rPr>
      </w:pPr>
      <w:r>
        <w:rPr>
          <w:rFonts w:eastAsia="Times New Roman" w:cs="Times New Roman"/>
          <w:szCs w:val="28"/>
        </w:rPr>
        <w:t>Ханты-Мансийского района»</w:t>
      </w:r>
    </w:p>
    <w:bookmarkEnd w:id="1"/>
    <w:p w:rsidR="00481A5C" w:rsidRDefault="00481A5C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684E18" w:rsidRDefault="00684E1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481A5C" w:rsidRDefault="00684E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муниципальных правовых актов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481A5C" w:rsidRDefault="00481A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A5C" w:rsidRDefault="00684E18">
      <w:pPr>
        <w:pStyle w:val="aa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Внести в постановление Администрации Ханты-Мансийского района от 28 декабря 2024 года № 1187 «О муниципальной программе </w:t>
      </w:r>
      <w:r>
        <w:rPr>
          <w:rFonts w:eastAsia="Times New Roman" w:cs="Times New Roman"/>
          <w:szCs w:val="28"/>
          <w:lang w:eastAsia="ru-RU"/>
        </w:rPr>
        <w:br/>
        <w:t>Ханты-Мансийского района «</w:t>
      </w:r>
      <w:bookmarkStart w:id="2" w:name="_Hlk153197049"/>
      <w:r>
        <w:rPr>
          <w:rFonts w:eastAsia="Times New Roman" w:cs="Times New Roman"/>
          <w:szCs w:val="28"/>
          <w:lang w:eastAsia="ru-RU"/>
        </w:rPr>
        <w:t>Создание условий для ответственного управления муниципальными финансами, повышения устойчивости местных бюджетов Ханты-Мансийского района</w:t>
      </w:r>
      <w:bookmarkEnd w:id="2"/>
      <w:r>
        <w:rPr>
          <w:rFonts w:eastAsia="Times New Roman" w:cs="Times New Roman"/>
          <w:szCs w:val="28"/>
          <w:lang w:eastAsia="ru-RU"/>
        </w:rPr>
        <w:t>» изменения, изложив п</w:t>
      </w:r>
      <w:r>
        <w:rPr>
          <w:rFonts w:eastAsiaTheme="minorEastAsia" w:cs="Times New Roman"/>
          <w:bCs/>
          <w:szCs w:val="28"/>
          <w:lang w:eastAsia="ru-RU"/>
        </w:rPr>
        <w:t>риложение к нему в новой редакции согласно приложению к настоящему постановлению.</w:t>
      </w:r>
    </w:p>
    <w:p w:rsidR="00481A5C" w:rsidRDefault="00684E18">
      <w:pPr>
        <w:pStyle w:val="aa"/>
        <w:spacing w:after="0" w:line="240" w:lineRule="auto"/>
        <w:ind w:left="0"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:rsidR="00481A5C" w:rsidRDefault="00481A5C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481A5C" w:rsidRDefault="00481A5C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:rsidR="00481A5C" w:rsidRDefault="00684E18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                                                      К.Р.Минулин</w:t>
      </w:r>
    </w:p>
    <w:p w:rsidR="00481A5C" w:rsidRDefault="00481A5C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  <w:sectPr w:rsidR="00481A5C" w:rsidSect="00684E18">
          <w:headerReference w:type="default" r:id="rId8"/>
          <w:headerReference w:type="first" r:id="rId9"/>
          <w:type w:val="continuous"/>
          <w:pgSz w:w="11905" w:h="16838"/>
          <w:pgMar w:top="1418" w:right="1247" w:bottom="1134" w:left="1559" w:header="567" w:footer="567" w:gutter="0"/>
          <w:cols w:space="708"/>
          <w:titlePg/>
          <w:docGrid w:linePitch="381"/>
        </w:sectPr>
      </w:pPr>
    </w:p>
    <w:p w:rsidR="00481A5C" w:rsidRDefault="00684E18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Приложение</w:t>
      </w:r>
    </w:p>
    <w:p w:rsidR="00481A5C" w:rsidRDefault="00684E18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 постановлению Администрации</w:t>
      </w:r>
    </w:p>
    <w:p w:rsidR="00481A5C" w:rsidRDefault="00684E18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Ханты-Мансийского района</w:t>
      </w:r>
    </w:p>
    <w:p w:rsidR="00BF1A23" w:rsidRPr="00684E18" w:rsidRDefault="00BF1A23" w:rsidP="00BF1A23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684E18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13.04.2026</w:t>
      </w:r>
      <w:r>
        <w:rPr>
          <w:rFonts w:eastAsia="Times New Roman" w:cs="Times New Roman"/>
          <w:szCs w:val="28"/>
        </w:rPr>
        <w:t xml:space="preserve"> </w:t>
      </w:r>
      <w:bookmarkStart w:id="3" w:name="_GoBack"/>
      <w:bookmarkEnd w:id="3"/>
      <w:r w:rsidRPr="00684E18">
        <w:rPr>
          <w:rFonts w:eastAsia="Times New Roman" w:cs="Times New Roman"/>
          <w:szCs w:val="28"/>
        </w:rPr>
        <w:t xml:space="preserve">№ </w:t>
      </w:r>
      <w:r>
        <w:rPr>
          <w:rFonts w:eastAsia="Times New Roman" w:cs="Times New Roman"/>
          <w:szCs w:val="28"/>
        </w:rPr>
        <w:t>277</w:t>
      </w:r>
    </w:p>
    <w:p w:rsidR="00481A5C" w:rsidRDefault="00481A5C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481A5C" w:rsidRDefault="00481A5C">
      <w:pPr>
        <w:pStyle w:val="ConsPlusTitle"/>
        <w:rPr>
          <w:rFonts w:ascii="Times New Roman" w:eastAsiaTheme="minorHAnsi" w:hAnsi="Times New Roman" w:cs="Times New Roman"/>
          <w:b w:val="0"/>
          <w:sz w:val="28"/>
          <w:szCs w:val="28"/>
        </w:rPr>
      </w:pPr>
    </w:p>
    <w:p w:rsidR="00481A5C" w:rsidRDefault="00684E1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ПАСПОРТ</w:t>
      </w:r>
    </w:p>
    <w:p w:rsidR="00481A5C" w:rsidRDefault="00684E1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муниципальной программы </w:t>
      </w:r>
    </w:p>
    <w:p w:rsidR="00481A5C" w:rsidRDefault="00684E1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«Создание условий для ответственного управления муниципальными финансами, </w:t>
      </w:r>
    </w:p>
    <w:p w:rsidR="00481A5C" w:rsidRDefault="00684E1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повышения устойчивости местных бюджетов Ханты-Мансийского района» </w:t>
      </w:r>
    </w:p>
    <w:p w:rsidR="00481A5C" w:rsidRDefault="00684E18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(далее – муниципальная программа)</w:t>
      </w:r>
    </w:p>
    <w:p w:rsidR="00481A5C" w:rsidRDefault="00481A5C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481A5C" w:rsidRDefault="00684E18">
      <w:pPr>
        <w:pStyle w:val="ConsPlusTitle"/>
        <w:tabs>
          <w:tab w:val="left" w:pos="567"/>
        </w:tabs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 Основные положения</w:t>
      </w:r>
    </w:p>
    <w:p w:rsidR="00481A5C" w:rsidRDefault="00481A5C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14029" w:type="dxa"/>
        <w:tblLook w:val="04A0" w:firstRow="1" w:lastRow="0" w:firstColumn="1" w:lastColumn="0" w:noHBand="0" w:noVBand="1"/>
      </w:tblPr>
      <w:tblGrid>
        <w:gridCol w:w="6516"/>
        <w:gridCol w:w="7513"/>
      </w:tblGrid>
      <w:tr w:rsidR="00481A5C">
        <w:tc>
          <w:tcPr>
            <w:tcW w:w="651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Куратор муниципальной программы</w:t>
            </w:r>
          </w:p>
        </w:tc>
        <w:tc>
          <w:tcPr>
            <w:tcW w:w="751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заместитель Главы Ханты-Мансийского района по финансам</w:t>
            </w:r>
          </w:p>
        </w:tc>
      </w:tr>
      <w:tr w:rsidR="00481A5C">
        <w:tc>
          <w:tcPr>
            <w:tcW w:w="651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комитет по финансам Администрации Ханты-Мансийского района (далее – комитет по финансам)</w:t>
            </w:r>
          </w:p>
        </w:tc>
      </w:tr>
      <w:tr w:rsidR="00481A5C">
        <w:tc>
          <w:tcPr>
            <w:tcW w:w="6516" w:type="dxa"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7513" w:type="dxa"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</w:tr>
      <w:tr w:rsidR="00481A5C">
        <w:tc>
          <w:tcPr>
            <w:tcW w:w="651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bookmarkStart w:id="4" w:name="_Hlk213485505"/>
            <w:r>
              <w:rPr>
                <w:rFonts w:eastAsia="Times New Roman"/>
                <w:sz w:val="20"/>
              </w:rPr>
              <w:t xml:space="preserve">Период реализации муниципальной программы </w:t>
            </w:r>
            <w:bookmarkEnd w:id="4"/>
          </w:p>
        </w:tc>
        <w:tc>
          <w:tcPr>
            <w:tcW w:w="751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2025 – 2031 годы</w:t>
            </w:r>
          </w:p>
        </w:tc>
      </w:tr>
      <w:tr w:rsidR="00481A5C">
        <w:tc>
          <w:tcPr>
            <w:tcW w:w="651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Цели муниципальной программы</w:t>
            </w:r>
          </w:p>
        </w:tc>
        <w:tc>
          <w:tcPr>
            <w:tcW w:w="751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</w:t>
            </w:r>
            <w:r>
              <w:rPr>
                <w:rFonts w:eastAsia="Times New Roman"/>
                <w:bCs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</w:p>
        </w:tc>
      </w:tr>
      <w:tr w:rsidR="00481A5C">
        <w:tc>
          <w:tcPr>
            <w:tcW w:w="651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Направления (подпрограммы) муниципальной программы</w:t>
            </w:r>
          </w:p>
        </w:tc>
        <w:tc>
          <w:tcPr>
            <w:tcW w:w="751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</w:t>
            </w:r>
            <w:r>
              <w:rPr>
                <w:rFonts w:eastAsia="Times New Roman" w:cstheme="minorBidi"/>
                <w:sz w:val="20"/>
                <w:lang w:eastAsia="en-US"/>
              </w:rPr>
              <w:t xml:space="preserve"> </w:t>
            </w:r>
            <w:r>
              <w:rPr>
                <w:rFonts w:eastAsia="Times New Roman"/>
                <w:sz w:val="20"/>
              </w:rPr>
              <w:t>«Совершенствование системы распределения и перераспределения финансовых ресурсов между уровнями бюджетной системы».</w:t>
            </w:r>
          </w:p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 «Управление муниципальным долгом Ханты-Мансийского района»</w:t>
            </w:r>
          </w:p>
        </w:tc>
      </w:tr>
      <w:tr w:rsidR="00481A5C">
        <w:tc>
          <w:tcPr>
            <w:tcW w:w="651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Объемы финансового обеспечения за весь период реализации</w:t>
            </w:r>
          </w:p>
        </w:tc>
        <w:tc>
          <w:tcPr>
            <w:tcW w:w="751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2 609 577,6 тыс. рублей</w:t>
            </w:r>
          </w:p>
        </w:tc>
      </w:tr>
      <w:tr w:rsidR="00481A5C">
        <w:tc>
          <w:tcPr>
            <w:tcW w:w="651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51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Государственная программа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</w:tc>
      </w:tr>
    </w:tbl>
    <w:p w:rsidR="00481A5C" w:rsidRDefault="00481A5C">
      <w:pPr>
        <w:rPr>
          <w:lang w:eastAsia="ru-RU"/>
        </w:rPr>
      </w:pPr>
    </w:p>
    <w:p w:rsidR="00481A5C" w:rsidRDefault="00481A5C">
      <w:pPr>
        <w:rPr>
          <w:lang w:eastAsia="ru-RU"/>
        </w:rPr>
      </w:pPr>
    </w:p>
    <w:p w:rsidR="00481A5C" w:rsidRDefault="00684E18">
      <w:pPr>
        <w:spacing w:after="0" w:line="240" w:lineRule="auto"/>
        <w:jc w:val="center"/>
        <w:rPr>
          <w:rFonts w:cs="Times New Roman"/>
          <w:szCs w:val="28"/>
          <w:lang w:eastAsia="ru-RU"/>
        </w:rPr>
      </w:pPr>
      <w:r>
        <w:rPr>
          <w:lang w:eastAsia="ru-RU"/>
        </w:rPr>
        <w:lastRenderedPageBreak/>
        <w:t xml:space="preserve">2. </w:t>
      </w:r>
      <w:r>
        <w:rPr>
          <w:rFonts w:cs="Times New Roman"/>
          <w:szCs w:val="28"/>
          <w:lang w:eastAsia="ru-RU"/>
        </w:rPr>
        <w:t>Показатели муниципальной программы</w:t>
      </w:r>
    </w:p>
    <w:p w:rsidR="00481A5C" w:rsidRDefault="00481A5C">
      <w:pPr>
        <w:pStyle w:val="aa"/>
        <w:spacing w:after="0" w:line="240" w:lineRule="auto"/>
        <w:rPr>
          <w:rFonts w:cs="Times New Roman"/>
          <w:szCs w:val="28"/>
          <w:lang w:eastAsia="ru-RU"/>
        </w:rPr>
      </w:pPr>
    </w:p>
    <w:tbl>
      <w:tblPr>
        <w:tblStyle w:val="a9"/>
        <w:tblW w:w="1520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9"/>
        <w:gridCol w:w="1544"/>
        <w:gridCol w:w="793"/>
        <w:gridCol w:w="850"/>
        <w:gridCol w:w="851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702"/>
        <w:gridCol w:w="992"/>
        <w:gridCol w:w="708"/>
        <w:gridCol w:w="850"/>
        <w:gridCol w:w="37"/>
      </w:tblGrid>
      <w:tr w:rsidR="00481A5C" w:rsidRPr="00684E18">
        <w:trPr>
          <w:gridAfter w:val="1"/>
          <w:wAfter w:w="37" w:type="dxa"/>
        </w:trPr>
        <w:tc>
          <w:tcPr>
            <w:tcW w:w="499" w:type="dxa"/>
            <w:vMerge w:val="restart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№ п/п</w:t>
            </w:r>
          </w:p>
        </w:tc>
        <w:tc>
          <w:tcPr>
            <w:tcW w:w="1544" w:type="dxa"/>
            <w:vMerge w:val="restart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Наименование показателя</w:t>
            </w:r>
          </w:p>
        </w:tc>
        <w:tc>
          <w:tcPr>
            <w:tcW w:w="793" w:type="dxa"/>
            <w:vMerge w:val="restart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Уровень показателя</w:t>
            </w:r>
          </w:p>
        </w:tc>
        <w:tc>
          <w:tcPr>
            <w:tcW w:w="850" w:type="dxa"/>
            <w:vMerge w:val="restart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Признак возрастания/ убывания</w:t>
            </w:r>
          </w:p>
        </w:tc>
        <w:tc>
          <w:tcPr>
            <w:tcW w:w="851" w:type="dxa"/>
            <w:vMerge w:val="restart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Единица измерения (по ОКЕИ)</w:t>
            </w:r>
          </w:p>
        </w:tc>
        <w:tc>
          <w:tcPr>
            <w:tcW w:w="1417" w:type="dxa"/>
            <w:gridSpan w:val="2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Базовое значение</w:t>
            </w:r>
          </w:p>
        </w:tc>
        <w:tc>
          <w:tcPr>
            <w:tcW w:w="4962" w:type="dxa"/>
            <w:gridSpan w:val="7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Значение показателя по годам</w:t>
            </w:r>
          </w:p>
        </w:tc>
        <w:tc>
          <w:tcPr>
            <w:tcW w:w="1702" w:type="dxa"/>
            <w:vMerge w:val="restart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Документ</w:t>
            </w:r>
          </w:p>
        </w:tc>
        <w:tc>
          <w:tcPr>
            <w:tcW w:w="992" w:type="dxa"/>
            <w:vMerge w:val="restart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708" w:type="dxa"/>
            <w:vMerge w:val="restart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850" w:type="dxa"/>
            <w:vMerge w:val="restart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Информационная система</w:t>
            </w:r>
          </w:p>
        </w:tc>
      </w:tr>
      <w:tr w:rsidR="00481A5C" w:rsidRPr="00684E18">
        <w:trPr>
          <w:gridAfter w:val="1"/>
          <w:wAfter w:w="37" w:type="dxa"/>
        </w:trPr>
        <w:tc>
          <w:tcPr>
            <w:tcW w:w="499" w:type="dxa"/>
            <w:vMerge/>
          </w:tcPr>
          <w:p w:rsidR="00481A5C" w:rsidRPr="00684E18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544" w:type="dxa"/>
            <w:vMerge/>
          </w:tcPr>
          <w:p w:rsidR="00481A5C" w:rsidRPr="00684E18" w:rsidRDefault="00481A5C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793" w:type="dxa"/>
            <w:vMerge/>
          </w:tcPr>
          <w:p w:rsidR="00481A5C" w:rsidRPr="00684E18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481A5C" w:rsidRPr="00684E18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81A5C" w:rsidRPr="00684E18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значение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год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2025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2026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2027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2028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2029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2030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2031</w:t>
            </w:r>
          </w:p>
        </w:tc>
        <w:tc>
          <w:tcPr>
            <w:tcW w:w="1702" w:type="dxa"/>
            <w:vMerge/>
          </w:tcPr>
          <w:p w:rsidR="00481A5C" w:rsidRPr="00684E18" w:rsidRDefault="00481A5C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81A5C" w:rsidRPr="00684E18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481A5C" w:rsidRPr="00684E18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481A5C" w:rsidRPr="00684E18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</w:p>
        </w:tc>
      </w:tr>
      <w:tr w:rsidR="00481A5C" w:rsidRPr="00684E18">
        <w:trPr>
          <w:gridAfter w:val="1"/>
          <w:wAfter w:w="37" w:type="dxa"/>
        </w:trPr>
        <w:tc>
          <w:tcPr>
            <w:tcW w:w="49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</w:t>
            </w:r>
          </w:p>
        </w:tc>
        <w:tc>
          <w:tcPr>
            <w:tcW w:w="1544" w:type="dxa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</w:t>
            </w:r>
          </w:p>
        </w:tc>
        <w:tc>
          <w:tcPr>
            <w:tcW w:w="793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5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6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11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12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13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14</w:t>
            </w:r>
          </w:p>
        </w:tc>
        <w:tc>
          <w:tcPr>
            <w:tcW w:w="1702" w:type="dxa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16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17</w:t>
            </w:r>
          </w:p>
        </w:tc>
        <w:tc>
          <w:tcPr>
            <w:tcW w:w="850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18</w:t>
            </w:r>
          </w:p>
        </w:tc>
      </w:tr>
      <w:tr w:rsidR="00481A5C" w:rsidRPr="00684E18">
        <w:tc>
          <w:tcPr>
            <w:tcW w:w="15205" w:type="dxa"/>
            <w:gridSpan w:val="19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/>
                <w:sz w:val="20"/>
              </w:rPr>
            </w:pPr>
            <w:bookmarkStart w:id="5" w:name="_Hlk178840954"/>
            <w:r w:rsidRPr="00684E18">
              <w:rPr>
                <w:rFonts w:eastAsia="Times New Roman"/>
                <w:i/>
                <w:sz w:val="20"/>
              </w:rPr>
              <w:t>Цель «О</w:t>
            </w:r>
            <w:r w:rsidRPr="00684E18">
              <w:rPr>
                <w:rFonts w:eastAsia="Times New Roman"/>
                <w:bCs/>
                <w:i/>
                <w:sz w:val="20"/>
              </w:rPr>
              <w:t>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</w:t>
            </w:r>
            <w:r w:rsidRPr="00684E18">
              <w:rPr>
                <w:rFonts w:eastAsia="Times New Roman"/>
                <w:i/>
                <w:sz w:val="20"/>
              </w:rPr>
              <w:t>»</w:t>
            </w:r>
          </w:p>
        </w:tc>
      </w:tr>
      <w:bookmarkEnd w:id="5"/>
      <w:tr w:rsidR="00481A5C" w:rsidRPr="00684E18">
        <w:trPr>
          <w:gridAfter w:val="1"/>
          <w:wAfter w:w="37" w:type="dxa"/>
        </w:trPr>
        <w:tc>
          <w:tcPr>
            <w:tcW w:w="49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1.</w:t>
            </w:r>
          </w:p>
        </w:tc>
        <w:tc>
          <w:tcPr>
            <w:tcW w:w="1544" w:type="dxa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</w:t>
            </w:r>
            <w:r w:rsidR="00DE5F68" w:rsidRPr="00DE5F68">
              <w:rPr>
                <w:rFonts w:eastAsia="Times New Roman"/>
                <w:sz w:val="20"/>
              </w:rPr>
              <w:t xml:space="preserve"> </w:t>
            </w:r>
            <w:r w:rsidRPr="00684E18">
              <w:rPr>
                <w:rFonts w:eastAsia="Times New Roman"/>
                <w:sz w:val="20"/>
              </w:rPr>
              <w:t>% от установленного критерия выравнивания поселений</w:t>
            </w:r>
          </w:p>
        </w:tc>
        <w:tc>
          <w:tcPr>
            <w:tcW w:w="793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«</w:t>
            </w:r>
            <w:proofErr w:type="gramStart"/>
            <w:r w:rsidRPr="00684E18">
              <w:rPr>
                <w:rFonts w:eastAsia="Times New Roman"/>
                <w:sz w:val="20"/>
              </w:rPr>
              <w:t>ГП»&lt;</w:t>
            </w:r>
            <w:proofErr w:type="gramEnd"/>
            <w:r w:rsidRPr="00684E18">
              <w:rPr>
                <w:rFonts w:eastAsia="Times New Roman"/>
                <w:sz w:val="20"/>
              </w:rPr>
              <w:t>*&gt;</w:t>
            </w:r>
          </w:p>
        </w:tc>
        <w:tc>
          <w:tcPr>
            <w:tcW w:w="850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 xml:space="preserve">постановление Правительства Ханты-Мансийского автономного округа – Югры от 10.11.2023 </w:t>
            </w:r>
            <w:r w:rsidRPr="00684E18">
              <w:rPr>
                <w:rFonts w:eastAsia="Times New Roman"/>
                <w:sz w:val="20"/>
              </w:rPr>
              <w:br/>
              <w:t xml:space="preserve">№ 563-п </w:t>
            </w:r>
            <w:r w:rsidRPr="00684E18">
              <w:rPr>
                <w:rFonts w:eastAsia="Times New Roman"/>
                <w:sz w:val="20"/>
              </w:rPr>
              <w:br/>
              <w:t>«О государственной программе Ханты-Мансийского автономного округа – Югры «Управление государственными финансами и создание условий для эффективного управления муниципальными финансами»</w:t>
            </w:r>
          </w:p>
          <w:p w:rsidR="00481A5C" w:rsidRPr="00684E18" w:rsidRDefault="00481A5C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</w:p>
        </w:tc>
        <w:tc>
          <w:tcPr>
            <w:tcW w:w="992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 xml:space="preserve">комитет по финансам 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</w:tr>
      <w:tr w:rsidR="00481A5C" w:rsidRPr="00684E18">
        <w:trPr>
          <w:gridAfter w:val="1"/>
          <w:wAfter w:w="37" w:type="dxa"/>
        </w:trPr>
        <w:tc>
          <w:tcPr>
            <w:tcW w:w="49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2.</w:t>
            </w:r>
          </w:p>
        </w:tc>
        <w:tc>
          <w:tcPr>
            <w:tcW w:w="1544" w:type="dxa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Доля сельских поселений района, имеющих сбалансированный бюджет</w:t>
            </w:r>
          </w:p>
        </w:tc>
        <w:tc>
          <w:tcPr>
            <w:tcW w:w="793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«</w:t>
            </w:r>
            <w:proofErr w:type="gramStart"/>
            <w:r w:rsidRPr="00684E18">
              <w:rPr>
                <w:rFonts w:eastAsia="Times New Roman"/>
                <w:sz w:val="20"/>
              </w:rPr>
              <w:t>МП»&lt;</w:t>
            </w:r>
            <w:proofErr w:type="gramEnd"/>
            <w:r w:rsidRPr="00684E18">
              <w:rPr>
                <w:rFonts w:eastAsia="Times New Roman"/>
                <w:sz w:val="20"/>
              </w:rPr>
              <w:t>***&gt;</w:t>
            </w:r>
          </w:p>
        </w:tc>
        <w:tc>
          <w:tcPr>
            <w:tcW w:w="850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2021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lang w:val="en-US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1702" w:type="dxa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bCs/>
                <w:sz w:val="20"/>
              </w:rPr>
            </w:pPr>
            <w:r w:rsidRPr="00684E18">
              <w:rPr>
                <w:rFonts w:eastAsia="Times New Roman"/>
                <w:bCs/>
                <w:sz w:val="20"/>
              </w:rPr>
              <w:t xml:space="preserve">решение Думы Ханты-Мансийского района </w:t>
            </w:r>
          </w:p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bCs/>
                <w:sz w:val="20"/>
              </w:rPr>
              <w:t xml:space="preserve">от 16.07.2021 </w:t>
            </w:r>
            <w:r w:rsidRPr="00684E18">
              <w:rPr>
                <w:rFonts w:eastAsia="Times New Roman"/>
                <w:bCs/>
                <w:sz w:val="20"/>
              </w:rPr>
              <w:br/>
              <w:t xml:space="preserve">№ 762 </w:t>
            </w:r>
            <w:r w:rsidRPr="00684E18">
              <w:rPr>
                <w:rFonts w:eastAsia="Times New Roman"/>
                <w:bCs/>
                <w:sz w:val="20"/>
              </w:rPr>
              <w:br/>
              <w:t xml:space="preserve">«Об утверждении правил предоставления межбюджетных трансфертов из бюджета Ханты-Мансийского района бюджетам сельских поселений </w:t>
            </w:r>
            <w:r w:rsidRPr="00684E18">
              <w:rPr>
                <w:rFonts w:eastAsia="Times New Roman"/>
                <w:bCs/>
                <w:sz w:val="20"/>
              </w:rPr>
              <w:br/>
              <w:t>и признании утратившими силу отдельных решений Думы Ханты-Мансийского района»</w:t>
            </w:r>
          </w:p>
        </w:tc>
        <w:tc>
          <w:tcPr>
            <w:tcW w:w="992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комитет по финансам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</w:tr>
      <w:tr w:rsidR="00481A5C" w:rsidRPr="00684E18">
        <w:trPr>
          <w:gridAfter w:val="1"/>
          <w:wAfter w:w="37" w:type="dxa"/>
        </w:trPr>
        <w:tc>
          <w:tcPr>
            <w:tcW w:w="49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3.</w:t>
            </w:r>
          </w:p>
        </w:tc>
        <w:tc>
          <w:tcPr>
            <w:tcW w:w="1544" w:type="dxa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 xml:space="preserve">Доля налоговых и неналоговых доходов местного бюджета (за исключением поступлений налоговых доходов по дополнительным нормативам отчислений) </w:t>
            </w:r>
            <w:r w:rsidRPr="00684E18">
              <w:rPr>
                <w:rFonts w:eastAsia="Times New Roman"/>
                <w:sz w:val="20"/>
              </w:rPr>
              <w:br/>
              <w:t>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793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«ОМСУ» &lt;**&gt;</w:t>
            </w:r>
          </w:p>
        </w:tc>
        <w:tc>
          <w:tcPr>
            <w:tcW w:w="850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61,8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:rsidR="00481A5C" w:rsidRPr="00684E18" w:rsidRDefault="00DE5F6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</w:t>
            </w:r>
            <w:r w:rsidR="00684E18" w:rsidRPr="00684E18">
              <w:rPr>
                <w:rFonts w:eastAsia="Times New Roman"/>
                <w:sz w:val="20"/>
              </w:rPr>
              <w:t>е менее 61</w:t>
            </w:r>
          </w:p>
        </w:tc>
        <w:tc>
          <w:tcPr>
            <w:tcW w:w="709" w:type="dxa"/>
          </w:tcPr>
          <w:p w:rsidR="00481A5C" w:rsidRPr="00684E18" w:rsidRDefault="00DE5F6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</w:t>
            </w:r>
            <w:r w:rsidR="00684E18" w:rsidRPr="00684E18">
              <w:rPr>
                <w:rFonts w:eastAsia="Times New Roman"/>
                <w:sz w:val="20"/>
              </w:rPr>
              <w:t>е менее 61</w:t>
            </w:r>
          </w:p>
        </w:tc>
        <w:tc>
          <w:tcPr>
            <w:tcW w:w="709" w:type="dxa"/>
          </w:tcPr>
          <w:p w:rsidR="00481A5C" w:rsidRPr="00684E18" w:rsidRDefault="00DE5F6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</w:t>
            </w:r>
            <w:r w:rsidR="00684E18" w:rsidRPr="00684E18">
              <w:rPr>
                <w:rFonts w:eastAsia="Times New Roman"/>
                <w:sz w:val="20"/>
              </w:rPr>
              <w:t>е менее 61</w:t>
            </w:r>
          </w:p>
        </w:tc>
        <w:tc>
          <w:tcPr>
            <w:tcW w:w="708" w:type="dxa"/>
          </w:tcPr>
          <w:p w:rsidR="00481A5C" w:rsidRPr="00684E18" w:rsidRDefault="00DE5F6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</w:t>
            </w:r>
            <w:r w:rsidR="00684E18" w:rsidRPr="00684E18">
              <w:rPr>
                <w:rFonts w:eastAsia="Times New Roman"/>
                <w:sz w:val="20"/>
              </w:rPr>
              <w:t>е менее 61</w:t>
            </w:r>
          </w:p>
        </w:tc>
        <w:tc>
          <w:tcPr>
            <w:tcW w:w="709" w:type="dxa"/>
          </w:tcPr>
          <w:p w:rsidR="00481A5C" w:rsidRPr="00684E18" w:rsidRDefault="00DE5F6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</w:t>
            </w:r>
            <w:r w:rsidR="00684E18" w:rsidRPr="00684E18">
              <w:rPr>
                <w:rFonts w:eastAsia="Times New Roman"/>
                <w:sz w:val="20"/>
              </w:rPr>
              <w:t>е менее 61</w:t>
            </w:r>
          </w:p>
        </w:tc>
        <w:tc>
          <w:tcPr>
            <w:tcW w:w="709" w:type="dxa"/>
          </w:tcPr>
          <w:p w:rsidR="00481A5C" w:rsidRPr="00684E18" w:rsidRDefault="00DE5F6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</w:t>
            </w:r>
            <w:r w:rsidR="00684E18" w:rsidRPr="00684E18">
              <w:rPr>
                <w:rFonts w:eastAsia="Times New Roman"/>
                <w:sz w:val="20"/>
              </w:rPr>
              <w:t>е менее 61</w:t>
            </w:r>
          </w:p>
        </w:tc>
        <w:tc>
          <w:tcPr>
            <w:tcW w:w="709" w:type="dxa"/>
          </w:tcPr>
          <w:p w:rsidR="00481A5C" w:rsidRPr="00684E18" w:rsidRDefault="00DE5F6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н</w:t>
            </w:r>
            <w:r w:rsidR="00684E18" w:rsidRPr="00684E18">
              <w:rPr>
                <w:rFonts w:eastAsia="Times New Roman"/>
                <w:sz w:val="20"/>
              </w:rPr>
              <w:t>е менее 61</w:t>
            </w:r>
          </w:p>
        </w:tc>
        <w:tc>
          <w:tcPr>
            <w:tcW w:w="1702" w:type="dxa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 xml:space="preserve">распоряжение Правительства Ханты-Мансийского автономного округа – Югры от 15.03.2013 </w:t>
            </w:r>
            <w:r w:rsidRPr="00684E18">
              <w:rPr>
                <w:rFonts w:eastAsia="Times New Roman"/>
                <w:sz w:val="20"/>
              </w:rPr>
              <w:br/>
              <w:t xml:space="preserve">№ 92-рп </w:t>
            </w:r>
            <w:r w:rsidRPr="00684E18">
              <w:rPr>
                <w:rFonts w:eastAsia="Times New Roman"/>
                <w:sz w:val="20"/>
              </w:rPr>
              <w:br/>
              <w:t>«Об оценке эффективности деятельности органов местного самоуправления городских округов и муниципальных районов Ханты-Мансийского автономного округа – Югры»</w:t>
            </w:r>
          </w:p>
        </w:tc>
        <w:tc>
          <w:tcPr>
            <w:tcW w:w="992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комитет по финансам, главные распорядители бюджетных средств Ханты-Мансийского района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</w:tr>
      <w:tr w:rsidR="00481A5C" w:rsidRPr="00684E18">
        <w:trPr>
          <w:gridAfter w:val="1"/>
          <w:wAfter w:w="37" w:type="dxa"/>
        </w:trPr>
        <w:tc>
          <w:tcPr>
            <w:tcW w:w="49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4.</w:t>
            </w:r>
          </w:p>
        </w:tc>
        <w:tc>
          <w:tcPr>
            <w:tcW w:w="1544" w:type="dxa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793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«</w:t>
            </w:r>
            <w:proofErr w:type="gramStart"/>
            <w:r w:rsidRPr="00684E18">
              <w:rPr>
                <w:rFonts w:eastAsia="Times New Roman"/>
                <w:sz w:val="20"/>
              </w:rPr>
              <w:t>МП»&lt;</w:t>
            </w:r>
            <w:proofErr w:type="gramEnd"/>
            <w:r w:rsidRPr="00684E18">
              <w:rPr>
                <w:rFonts w:eastAsia="Times New Roman"/>
                <w:sz w:val="20"/>
              </w:rPr>
              <w:t>***&gt;</w:t>
            </w:r>
          </w:p>
        </w:tc>
        <w:tc>
          <w:tcPr>
            <w:tcW w:w="850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%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2023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709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100</w:t>
            </w:r>
          </w:p>
        </w:tc>
        <w:tc>
          <w:tcPr>
            <w:tcW w:w="1702" w:type="dxa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Бюджетный кодекс Российской Федерации, статья 111</w:t>
            </w:r>
          </w:p>
        </w:tc>
        <w:tc>
          <w:tcPr>
            <w:tcW w:w="992" w:type="dxa"/>
          </w:tcPr>
          <w:p w:rsidR="00481A5C" w:rsidRPr="00684E18" w:rsidRDefault="00684E18" w:rsidP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 xml:space="preserve">комитет по финансам </w:t>
            </w:r>
          </w:p>
        </w:tc>
        <w:tc>
          <w:tcPr>
            <w:tcW w:w="708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481A5C" w:rsidRPr="00684E18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 w:rsidRPr="00684E18">
              <w:rPr>
                <w:rFonts w:eastAsia="Times New Roman"/>
                <w:sz w:val="20"/>
              </w:rPr>
              <w:t>-</w:t>
            </w:r>
          </w:p>
        </w:tc>
      </w:tr>
    </w:tbl>
    <w:p w:rsidR="00481A5C" w:rsidRDefault="00684E18">
      <w:pPr>
        <w:pStyle w:val="aa"/>
        <w:spacing w:after="0" w:line="240" w:lineRule="auto"/>
        <w:rPr>
          <w:rFonts w:cs="Times New Roman"/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 xml:space="preserve">&lt;*&gt; – государственная программа Ханты-Мансийского автономного округа </w:t>
      </w:r>
      <w:r w:rsidR="00DE5F68">
        <w:rPr>
          <w:rFonts w:cs="Times New Roman"/>
          <w:sz w:val="24"/>
          <w:szCs w:val="24"/>
          <w:lang w:eastAsia="ru-RU"/>
        </w:rPr>
        <w:t>–</w:t>
      </w:r>
      <w:r>
        <w:rPr>
          <w:rFonts w:cs="Times New Roman"/>
          <w:sz w:val="24"/>
          <w:szCs w:val="24"/>
          <w:lang w:eastAsia="ru-RU"/>
        </w:rPr>
        <w:t xml:space="preserve"> Югры;</w:t>
      </w:r>
    </w:p>
    <w:p w:rsidR="00481A5C" w:rsidRDefault="00684E18">
      <w:pPr>
        <w:pStyle w:val="aa"/>
        <w:spacing w:after="0" w:line="240" w:lineRule="auto"/>
        <w:rPr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&lt;</w:t>
      </w:r>
      <w:r>
        <w:rPr>
          <w:sz w:val="24"/>
          <w:szCs w:val="24"/>
          <w:lang w:eastAsia="ru-RU"/>
        </w:rPr>
        <w:t>**</w:t>
      </w:r>
      <w:r>
        <w:rPr>
          <w:rFonts w:cs="Times New Roman"/>
          <w:sz w:val="24"/>
          <w:szCs w:val="24"/>
          <w:lang w:eastAsia="ru-RU"/>
        </w:rPr>
        <w:t>&gt;</w:t>
      </w:r>
      <w:r>
        <w:rPr>
          <w:sz w:val="24"/>
          <w:szCs w:val="24"/>
          <w:lang w:eastAsia="ru-RU"/>
        </w:rPr>
        <w:t xml:space="preserve"> – показатель для оценки эффективности деятельности органов местного самоуправления муниципальных, городских округов и муниципальных районов;</w:t>
      </w:r>
    </w:p>
    <w:p w:rsidR="00481A5C" w:rsidRDefault="00684E18">
      <w:pPr>
        <w:pStyle w:val="aa"/>
        <w:spacing w:after="0" w:line="240" w:lineRule="auto"/>
        <w:rPr>
          <w:sz w:val="24"/>
          <w:szCs w:val="24"/>
          <w:lang w:eastAsia="ru-RU"/>
        </w:rPr>
      </w:pPr>
      <w:r>
        <w:rPr>
          <w:rFonts w:cs="Times New Roman"/>
          <w:sz w:val="24"/>
          <w:szCs w:val="24"/>
          <w:lang w:eastAsia="ru-RU"/>
        </w:rPr>
        <w:t>&lt;</w:t>
      </w:r>
      <w:r>
        <w:rPr>
          <w:sz w:val="24"/>
          <w:szCs w:val="24"/>
          <w:lang w:eastAsia="ru-RU"/>
        </w:rPr>
        <w:t>***</w:t>
      </w:r>
      <w:r>
        <w:rPr>
          <w:rFonts w:cs="Times New Roman"/>
          <w:sz w:val="24"/>
          <w:szCs w:val="24"/>
          <w:lang w:eastAsia="ru-RU"/>
        </w:rPr>
        <w:t>&gt;</w:t>
      </w:r>
      <w:r>
        <w:rPr>
          <w:sz w:val="24"/>
          <w:szCs w:val="24"/>
          <w:lang w:eastAsia="ru-RU"/>
        </w:rPr>
        <w:t xml:space="preserve"> – муниципальная программа Ханты-Мансийского района.</w:t>
      </w:r>
    </w:p>
    <w:p w:rsidR="00481A5C" w:rsidRDefault="00481A5C">
      <w:pPr>
        <w:widowControl w:val="0"/>
        <w:tabs>
          <w:tab w:val="left" w:pos="8986"/>
        </w:tabs>
        <w:spacing w:after="0" w:line="240" w:lineRule="auto"/>
        <w:ind w:right="40"/>
        <w:rPr>
          <w:szCs w:val="24"/>
          <w:lang w:eastAsia="ru-RU"/>
        </w:rPr>
      </w:pPr>
    </w:p>
    <w:p w:rsidR="00481A5C" w:rsidRDefault="00684E18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3. Помесячный план достижения показателей муниципальной программы в </w:t>
      </w:r>
      <w:r>
        <w:rPr>
          <w:rFonts w:eastAsia="Times New Roman" w:cs="Times New Roman"/>
          <w:iCs/>
          <w:szCs w:val="28"/>
        </w:rPr>
        <w:t>2026</w:t>
      </w:r>
      <w:r>
        <w:rPr>
          <w:rFonts w:eastAsia="Times New Roman" w:cs="Times New Roman"/>
          <w:szCs w:val="28"/>
        </w:rPr>
        <w:t xml:space="preserve"> году</w:t>
      </w:r>
    </w:p>
    <w:p w:rsidR="00481A5C" w:rsidRDefault="00481A5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992"/>
        <w:gridCol w:w="1165"/>
        <w:gridCol w:w="733"/>
        <w:gridCol w:w="741"/>
        <w:gridCol w:w="756"/>
        <w:gridCol w:w="733"/>
        <w:gridCol w:w="724"/>
        <w:gridCol w:w="777"/>
        <w:gridCol w:w="775"/>
        <w:gridCol w:w="721"/>
        <w:gridCol w:w="728"/>
        <w:gridCol w:w="728"/>
        <w:gridCol w:w="735"/>
        <w:gridCol w:w="1457"/>
      </w:tblGrid>
      <w:tr w:rsidR="00481A5C">
        <w:tc>
          <w:tcPr>
            <w:tcW w:w="568" w:type="dxa"/>
            <w:vMerge w:val="restart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2268" w:type="dxa"/>
            <w:vMerge w:val="restart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Уровень показателя</w:t>
            </w:r>
          </w:p>
        </w:tc>
        <w:tc>
          <w:tcPr>
            <w:tcW w:w="1165" w:type="dxa"/>
            <w:vMerge w:val="restart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Единица измерения (по ОКЕИ)</w:t>
            </w:r>
          </w:p>
        </w:tc>
        <w:tc>
          <w:tcPr>
            <w:tcW w:w="8151" w:type="dxa"/>
            <w:gridSpan w:val="11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Плановые значения по кварталам/ месяцам</w:t>
            </w:r>
          </w:p>
        </w:tc>
        <w:tc>
          <w:tcPr>
            <w:tcW w:w="1457" w:type="dxa"/>
            <w:vMerge w:val="restart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На конец </w:t>
            </w:r>
            <w:r>
              <w:rPr>
                <w:rFonts w:eastAsia="Times New Roman"/>
                <w:iCs/>
                <w:sz w:val="20"/>
                <w:szCs w:val="28"/>
              </w:rPr>
              <w:t xml:space="preserve">2026 </w:t>
            </w:r>
            <w:r>
              <w:rPr>
                <w:rFonts w:eastAsia="Times New Roman"/>
                <w:sz w:val="20"/>
                <w:szCs w:val="28"/>
              </w:rPr>
              <w:t>года</w:t>
            </w:r>
          </w:p>
        </w:tc>
      </w:tr>
      <w:tr w:rsidR="00481A5C">
        <w:tc>
          <w:tcPr>
            <w:tcW w:w="568" w:type="dxa"/>
            <w:vMerge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2268" w:type="dxa"/>
            <w:vMerge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992" w:type="dxa"/>
            <w:vMerge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165" w:type="dxa"/>
            <w:vMerge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янв.</w:t>
            </w:r>
          </w:p>
        </w:tc>
        <w:tc>
          <w:tcPr>
            <w:tcW w:w="74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фев.</w:t>
            </w:r>
          </w:p>
        </w:tc>
        <w:tc>
          <w:tcPr>
            <w:tcW w:w="75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март</w:t>
            </w: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апр.</w:t>
            </w:r>
          </w:p>
        </w:tc>
        <w:tc>
          <w:tcPr>
            <w:tcW w:w="724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май</w:t>
            </w:r>
          </w:p>
        </w:tc>
        <w:tc>
          <w:tcPr>
            <w:tcW w:w="77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июнь</w:t>
            </w:r>
          </w:p>
        </w:tc>
        <w:tc>
          <w:tcPr>
            <w:tcW w:w="77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июль</w:t>
            </w:r>
          </w:p>
        </w:tc>
        <w:tc>
          <w:tcPr>
            <w:tcW w:w="72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авг.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сен.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окт.</w:t>
            </w:r>
          </w:p>
        </w:tc>
        <w:tc>
          <w:tcPr>
            <w:tcW w:w="73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ноя.</w:t>
            </w:r>
          </w:p>
        </w:tc>
        <w:tc>
          <w:tcPr>
            <w:tcW w:w="1457" w:type="dxa"/>
            <w:vMerge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</w:tr>
      <w:tr w:rsidR="00481A5C">
        <w:tc>
          <w:tcPr>
            <w:tcW w:w="56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226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992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16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74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75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724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  <w:tc>
          <w:tcPr>
            <w:tcW w:w="77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</w:t>
            </w:r>
          </w:p>
        </w:tc>
        <w:tc>
          <w:tcPr>
            <w:tcW w:w="77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11</w:t>
            </w:r>
          </w:p>
        </w:tc>
        <w:tc>
          <w:tcPr>
            <w:tcW w:w="72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12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13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14</w:t>
            </w:r>
          </w:p>
        </w:tc>
        <w:tc>
          <w:tcPr>
            <w:tcW w:w="73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15</w:t>
            </w:r>
          </w:p>
        </w:tc>
        <w:tc>
          <w:tcPr>
            <w:tcW w:w="145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16</w:t>
            </w:r>
          </w:p>
        </w:tc>
      </w:tr>
      <w:tr w:rsidR="00481A5C">
        <w:tc>
          <w:tcPr>
            <w:tcW w:w="56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4033" w:type="dxa"/>
            <w:gridSpan w:val="15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Цель «Обеспечение равных условий для устойчивого исполнения расходных обязательств муниципальных образований сельских поселений района и повышения качества управления муниципальными финансами»</w:t>
            </w:r>
          </w:p>
        </w:tc>
      </w:tr>
      <w:tr w:rsidR="00481A5C">
        <w:tc>
          <w:tcPr>
            <w:tcW w:w="56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226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90 % от установленного критерия выравнивания поселений</w:t>
            </w:r>
          </w:p>
        </w:tc>
        <w:tc>
          <w:tcPr>
            <w:tcW w:w="992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ГП</w:t>
            </w:r>
          </w:p>
        </w:tc>
        <w:tc>
          <w:tcPr>
            <w:tcW w:w="116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  <w:tr w:rsidR="00481A5C">
        <w:tc>
          <w:tcPr>
            <w:tcW w:w="56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</w:t>
            </w:r>
            <w:r w:rsidR="00DE5F68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226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Доля сельских поселений района, имеющих сбалансированный бюджет</w:t>
            </w:r>
          </w:p>
        </w:tc>
        <w:tc>
          <w:tcPr>
            <w:tcW w:w="992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4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5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24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7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7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2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73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-</w:t>
            </w:r>
          </w:p>
        </w:tc>
        <w:tc>
          <w:tcPr>
            <w:tcW w:w="145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lang w:val="en-US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100</w:t>
            </w:r>
          </w:p>
        </w:tc>
      </w:tr>
      <w:tr w:rsidR="00481A5C">
        <w:tc>
          <w:tcPr>
            <w:tcW w:w="56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  <w:lang w:val="en-US"/>
              </w:rPr>
              <w:t>1.</w:t>
            </w:r>
            <w:r>
              <w:rPr>
                <w:rFonts w:eastAsia="Times New Roman"/>
                <w:sz w:val="20"/>
                <w:szCs w:val="28"/>
              </w:rPr>
              <w:t>3.</w:t>
            </w:r>
          </w:p>
        </w:tc>
        <w:tc>
          <w:tcPr>
            <w:tcW w:w="226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992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ОМСУ</w:t>
            </w:r>
          </w:p>
        </w:tc>
        <w:tc>
          <w:tcPr>
            <w:tcW w:w="116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</w:rPr>
              <w:t>%</w:t>
            </w: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4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5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4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7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73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-</w:t>
            </w:r>
          </w:p>
        </w:tc>
        <w:tc>
          <w:tcPr>
            <w:tcW w:w="145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не менее 61</w:t>
            </w:r>
          </w:p>
        </w:tc>
      </w:tr>
      <w:tr w:rsidR="00481A5C">
        <w:tc>
          <w:tcPr>
            <w:tcW w:w="56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1.4.</w:t>
            </w:r>
          </w:p>
        </w:tc>
        <w:tc>
          <w:tcPr>
            <w:tcW w:w="226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Сохранение уровня исполнения расходных обязательств 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  <w:tc>
          <w:tcPr>
            <w:tcW w:w="992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МП</w:t>
            </w:r>
          </w:p>
        </w:tc>
        <w:tc>
          <w:tcPr>
            <w:tcW w:w="116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%</w:t>
            </w: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4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56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3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4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7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1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28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73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  <w:tc>
          <w:tcPr>
            <w:tcW w:w="145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100</w:t>
            </w:r>
          </w:p>
        </w:tc>
      </w:tr>
    </w:tbl>
    <w:p w:rsidR="00481A5C" w:rsidRDefault="00481A5C">
      <w:pPr>
        <w:widowControl w:val="0"/>
        <w:tabs>
          <w:tab w:val="left" w:pos="8986"/>
        </w:tabs>
        <w:spacing w:after="0" w:line="240" w:lineRule="auto"/>
        <w:ind w:right="40"/>
        <w:rPr>
          <w:rFonts w:eastAsia="Times New Roman" w:cs="Times New Roman"/>
          <w:szCs w:val="28"/>
        </w:rPr>
      </w:pPr>
    </w:p>
    <w:p w:rsidR="00481A5C" w:rsidRDefault="00684E18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4. Структура муниципальной программы</w:t>
      </w:r>
    </w:p>
    <w:p w:rsidR="00481A5C" w:rsidRDefault="00481A5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tbl>
      <w:tblPr>
        <w:tblStyle w:val="a9"/>
        <w:tblW w:w="14601" w:type="dxa"/>
        <w:tblInd w:w="-289" w:type="dxa"/>
        <w:tblLook w:val="04A0" w:firstRow="1" w:lastRow="0" w:firstColumn="1" w:lastColumn="0" w:noHBand="0" w:noVBand="1"/>
      </w:tblPr>
      <w:tblGrid>
        <w:gridCol w:w="1125"/>
        <w:gridCol w:w="6187"/>
        <w:gridCol w:w="3479"/>
        <w:gridCol w:w="3810"/>
      </w:tblGrid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№ п/п</w:t>
            </w:r>
          </w:p>
        </w:tc>
        <w:tc>
          <w:tcPr>
            <w:tcW w:w="618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Задачи структурного элемента </w:t>
            </w:r>
          </w:p>
        </w:tc>
        <w:tc>
          <w:tcPr>
            <w:tcW w:w="3479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Краткое описание эффектов </w:t>
            </w:r>
          </w:p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 реализации задачи структурного элемента </w:t>
            </w:r>
          </w:p>
        </w:tc>
        <w:tc>
          <w:tcPr>
            <w:tcW w:w="3810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Связь с показателями 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618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3479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3810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</w:t>
            </w:r>
          </w:p>
        </w:tc>
        <w:tc>
          <w:tcPr>
            <w:tcW w:w="13476" w:type="dxa"/>
            <w:gridSpan w:val="3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Направление (подпрограмма) «Совершенствование системы распределения и перераспределения финансовых ресурсов между уровнями бюджетной системы»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sz w:val="20"/>
                <w:szCs w:val="28"/>
              </w:rPr>
              <w:t>1.1.</w:t>
            </w:r>
          </w:p>
        </w:tc>
        <w:tc>
          <w:tcPr>
            <w:tcW w:w="13476" w:type="dxa"/>
            <w:gridSpan w:val="3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  <w:highlight w:val="yellow"/>
              </w:rPr>
            </w:pPr>
            <w:r>
              <w:rPr>
                <w:rFonts w:eastAsia="Times New Roman"/>
                <w:sz w:val="20"/>
                <w:szCs w:val="28"/>
              </w:rPr>
              <w:t>Комплекс процессных мероприятий «Выравнивание бюджетной обеспеченности муниципальных образований сельских поселений района»</w:t>
            </w:r>
          </w:p>
        </w:tc>
      </w:tr>
      <w:tr w:rsidR="00481A5C" w:rsidTr="00DE5F68">
        <w:tc>
          <w:tcPr>
            <w:tcW w:w="1125" w:type="dxa"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Ответственный за реализацию: комитет по финансам </w:t>
            </w:r>
          </w:p>
        </w:tc>
        <w:tc>
          <w:tcPr>
            <w:tcW w:w="7289" w:type="dxa"/>
            <w:gridSpan w:val="2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Срок реализации: 2025 – 2031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1.1.1.</w:t>
            </w:r>
          </w:p>
        </w:tc>
        <w:tc>
          <w:tcPr>
            <w:tcW w:w="618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FF0000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Дотации на выравнивание бюджетной обеспеченности поселений из бюджета муниципального района</w:t>
            </w:r>
          </w:p>
        </w:tc>
        <w:tc>
          <w:tcPr>
            <w:tcW w:w="3479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предоставление из бюджета </w:t>
            </w:r>
          </w:p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Ханты-Мансийского района дотации на выравнивание бюджетной обеспеченности поселений</w:t>
            </w:r>
          </w:p>
        </w:tc>
        <w:tc>
          <w:tcPr>
            <w:tcW w:w="3810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доля сельских поселений, уровень расчетной бюджетной обеспеченности которых после предоставления дотации на выравнивание бюджетной обеспеченности из бюджета муниципального района составляет более 90</w:t>
            </w:r>
            <w:r w:rsidR="00DE5F68">
              <w:rPr>
                <w:rFonts w:eastAsia="Times New Roman"/>
                <w:iCs/>
                <w:sz w:val="20"/>
                <w:szCs w:val="28"/>
              </w:rPr>
              <w:t xml:space="preserve"> </w:t>
            </w:r>
            <w:r>
              <w:rPr>
                <w:rFonts w:eastAsia="Times New Roman"/>
                <w:iCs/>
                <w:sz w:val="20"/>
                <w:szCs w:val="28"/>
              </w:rPr>
              <w:t>% от установленного критерия выравнивания поселений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1.2.</w:t>
            </w:r>
          </w:p>
        </w:tc>
        <w:tc>
          <w:tcPr>
            <w:tcW w:w="13476" w:type="dxa"/>
            <w:gridSpan w:val="3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Комплекс процессных мероприятий «Поддержка мер по обеспечению сбалансированности местных бюджетов»</w:t>
            </w:r>
          </w:p>
        </w:tc>
      </w:tr>
      <w:tr w:rsidR="00481A5C" w:rsidTr="00DE5F68">
        <w:tc>
          <w:tcPr>
            <w:tcW w:w="1125" w:type="dxa"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Ответственный за реализацию: комитет по финансам</w:t>
            </w:r>
          </w:p>
        </w:tc>
        <w:tc>
          <w:tcPr>
            <w:tcW w:w="7289" w:type="dxa"/>
            <w:gridSpan w:val="2"/>
          </w:tcPr>
          <w:p w:rsidR="00481A5C" w:rsidRDefault="00DE5F6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с</w:t>
            </w:r>
            <w:r w:rsidR="00684E18">
              <w:rPr>
                <w:rFonts w:eastAsia="Times New Roman"/>
                <w:iCs/>
                <w:sz w:val="20"/>
                <w:szCs w:val="28"/>
              </w:rPr>
              <w:t xml:space="preserve">рок реализации: 2025 – 2026 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1.1.2.</w:t>
            </w:r>
          </w:p>
        </w:tc>
        <w:tc>
          <w:tcPr>
            <w:tcW w:w="618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Иные межбюджетные трансферты, передаваемые бюджетам поселений из бюджета района на обеспечение сбалансированности бюджетов поселений</w:t>
            </w:r>
          </w:p>
        </w:tc>
        <w:tc>
          <w:tcPr>
            <w:tcW w:w="3479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предоставление из бюджета </w:t>
            </w:r>
          </w:p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Ханты-Мансийского района иных межбюджетных трансфертов на обеспечение сбалансированности бюджетов поселений</w:t>
            </w:r>
          </w:p>
        </w:tc>
        <w:tc>
          <w:tcPr>
            <w:tcW w:w="3810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доля сельских поселений района, имеющих сбалансированный бюджет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2.</w:t>
            </w:r>
          </w:p>
        </w:tc>
        <w:tc>
          <w:tcPr>
            <w:tcW w:w="13476" w:type="dxa"/>
            <w:gridSpan w:val="3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Направление (подпрограмма) «Управление муниципальным долгом Ханты-Мансийского района»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2.1.</w:t>
            </w:r>
          </w:p>
        </w:tc>
        <w:tc>
          <w:tcPr>
            <w:tcW w:w="13476" w:type="dxa"/>
            <w:gridSpan w:val="3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Комплекс процессных мероприятий «Управление муниципальным долгом Ханты-Мансийского района»</w:t>
            </w:r>
          </w:p>
        </w:tc>
      </w:tr>
      <w:tr w:rsidR="00481A5C" w:rsidTr="00DE5F68">
        <w:tc>
          <w:tcPr>
            <w:tcW w:w="1125" w:type="dxa"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Ответственный за реализацию: комитет по финансам</w:t>
            </w:r>
          </w:p>
        </w:tc>
        <w:tc>
          <w:tcPr>
            <w:tcW w:w="7289" w:type="dxa"/>
            <w:gridSpan w:val="2"/>
          </w:tcPr>
          <w:p w:rsidR="00481A5C" w:rsidRDefault="00DE5F6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684E18">
              <w:rPr>
                <w:rFonts w:eastAsia="Times New Roman"/>
                <w:sz w:val="20"/>
                <w:szCs w:val="28"/>
              </w:rPr>
              <w:t>рок реализации: 2025 – 2031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2.1.1.</w:t>
            </w:r>
          </w:p>
        </w:tc>
        <w:tc>
          <w:tcPr>
            <w:tcW w:w="618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Обслуживание муниципального долга Ханты-Мансийского района</w:t>
            </w:r>
          </w:p>
        </w:tc>
        <w:tc>
          <w:tcPr>
            <w:tcW w:w="3479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своевременное и полное исполнение обязательств по уплате процентных платежей в рамках обслуживания муниципального долга Ханты-Мансийского района</w:t>
            </w:r>
          </w:p>
        </w:tc>
        <w:tc>
          <w:tcPr>
            <w:tcW w:w="3810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 xml:space="preserve">сохранение уровня исполнения расходных обязательств </w:t>
            </w:r>
          </w:p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Ханты-Мансийского района по обслуживанию муниципального долга Ханты-Мансийского района, возникающих на основании договоров и соглашений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</w:t>
            </w:r>
          </w:p>
        </w:tc>
        <w:tc>
          <w:tcPr>
            <w:tcW w:w="13476" w:type="dxa"/>
            <w:gridSpan w:val="3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iCs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Структурные элементы, не входящие в направления (подпрограммы)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3.1.</w:t>
            </w:r>
          </w:p>
        </w:tc>
        <w:tc>
          <w:tcPr>
            <w:tcW w:w="13476" w:type="dxa"/>
            <w:gridSpan w:val="3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Комплекс процессных мероприятий «Обеспечение деятельности комитета по финансам Администрации Ханты-Мансийского района»</w:t>
            </w:r>
          </w:p>
        </w:tc>
      </w:tr>
      <w:tr w:rsidR="00481A5C" w:rsidTr="00DE5F68">
        <w:tc>
          <w:tcPr>
            <w:tcW w:w="1125" w:type="dxa"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618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Ответственный за реализацию: комитет по финансам</w:t>
            </w:r>
          </w:p>
        </w:tc>
        <w:tc>
          <w:tcPr>
            <w:tcW w:w="7289" w:type="dxa"/>
            <w:gridSpan w:val="2"/>
          </w:tcPr>
          <w:p w:rsidR="00481A5C" w:rsidRDefault="00DE5F6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с</w:t>
            </w:r>
            <w:r w:rsidR="00684E18">
              <w:rPr>
                <w:rFonts w:eastAsia="Times New Roman"/>
                <w:sz w:val="20"/>
                <w:szCs w:val="28"/>
              </w:rPr>
              <w:t>рок реализации: 2025 – 2031</w:t>
            </w:r>
          </w:p>
        </w:tc>
      </w:tr>
      <w:tr w:rsidR="00481A5C" w:rsidTr="00DE5F68">
        <w:tc>
          <w:tcPr>
            <w:tcW w:w="1125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3.1.1</w:t>
            </w:r>
            <w:r w:rsidR="00DE5F68">
              <w:rPr>
                <w:rFonts w:eastAsia="Times New Roman"/>
                <w:sz w:val="20"/>
                <w:szCs w:val="28"/>
              </w:rPr>
              <w:t>.</w:t>
            </w:r>
          </w:p>
        </w:tc>
        <w:tc>
          <w:tcPr>
            <w:tcW w:w="618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Обеспечение выполнения полномочий и функций комитет по финансам Администрации Ханты-Мансийского района</w:t>
            </w:r>
          </w:p>
        </w:tc>
        <w:tc>
          <w:tcPr>
            <w:tcW w:w="3479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обеспечение деятельности комитета по финансам Администрации </w:t>
            </w:r>
          </w:p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Ханты-Мансийского района</w:t>
            </w:r>
          </w:p>
        </w:tc>
        <w:tc>
          <w:tcPr>
            <w:tcW w:w="3810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доля налоговых и неналоговых доходов местного бюджета </w:t>
            </w:r>
          </w:p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 xml:space="preserve">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</w:t>
            </w:r>
          </w:p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(без учета субвенций)</w:t>
            </w:r>
          </w:p>
        </w:tc>
      </w:tr>
    </w:tbl>
    <w:p w:rsidR="00481A5C" w:rsidRDefault="00481A5C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</w:p>
    <w:p w:rsidR="00481A5C" w:rsidRDefault="00684E18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5. Финансовое обеспечение муниципальной программы</w:t>
      </w:r>
    </w:p>
    <w:p w:rsidR="00481A5C" w:rsidRDefault="00481A5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5"/>
        <w:gridCol w:w="1263"/>
        <w:gridCol w:w="1240"/>
        <w:gridCol w:w="1201"/>
        <w:gridCol w:w="1240"/>
        <w:gridCol w:w="1218"/>
        <w:gridCol w:w="1218"/>
        <w:gridCol w:w="1183"/>
        <w:gridCol w:w="1364"/>
      </w:tblGrid>
      <w:tr w:rsidR="00481A5C" w:rsidTr="00DE5F68">
        <w:trPr>
          <w:jc w:val="center"/>
        </w:trPr>
        <w:tc>
          <w:tcPr>
            <w:tcW w:w="4147" w:type="dxa"/>
            <w:vMerge w:val="restart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93" w:type="dxa"/>
            <w:gridSpan w:val="8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Объем финансового обеспечения по годам, тыс. рублей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  <w:vMerge/>
          </w:tcPr>
          <w:p w:rsidR="00481A5C" w:rsidRDefault="00481A5C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454 036,1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388 562,6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358 081,4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352 223,0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352 224,9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352 226,9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352 222,7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2 609 577,6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229 936,5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230 855,8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236 112,1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230 269,9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1 617 984,0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224 099,6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157 706,8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121 969,3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121 953,1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121 955,0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121 957,0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121 952,8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991 593,6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1.</w:t>
            </w:r>
            <w:r>
              <w:rPr>
                <w:rFonts w:eastAsia="Times New Roman" w:cstheme="minorBidi"/>
                <w:sz w:val="20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8"/>
              </w:rPr>
              <w:t>Комплекс процессных мероприятий «Выравнивание бюджетной обеспеченности муниципальных образований сельских поселений района» (всего), в том числе: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387 074,5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287 951,0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293 207,3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287 365,1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2 117 693,2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229 079,6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229 951,0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235 207,3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229 365,1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1 611 698,3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157 994,9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58 000,0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505 994,9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iCs/>
                <w:sz w:val="20"/>
                <w:szCs w:val="28"/>
              </w:rPr>
              <w:t>2. Комплекс процессных мероприятий «Поддержка мер по обеспечению сбалансированности местных бюджетов» (всего), в том числе: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4 550,0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35 681,8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40 231,8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 w:hanging="72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4 550,0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35 681,8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40 231,8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3. Комплекс процессных мероприятий «Управление муниципальным долгом Ханты-Мансийского района»</w:t>
            </w:r>
            <w:r>
              <w:rPr>
                <w:rFonts w:eastAsia="Times New Roman" w:cstheme="minorBidi"/>
                <w:bCs/>
                <w:sz w:val="20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8"/>
              </w:rPr>
              <w:t>(всего), в том числе:</w:t>
            </w:r>
            <w:r>
              <w:rPr>
                <w:rFonts w:eastAsia="Times New Roman"/>
                <w:sz w:val="20"/>
                <w:szCs w:val="28"/>
              </w:rPr>
              <w:t xml:space="preserve"> 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161,0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609,8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0,0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161,0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131,1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75,4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59,2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61,1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63,1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58,9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609,8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4. Комплекс процессных мероприятий «Обеспечение деятельности комитета по финансам Администрации Ханты-Мансийского района»</w:t>
            </w:r>
            <w:r>
              <w:rPr>
                <w:rFonts w:eastAsia="Times New Roman" w:cstheme="minorBidi"/>
                <w:bCs/>
                <w:color w:val="000000" w:themeColor="text1"/>
                <w:sz w:val="20"/>
                <w:szCs w:val="28"/>
                <w:lang w:eastAsia="en-US"/>
              </w:rPr>
              <w:t xml:space="preserve"> </w:t>
            </w:r>
            <w:r>
              <w:rPr>
                <w:rFonts w:eastAsia="Times New Roman"/>
                <w:bCs/>
                <w:color w:val="000000" w:themeColor="text1"/>
                <w:sz w:val="20"/>
                <w:szCs w:val="28"/>
              </w:rPr>
              <w:t>(всего), в том числе: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62 250,6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64 798,7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451 042,8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бюджет автономного округа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856,9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904,8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6 285,7</w:t>
            </w:r>
          </w:p>
        </w:tc>
      </w:tr>
      <w:tr w:rsidR="00481A5C" w:rsidTr="00DE5F68">
        <w:trPr>
          <w:jc w:val="center"/>
        </w:trPr>
        <w:tc>
          <w:tcPr>
            <w:tcW w:w="4147" w:type="dxa"/>
          </w:tcPr>
          <w:p w:rsidR="00481A5C" w:rsidRDefault="00684E18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местный бюджет</w:t>
            </w:r>
          </w:p>
        </w:tc>
        <w:tc>
          <w:tcPr>
            <w:tcW w:w="12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61 393,7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0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49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226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190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63 893,9</w:t>
            </w:r>
          </w:p>
        </w:tc>
        <w:tc>
          <w:tcPr>
            <w:tcW w:w="1372" w:type="dxa"/>
          </w:tcPr>
          <w:p w:rsidR="00481A5C" w:rsidRDefault="00684E18" w:rsidP="00684E1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color w:val="000000" w:themeColor="text1"/>
                <w:sz w:val="20"/>
                <w:szCs w:val="28"/>
              </w:rPr>
            </w:pPr>
            <w:r>
              <w:rPr>
                <w:rFonts w:eastAsia="Times New Roman"/>
                <w:color w:val="000000" w:themeColor="text1"/>
                <w:sz w:val="20"/>
                <w:szCs w:val="28"/>
              </w:rPr>
              <w:t>444 757,1</w:t>
            </w:r>
          </w:p>
        </w:tc>
      </w:tr>
    </w:tbl>
    <w:p w:rsidR="00481A5C" w:rsidRDefault="00481A5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color w:val="000000" w:themeColor="text1"/>
          <w:sz w:val="20"/>
          <w:szCs w:val="28"/>
        </w:rPr>
      </w:pPr>
    </w:p>
    <w:p w:rsidR="00481A5C" w:rsidRDefault="00481A5C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 w:val="20"/>
          <w:szCs w:val="28"/>
        </w:rPr>
      </w:pPr>
    </w:p>
    <w:p w:rsidR="00481A5C" w:rsidRDefault="00481A5C">
      <w:pPr>
        <w:pStyle w:val="aa"/>
        <w:jc w:val="right"/>
        <w:rPr>
          <w:lang w:eastAsia="ru-RU"/>
        </w:rPr>
      </w:pPr>
    </w:p>
    <w:sectPr w:rsidR="00481A5C" w:rsidSect="00684E18">
      <w:pgSz w:w="16838" w:h="11905" w:orient="landscape"/>
      <w:pgMar w:top="1418" w:right="1247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E18" w:rsidRDefault="00684E18">
      <w:pPr>
        <w:spacing w:after="0" w:line="240" w:lineRule="auto"/>
      </w:pPr>
      <w:r>
        <w:separator/>
      </w:r>
    </w:p>
  </w:endnote>
  <w:endnote w:type="continuationSeparator" w:id="0">
    <w:p w:rsidR="00684E18" w:rsidRDefault="0068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E18" w:rsidRDefault="00684E18">
      <w:pPr>
        <w:spacing w:after="0" w:line="240" w:lineRule="auto"/>
      </w:pPr>
      <w:r>
        <w:separator/>
      </w:r>
    </w:p>
  </w:footnote>
  <w:footnote w:type="continuationSeparator" w:id="0">
    <w:p w:rsidR="00684E18" w:rsidRDefault="0068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1520544"/>
      <w:docPartObj>
        <w:docPartGallery w:val="Page Numbers (Top of Page)"/>
        <w:docPartUnique/>
      </w:docPartObj>
    </w:sdtPr>
    <w:sdtEndPr/>
    <w:sdtContent>
      <w:p w:rsidR="00684E18" w:rsidRDefault="00684E18">
        <w:pPr>
          <w:pStyle w:val="a3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>
          <w:rPr>
            <w:sz w:val="24"/>
          </w:rPr>
          <w:t>10</w:t>
        </w:r>
        <w:r>
          <w:rPr>
            <w:sz w:val="24"/>
          </w:rPr>
          <w:fldChar w:fldCharType="end"/>
        </w:r>
      </w:p>
    </w:sdtContent>
  </w:sdt>
  <w:p w:rsidR="00684E18" w:rsidRDefault="00684E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7938276"/>
      <w:docPartObj>
        <w:docPartGallery w:val="Page Numbers (Top of Page)"/>
        <w:docPartUnique/>
      </w:docPartObj>
    </w:sdtPr>
    <w:sdtEndPr/>
    <w:sdtContent>
      <w:p w:rsidR="00684E18" w:rsidRDefault="00684E18">
        <w:pPr>
          <w:pStyle w:val="a3"/>
          <w:jc w:val="center"/>
        </w:pPr>
        <w:r w:rsidRPr="00684E18">
          <w:rPr>
            <w:sz w:val="24"/>
            <w:szCs w:val="24"/>
          </w:rPr>
          <w:fldChar w:fldCharType="begin"/>
        </w:r>
        <w:r w:rsidRPr="00684E18">
          <w:rPr>
            <w:sz w:val="24"/>
            <w:szCs w:val="24"/>
          </w:rPr>
          <w:instrText>PAGE   \* MERGEFORMAT</w:instrText>
        </w:r>
        <w:r w:rsidRPr="00684E18">
          <w:rPr>
            <w:sz w:val="24"/>
            <w:szCs w:val="24"/>
          </w:rPr>
          <w:fldChar w:fldCharType="separate"/>
        </w:r>
        <w:r w:rsidRPr="00684E18">
          <w:rPr>
            <w:sz w:val="24"/>
            <w:szCs w:val="24"/>
          </w:rPr>
          <w:t>2</w:t>
        </w:r>
        <w:r w:rsidRPr="00684E18">
          <w:rPr>
            <w:sz w:val="24"/>
            <w:szCs w:val="24"/>
          </w:rPr>
          <w:fldChar w:fldCharType="end"/>
        </w:r>
      </w:p>
    </w:sdtContent>
  </w:sdt>
  <w:p w:rsidR="00684E18" w:rsidRDefault="00684E1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C"/>
    <w:multiLevelType w:val="hybridMultilevel"/>
    <w:tmpl w:val="9EACC464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1D44"/>
    <w:multiLevelType w:val="hybridMultilevel"/>
    <w:tmpl w:val="E24648B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566D79"/>
    <w:multiLevelType w:val="hybridMultilevel"/>
    <w:tmpl w:val="13BA092E"/>
    <w:lvl w:ilvl="0" w:tplc="AA225EC4">
      <w:start w:val="5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E4F"/>
    <w:multiLevelType w:val="multilevel"/>
    <w:tmpl w:val="38581A9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4C40656F"/>
    <w:multiLevelType w:val="hybridMultilevel"/>
    <w:tmpl w:val="25FCAD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27B86"/>
    <w:multiLevelType w:val="multilevel"/>
    <w:tmpl w:val="5CEE82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6" w15:restartNumberingAfterBreak="0">
    <w:nsid w:val="55265A97"/>
    <w:multiLevelType w:val="hybridMultilevel"/>
    <w:tmpl w:val="1B64549A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12DAA"/>
    <w:multiLevelType w:val="multilevel"/>
    <w:tmpl w:val="476E94CE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59" w:hanging="1305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2013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67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1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 w15:restartNumberingAfterBreak="0">
    <w:nsid w:val="79557745"/>
    <w:multiLevelType w:val="hybridMultilevel"/>
    <w:tmpl w:val="ADCC0E2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E713C"/>
    <w:multiLevelType w:val="hybridMultilevel"/>
    <w:tmpl w:val="928EF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A5C"/>
    <w:rsid w:val="00481A5C"/>
    <w:rsid w:val="00684E18"/>
    <w:rsid w:val="006C08A0"/>
    <w:rsid w:val="00BF1A23"/>
    <w:rsid w:val="00DE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2D98"/>
  <w15:docId w15:val="{7D85D654-D845-4B13-B5CF-0A0FA47B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9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Толокнова К.В.</cp:lastModifiedBy>
  <cp:revision>50</cp:revision>
  <cp:lastPrinted>2026-04-06T12:04:00Z</cp:lastPrinted>
  <dcterms:created xsi:type="dcterms:W3CDTF">2024-12-28T08:34:00Z</dcterms:created>
  <dcterms:modified xsi:type="dcterms:W3CDTF">2026-04-13T05:53:00Z</dcterms:modified>
</cp:coreProperties>
</file>