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E1" w:rsidRDefault="002121EE">
      <w:pPr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 w:rsidR="00620DE1" w:rsidRDefault="00620DE1">
      <w:pPr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20DE1" w:rsidRDefault="002121E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ХАНТЫ-МАНСИЙСКИЙ </w:t>
      </w:r>
    </w:p>
    <w:p w:rsidR="00620DE1" w:rsidRDefault="002121E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МУНИЦИПАЛЬНЫЙ РАЙОН</w:t>
      </w:r>
    </w:p>
    <w:p w:rsidR="00620DE1" w:rsidRDefault="002121EE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620DE1" w:rsidRDefault="00620DE1">
      <w:pPr>
        <w:rPr>
          <w:rFonts w:ascii="Times New Roman" w:eastAsia="Times New Roman" w:hAnsi="Times New Roman"/>
          <w:sz w:val="28"/>
          <w:szCs w:val="28"/>
        </w:rPr>
      </w:pPr>
    </w:p>
    <w:p w:rsidR="00620DE1" w:rsidRDefault="002121EE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620DE1" w:rsidRDefault="00620DE1">
      <w:pPr>
        <w:rPr>
          <w:rFonts w:ascii="Times New Roman" w:eastAsia="Times New Roman" w:hAnsi="Times New Roman"/>
          <w:b/>
          <w:sz w:val="28"/>
          <w:szCs w:val="28"/>
        </w:rPr>
      </w:pPr>
    </w:p>
    <w:p w:rsidR="00620DE1" w:rsidRDefault="002121EE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 О С Т А Н О В Л Е Н И Е </w:t>
      </w:r>
    </w:p>
    <w:p w:rsidR="00620DE1" w:rsidRDefault="00620D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20DE1" w:rsidRDefault="002121EE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C1F50">
        <w:rPr>
          <w:rFonts w:ascii="Times New Roman" w:eastAsia="Times New Roman" w:hAnsi="Times New Roman" w:cs="Times New Roman"/>
          <w:sz w:val="28"/>
          <w:szCs w:val="28"/>
        </w:rPr>
        <w:t>18.09.2025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№</w:t>
      </w:r>
      <w:r w:rsidR="000C1F50">
        <w:rPr>
          <w:rFonts w:ascii="Times New Roman" w:eastAsia="Times New Roman" w:hAnsi="Times New Roman" w:cs="Times New Roman"/>
          <w:sz w:val="28"/>
          <w:szCs w:val="28"/>
        </w:rPr>
        <w:t xml:space="preserve"> 573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0DE1" w:rsidRDefault="002121EE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620DE1" w:rsidRDefault="00620DE1">
      <w:pPr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620DE1" w:rsidRDefault="00620DE1">
      <w:pPr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Ханты-Мансийского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от 18.08.2022 № 298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Правил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:rsidR="00620DE1" w:rsidRDefault="002121E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bookmarkEnd w:id="0"/>
    <w:p w:rsidR="00620DE1" w:rsidRDefault="00620DE1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:rsidR="00620DE1" w:rsidRDefault="00620DE1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:rsidR="00620DE1" w:rsidRDefault="002121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Федерации, Федеральным законом от 20.03.2025 № 33-ФЗ «Об общих принципах организации местного самоуправления в единой системе публичной власти», Законом Ханты-Мансийского автономного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округа – Югры от 18.04.2007 № 39-оз «О градостроительной деятельности на территории Ханты-Мансийского автономного округа – Югры»,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>
        <w:rPr>
          <w:rFonts w:ascii="Times New Roman" w:hAnsi="Times New Roman" w:cs="Times New Roman"/>
          <w:sz w:val="28"/>
          <w:szCs w:val="28"/>
        </w:rPr>
        <w:t>от 22.08.2025, заключение о результатах общественных обсуждений от 22.08.2025), руководствуясь статьей 32 Устава Ханты-Мансийского района:</w:t>
      </w:r>
    </w:p>
    <w:p w:rsidR="00620DE1" w:rsidRDefault="00620D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0DE1" w:rsidRDefault="002121EE">
      <w:pPr>
        <w:pStyle w:val="af2"/>
        <w:numPr>
          <w:ilvl w:val="0"/>
          <w:numId w:val="39"/>
        </w:numPr>
        <w:shd w:val="clear" w:color="auto" w:fill="FFFFFF"/>
        <w:tabs>
          <w:tab w:val="left" w:pos="709"/>
          <w:tab w:val="center" w:pos="1134"/>
          <w:tab w:val="left" w:pos="3828"/>
        </w:tabs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застройки межселенной территории Ханты-Мансийского района» </w:t>
      </w:r>
      <w:r>
        <w:rPr>
          <w:rFonts w:ascii="Times New Roman" w:hAnsi="Times New Roman" w:cs="Times New Roman"/>
          <w:sz w:val="28"/>
          <w:szCs w:val="28"/>
        </w:rPr>
        <w:br/>
        <w:t>(далее – постановление) следующие изменения:</w:t>
      </w:r>
    </w:p>
    <w:p w:rsidR="00620DE1" w:rsidRDefault="002121EE">
      <w:pPr>
        <w:pStyle w:val="ConsPlusNormal"/>
        <w:numPr>
          <w:ilvl w:val="1"/>
          <w:numId w:val="4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преамбуле постановления </w:t>
      </w:r>
      <w:r>
        <w:rPr>
          <w:rFonts w:ascii="Times New Roman" w:hAnsi="Times New Roman" w:cs="Times New Roman"/>
          <w:sz w:val="28"/>
          <w:szCs w:val="28"/>
        </w:rPr>
        <w:t xml:space="preserve">слова «Федерального закона </w:t>
      </w:r>
      <w:r>
        <w:rPr>
          <w:rFonts w:ascii="Times New Roman" w:hAnsi="Times New Roman" w:cs="Times New Roman"/>
          <w:sz w:val="28"/>
          <w:szCs w:val="28"/>
        </w:rPr>
        <w:br/>
        <w:t>от 06.10.2003 № 131-ФЗ «</w:t>
      </w:r>
      <w:r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»» заменить словами «Федерального закона от 20.03.2025 № 33-ФЗ «Об общих принципах организации местного самоуправления в единой системе публичной власти»».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1.2. В приложении 1 к Правилам землепользования и застройки межселенной территории Ханты-Мансийского района: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 Таблицу «Основные виды и параметры разрешенного использования земельных участков и объектов капитального строительства» части 2.2 «Зона производственной инфраструктуры (П)» статьи 2 главы 2 изложить в следующей редакции: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4A0" w:firstRow="1" w:lastRow="0" w:firstColumn="1" w:lastColumn="0" w:noHBand="0" w:noVBand="1"/>
      </w:tblPr>
      <w:tblGrid>
        <w:gridCol w:w="2406"/>
        <w:gridCol w:w="1133"/>
        <w:gridCol w:w="2690"/>
        <w:gridCol w:w="2832"/>
      </w:tblGrid>
      <w:tr w:rsidR="00620DE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20DE1">
        <w:trPr>
          <w:trHeight w:val="153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2693" w:type="dxa"/>
            <w:vMerge w:val="restart"/>
          </w:tcPr>
          <w:p w:rsidR="00620DE1" w:rsidRDefault="000104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121EE">
              <w:rPr>
                <w:rFonts w:ascii="Times New Roman" w:hAnsi="Times New Roman" w:cs="Times New Roman"/>
              </w:rPr>
              <w:t>инимальная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до 3 надземных этажей включительно.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Pr="000104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3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Расстояние от границ смежного земельного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участка</w:t>
            </w:r>
            <w:r w:rsidRPr="000104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3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объектов I – II класса вредности – 10</w:t>
            </w:r>
            <w:r w:rsidRPr="000104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% от площади земельного участка;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объектов III класса вредности – 10</w:t>
            </w:r>
            <w:r w:rsidRPr="000104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% от площади земельного участка;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объектов IV, V класса вредности – 15</w:t>
            </w:r>
            <w:r w:rsidRPr="000104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% от площади земельного участка</w:t>
            </w:r>
          </w:p>
        </w:tc>
        <w:tc>
          <w:tcPr>
            <w:tcW w:w="2835" w:type="dxa"/>
            <w:vMerge w:val="restart"/>
          </w:tcPr>
          <w:p w:rsidR="00620DE1" w:rsidRDefault="000104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121EE">
              <w:rPr>
                <w:rFonts w:ascii="Times New Roman" w:hAnsi="Times New Roman" w:cs="Times New Roman"/>
              </w:rPr>
              <w:t>е допускается размещать объекты по производству лекарственных веществ, лекарственных средств и (или) лекарственных форм, объекты пищевых отраслей</w:t>
            </w:r>
            <w:r w:rsidR="002121EE" w:rsidRPr="00010451">
              <w:rPr>
                <w:rFonts w:ascii="Times New Roman" w:hAnsi="Times New Roman" w:cs="Times New Roman"/>
              </w:rPr>
              <w:t xml:space="preserve"> </w:t>
            </w:r>
            <w:r w:rsidR="002121EE">
              <w:rPr>
                <w:rFonts w:ascii="Times New Roman" w:hAnsi="Times New Roman" w:cs="Times New Roman"/>
              </w:rPr>
              <w:t>промышленности в санитарно-защитной зоне и на территории объектов других отраслей промышленности.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Разведка и добыча полезных ископаемых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330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Осуществление геологического изучения недр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6.1.1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Тяжелая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Автомобилестроительная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03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Фармацевтическая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6.3.1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Пищевая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>
        <w:trPr>
          <w:trHeight w:val="4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Нефтехимическая промышленность</w:t>
            </w:r>
          </w:p>
        </w:tc>
        <w:tc>
          <w:tcPr>
            <w:tcW w:w="1134" w:type="dxa"/>
          </w:tcPr>
          <w:p w:rsidR="00620DE1" w:rsidRDefault="002121EE">
            <w:pPr>
              <w:pStyle w:val="ConsPlusNormal"/>
              <w:ind w:firstLine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 w:rsidTr="00010451">
        <w:trPr>
          <w:trHeight w:val="236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tabs>
                <w:tab w:val="left" w:pos="28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Количество этажей – до 2 надземных этажей включительно.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– не подлежит установлению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</w:t>
            </w:r>
            <w:r>
              <w:rPr>
                <w:rFonts w:ascii="Times New Roman" w:hAnsi="Times New Roman" w:cs="Times New Roman"/>
              </w:rPr>
              <w:lastRenderedPageBreak/>
              <w:t>регламентов и в соответствии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Деловое управление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500 кв.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до 3 надземных этажей.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– 5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– 5 м до выступающих конструктивных элементов (крыльцо, пандус, приямок, отмостка и т.д.) основного здания.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Максимальный процент застройки – 75 %, включая основное строение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и вспомогательные, обеспечивающие функционирование объекта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законодательством.</w:t>
            </w: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Склад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6.9</w:t>
            </w:r>
          </w:p>
        </w:tc>
        <w:tc>
          <w:tcPr>
            <w:tcW w:w="2693" w:type="dxa"/>
          </w:tcPr>
          <w:p w:rsidR="00620DE1" w:rsidRDefault="00010451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</w:t>
            </w:r>
            <w:r w:rsidR="002121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инимальная площадь участка – не подлежит установлению.</w:t>
            </w:r>
          </w:p>
          <w:p w:rsidR="00620DE1" w:rsidRDefault="002121E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этажей – до 3 надземных этажей.</w:t>
            </w:r>
          </w:p>
          <w:p w:rsidR="00620DE1" w:rsidRDefault="002121E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Высота – не подлежит установлению.</w:t>
            </w:r>
          </w:p>
          <w:p w:rsidR="00620DE1" w:rsidRDefault="002121E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Минимальный отступ от красной линии – 3 м.</w:t>
            </w:r>
          </w:p>
          <w:p w:rsidR="00620DE1" w:rsidRDefault="002121E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620DE1" w:rsidRDefault="002121E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Расстояние от границ смежного земельного участка – 5 м</w:t>
            </w:r>
            <w:r w:rsidR="0083631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Максимальный процент застройки – не подлежит установлению</w:t>
            </w:r>
          </w:p>
        </w:tc>
        <w:tc>
          <w:tcPr>
            <w:tcW w:w="2835" w:type="dxa"/>
          </w:tcPr>
          <w:p w:rsidR="00620DE1" w:rsidRDefault="0001045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</w:t>
            </w:r>
            <w:r w:rsidR="002121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2121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 пищевых продуктов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2121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санитарно-защитной зоне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2121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на территории объектов других отраслей промышленности.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836314">
              <w:rPr>
                <w:rFonts w:ascii="Times New Roman" w:hAnsi="Times New Roman" w:cs="Times New Roman"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  <w:t xml:space="preserve">со статьями 3 – 11 настоящих регламентов и в соответствии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  <w:t xml:space="preserve">с действующим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законодательством</w:t>
            </w:r>
          </w:p>
        </w:tc>
      </w:tr>
      <w:tr w:rsidR="00620DE1" w:rsidTr="00836314">
        <w:trPr>
          <w:trHeight w:val="90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Служебные гаражи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– не подлежит установлению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10451">
              <w:rPr>
                <w:rFonts w:ascii="Times New Roman" w:hAnsi="Times New Roman" w:cs="Times New Roman"/>
                <w:color w:val="000000" w:themeColor="text1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</w:t>
            </w:r>
            <w:r w:rsidR="008363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законодательством</w:t>
            </w:r>
          </w:p>
        </w:tc>
      </w:tr>
      <w:tr w:rsidR="00620DE1" w:rsidTr="00836314">
        <w:trPr>
          <w:trHeight w:val="907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дорожного сервиса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200 кв.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– 5 м.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Расстояние от границ смежного земельного участка – 5 м до выступающих конструктивных элементов (крыльцо, пандус, приямок, отмостка и т.д.) основного здания.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– 75 %, включая основное строение и вспомогательные, обеспечивающие функционирование объекта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Коммунальное обслуживание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693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до 2 надземных этажей включительно.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Минимальный отступ от красной линии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Расстояние от границ смежного земельного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участка – не подлежит установлению.</w:t>
            </w:r>
          </w:p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 – не подлежит установлению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</w:t>
            </w:r>
            <w:r w:rsidR="00010451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693" w:type="dxa"/>
            <w:vMerge w:val="restart"/>
          </w:tcPr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до 2 надземных этажей.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Минимальный отступ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от красной линии – 5 м.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Расстояние от границ смежного земельного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участка – 3 м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Максимальный процент застройки – 75 %, включая основное строение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и вспомогательные, обеспечивающие функционирование объекта</w:t>
            </w:r>
          </w:p>
        </w:tc>
        <w:tc>
          <w:tcPr>
            <w:tcW w:w="2835" w:type="dxa"/>
            <w:vMerge w:val="restart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земельных участков в границах зон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 с действующим законодательством</w:t>
            </w: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3.9.1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ind w:firstLine="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693" w:type="dxa"/>
            <w:vMerge/>
          </w:tcPr>
          <w:p w:rsidR="00620DE1" w:rsidRDefault="00620DE1">
            <w:pPr>
              <w:pStyle w:val="ConsPlusNormal"/>
              <w:ind w:firstLine="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620DE1" w:rsidRDefault="00620DE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0DE1" w:rsidTr="00010451">
        <w:trPr>
          <w:trHeight w:val="1191"/>
        </w:trPr>
        <w:tc>
          <w:tcPr>
            <w:tcW w:w="2410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</w:tcPr>
          <w:p w:rsidR="00620DE1" w:rsidRDefault="002121EE" w:rsidP="000104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2693" w:type="dxa"/>
          </w:tcPr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минимальная площадь участка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</w:t>
            </w:r>
            <w:r w:rsidR="00836314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Высота – не подлежит </w:t>
            </w:r>
            <w:r>
              <w:rPr>
                <w:rFonts w:ascii="Times New Roman" w:hAnsi="Times New Roman" w:cs="Times New Roman"/>
              </w:rPr>
              <w:lastRenderedPageBreak/>
              <w:t>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Минимальный отступ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от красной линии –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Расстояние от границ смежного земельного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участка – не подлежит установлению.</w:t>
            </w:r>
          </w:p>
          <w:p w:rsidR="00620DE1" w:rsidRDefault="002121EE" w:rsidP="008363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836314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не подлежит установлению</w:t>
            </w:r>
          </w:p>
        </w:tc>
        <w:tc>
          <w:tcPr>
            <w:tcW w:w="2835" w:type="dxa"/>
          </w:tcPr>
          <w:p w:rsidR="00620DE1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использование земельных участков в границах зон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 особыми условиями использования территории осуществлять в соответствии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>
              <w:rPr>
                <w:rFonts w:ascii="Times New Roman" w:hAnsi="Times New Roman" w:cs="Times New Roman"/>
              </w:rPr>
              <w:t xml:space="preserve"> настоящих регламентов и в соответствии </w:t>
            </w:r>
            <w:r w:rsidR="0083631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 Таблицу «Основные виды и параметры разрешенного использования земельных участков и объектов капитального строительства» части 2.3 «Зона объектов недропользования (ПН)» статьи 2 главы 2 изложить в следующей редакции: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62" w:type="dxa"/>
          <w:bottom w:w="28" w:type="dxa"/>
          <w:right w:w="62" w:type="dxa"/>
        </w:tblCellMar>
        <w:tblLook w:val="04A0" w:firstRow="1" w:lastRow="0" w:firstColumn="1" w:lastColumn="0" w:noHBand="0" w:noVBand="1"/>
      </w:tblPr>
      <w:tblGrid>
        <w:gridCol w:w="2565"/>
        <w:gridCol w:w="1624"/>
        <w:gridCol w:w="2300"/>
        <w:gridCol w:w="2572"/>
      </w:tblGrid>
      <w:tr w:rsidR="00620DE1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89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Параметры разрешенного использования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6.0</w:t>
            </w:r>
          </w:p>
        </w:tc>
        <w:tc>
          <w:tcPr>
            <w:tcW w:w="126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минимальная площадь участка –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Максимальная площадь участка –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–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>до 3 надземных этажей включительно.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Высота –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>от красной линии – 3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 условиях реконструкции допускается сокращение отступа и/или размещение зданий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>по красной линии улиц.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Расстояние от границ смежного земельного участка – 3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Максимальный процент застройки –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Минимальный процент озеленения: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для объектов I – II класса вредности – 10 %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>от площади земельного участка;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для объектов III класса вредности – 10 %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 xml:space="preserve">от площади земельного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>участка;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для объектов IV, V класса вредности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15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%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от площади земельного участка</w:t>
            </w:r>
          </w:p>
        </w:tc>
        <w:tc>
          <w:tcPr>
            <w:tcW w:w="141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не допускается размещать объекты по производству лекарственных веществ, лекарственных средств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 xml:space="preserve">и (или) лекарственных форм, объекты пищевых отраслей промышленности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>в санитарно-защитной зоне и на территории объектов других отраслей промышленности.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br/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 в соответствии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действующим законодательством</w:t>
            </w: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Тяжелая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6.2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6.2.1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Легкая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6.3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6.3.1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Пищевая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6.4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6.5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Строительная промышленность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6.6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Трубопроводный транспорт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7.5</w:t>
            </w:r>
          </w:p>
        </w:tc>
        <w:tc>
          <w:tcPr>
            <w:tcW w:w="126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2 надземных этажей включительно.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</w:t>
            </w:r>
          </w:p>
        </w:tc>
        <w:tc>
          <w:tcPr>
            <w:tcW w:w="141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 в соответствии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действующим законодательством</w:t>
            </w: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Разведка и добыча полезных ископаемых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6.1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Осуществление геологического изучения недр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6.1.1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>
        <w:trPr>
          <w:trHeight w:val="20"/>
        </w:trPr>
        <w:tc>
          <w:tcPr>
            <w:tcW w:w="2312" w:type="pct"/>
            <w:gridSpan w:val="2"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Деловое управление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4.1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500 кв.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3 надземных этажей.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 условиях реконструкции допускается сокращение отступа и/или размещение зданий </w:t>
            </w:r>
            <w:r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по красной линии улиц.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75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%, включая основное строение и вспомогательные, обеспечивающие функционирование объекта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особыми условиями использования территории осуществлять в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и в соответствии с действующим законодательством</w:t>
            </w:r>
          </w:p>
        </w:tc>
      </w:tr>
      <w:tr w:rsidR="00620DE1" w:rsidTr="002121EE">
        <w:trPr>
          <w:trHeight w:val="20"/>
        </w:trPr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>Склад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6.9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3 надземных этажей.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3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 условиях реконструкции допускается сокращение отступа и/или размещение зданий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по красной линии улиц.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 в соответствии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действующим законодательством</w:t>
            </w:r>
          </w:p>
        </w:tc>
      </w:tr>
      <w:tr w:rsidR="00620DE1" w:rsidTr="002121EE"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Объекты дорожного сервиса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4.9.1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минимальная площадь участка 200 кв.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2 надземных этажей включительно.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 условиях реконструкции допускается сокращение отступа и/или размещение зданий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по красной линии улиц.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75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%, включая основное строение и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>вспомогательные, обеспечивающие функционирование объекта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использование земельных участков в границах зон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 в соответствии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действующим законодательством</w:t>
            </w:r>
          </w:p>
        </w:tc>
      </w:tr>
      <w:tr w:rsidR="00620DE1" w:rsidTr="002121EE"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Коммунальное обслуживание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3.1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2 надземных этажей включительно.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 w:rsidR="00D7589D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и в соответствии с действующим законодательством</w:t>
            </w:r>
          </w:p>
        </w:tc>
      </w:tr>
      <w:tr w:rsidR="00620DE1" w:rsidTr="002121EE"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3.9.1</w:t>
            </w:r>
          </w:p>
        </w:tc>
        <w:tc>
          <w:tcPr>
            <w:tcW w:w="126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2 надземных этажей.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5 м.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 условиях реконструкции допускается сокращение отступа и/или размещение зданий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по красной линии улиц.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3 м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до выступающих конструктивных элементов (крыльцо, пандус, приямок, отмостка и т.д.) основного здания.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75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%, включая основное строение и вспомогательные, обеспечивающие функционирование объекта</w:t>
            </w:r>
          </w:p>
        </w:tc>
        <w:tc>
          <w:tcPr>
            <w:tcW w:w="1419" w:type="pct"/>
            <w:vMerge w:val="restar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521C7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 в соответствии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с действующим законодательством</w:t>
            </w:r>
          </w:p>
        </w:tc>
      </w:tr>
      <w:tr w:rsidR="00620DE1" w:rsidTr="002121EE"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8.3</w:t>
            </w:r>
          </w:p>
        </w:tc>
        <w:tc>
          <w:tcPr>
            <w:tcW w:w="126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9" w:type="pct"/>
            <w:vMerge/>
          </w:tcPr>
          <w:p w:rsidR="00620DE1" w:rsidRPr="002121EE" w:rsidRDefault="00620D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20DE1" w:rsidTr="002121EE">
        <w:tc>
          <w:tcPr>
            <w:tcW w:w="1416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896" w:type="pct"/>
          </w:tcPr>
          <w:p w:rsidR="00620DE1" w:rsidRPr="002121EE" w:rsidRDefault="002121EE" w:rsidP="002121E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>12.0</w:t>
            </w:r>
          </w:p>
        </w:tc>
        <w:tc>
          <w:tcPr>
            <w:tcW w:w="126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минимальная площадь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Максимальная площадь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Количество этажей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Высота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Минимальный отступ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от красной линии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Расстояние от границ смежного земельного участка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установлению.</w:t>
            </w:r>
          </w:p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Максимальный процент застройки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не подлежит установлению</w:t>
            </w:r>
          </w:p>
        </w:tc>
        <w:tc>
          <w:tcPr>
            <w:tcW w:w="1419" w:type="pct"/>
          </w:tcPr>
          <w:p w:rsidR="00620DE1" w:rsidRPr="002121EE" w:rsidRDefault="002121E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земельных участков в границах зон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с особыми условиями использования территории осуществлять в соответствии со </w:t>
            </w:r>
            <w:hyperlink w:anchor="P1694" w:tooltip="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статьями 3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w:anchor="P2232" w:tooltip="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" w:history="1">
              <w:r w:rsidRPr="002121EE">
                <w:rPr>
                  <w:rFonts w:ascii="Times New Roman" w:hAnsi="Times New Roman" w:cs="Times New Roman"/>
                  <w:color w:val="000000" w:themeColor="text1"/>
                </w:rPr>
                <w:t>11</w:t>
              </w:r>
            </w:hyperlink>
            <w:r w:rsidRPr="002121EE">
              <w:rPr>
                <w:rFonts w:ascii="Times New Roman" w:hAnsi="Times New Roman" w:cs="Times New Roman"/>
                <w:color w:val="000000" w:themeColor="text1"/>
              </w:rPr>
              <w:t xml:space="preserve"> настоящих регламентов </w:t>
            </w:r>
            <w:r w:rsidR="006037F1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2121EE">
              <w:rPr>
                <w:rFonts w:ascii="Times New Roman" w:hAnsi="Times New Roman" w:cs="Times New Roman"/>
                <w:color w:val="000000" w:themeColor="text1"/>
              </w:rPr>
              <w:t>и в соответствии с действующим законодательством</w:t>
            </w:r>
          </w:p>
        </w:tc>
      </w:tr>
    </w:tbl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1.2.3. В строке 4 графы 1 таблицы «Основные виды и параметры разрешенного использования земельных участков и объектов капитального строительства» части 2.4 «Зона коммунально-складской инфраструктуры </w:t>
      </w:r>
      <w:r>
        <w:rPr>
          <w:rFonts w:ascii="Times New Roman" w:hAnsi="Times New Roman" w:cs="Times New Roman"/>
          <w:caps/>
          <w:sz w:val="28"/>
          <w:szCs w:val="28"/>
        </w:rPr>
        <w:t xml:space="preserve">(К)» </w:t>
      </w:r>
      <w:r>
        <w:rPr>
          <w:rFonts w:ascii="Times New Roman" w:hAnsi="Times New Roman" w:cs="Times New Roman"/>
          <w:sz w:val="28"/>
          <w:szCs w:val="28"/>
        </w:rPr>
        <w:t>статьи 2 главы 2 слово «Склады» заменить словом «Склад».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1.2.4. В строке 3 графы 1 таблицы «Условно разрешенные виды </w:t>
      </w:r>
      <w:r>
        <w:rPr>
          <w:rFonts w:ascii="Times New Roman" w:hAnsi="Times New Roman" w:cs="Times New Roman"/>
          <w:sz w:val="28"/>
          <w:szCs w:val="28"/>
        </w:rPr>
        <w:br/>
        <w:t>и параметры использования земельных участков и объектов капитального строительства» части 2.6 «Зона объектов внешнего транспорта (Т1)</w:t>
      </w:r>
      <w:r>
        <w:rPr>
          <w:rFonts w:ascii="Times New Roman" w:hAnsi="Times New Roman" w:cs="Times New Roman"/>
          <w:caps/>
          <w:sz w:val="28"/>
          <w:szCs w:val="28"/>
        </w:rPr>
        <w:t xml:space="preserve">» </w:t>
      </w:r>
      <w:r>
        <w:rPr>
          <w:rFonts w:ascii="Times New Roman" w:hAnsi="Times New Roman" w:cs="Times New Roman"/>
          <w:cap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статьи 2 главы 2 слово «Склады» заменить словом «Склад».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1.2.5. В строке 6 графы 1 таблицы «Основные виды и параметры разрешенного использования земельных участков и объектов капитального строительства» части 2.7 «Зона объектов транспортной инфраструктуры (Т2)</w:t>
      </w:r>
      <w:r>
        <w:rPr>
          <w:rFonts w:ascii="Times New Roman" w:hAnsi="Times New Roman" w:cs="Times New Roman"/>
          <w:cap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статьи 2 главы 2 слово «Склады» заменить словом «Склад».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1.2.6. В строке 2 графы 1 таблицы «Основные виды и параметры разрешенного использования земельных участков и объектов капитального строительства» части 2.12 «</w:t>
      </w:r>
      <w:r>
        <w:rPr>
          <w:rFonts w:ascii="Times New Roman" w:hAnsi="Times New Roman" w:cs="Times New Roman"/>
          <w:bCs/>
          <w:sz w:val="28"/>
          <w:szCs w:val="28"/>
        </w:rPr>
        <w:t xml:space="preserve">Зона специального назначения, связанная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с размещением отходов </w:t>
      </w:r>
      <w:r>
        <w:rPr>
          <w:rFonts w:ascii="Times New Roman" w:hAnsi="Times New Roman" w:cs="Times New Roman"/>
          <w:bCs/>
          <w:caps/>
          <w:sz w:val="28"/>
          <w:szCs w:val="28"/>
        </w:rPr>
        <w:t>(Сп1)</w:t>
      </w:r>
      <w:r>
        <w:rPr>
          <w:rFonts w:ascii="Times New Roman" w:hAnsi="Times New Roman" w:cs="Times New Roman"/>
          <w:cap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статьи 2 главы 2 слово «Склады» заменить словом «Склад».</w:t>
      </w:r>
    </w:p>
    <w:p w:rsidR="00620DE1" w:rsidRDefault="002121EE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1.3. Приложение 2 к Правилам землепользования и застройки межселенной территории 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изложить</w:t>
      </w:r>
      <w:r>
        <w:rPr>
          <w:rFonts w:ascii="Times New Roman" w:hAnsi="Times New Roman" w:cs="Times New Roman"/>
          <w:sz w:val="28"/>
          <w:szCs w:val="28"/>
        </w:rPr>
        <w:t xml:space="preserve"> в новой редакции согласно приложению к настоящему постановлению.</w:t>
      </w:r>
    </w:p>
    <w:p w:rsidR="00620DE1" w:rsidRDefault="002121EE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Настоящее постановление вступает в силу после его официального опубликования.</w:t>
      </w:r>
    </w:p>
    <w:p w:rsidR="00620DE1" w:rsidRDefault="00620DE1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DE1" w:rsidRDefault="00620DE1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DE1" w:rsidRDefault="00620DE1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620DE1">
        <w:tc>
          <w:tcPr>
            <w:tcW w:w="9214" w:type="dxa"/>
          </w:tcPr>
          <w:p w:rsidR="00620DE1" w:rsidRDefault="002121E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Ханты-Мансийского района                              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К.Р.Минулин</w:t>
            </w:r>
            <w:proofErr w:type="spellEnd"/>
          </w:p>
        </w:tc>
      </w:tr>
      <w:tr w:rsidR="00620DE1">
        <w:tc>
          <w:tcPr>
            <w:tcW w:w="9214" w:type="dxa"/>
          </w:tcPr>
          <w:p w:rsidR="00620DE1" w:rsidRDefault="00620DE1"/>
        </w:tc>
      </w:tr>
    </w:tbl>
    <w:p w:rsidR="00620DE1" w:rsidRDefault="002121E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20DE1" w:rsidRDefault="002121E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620DE1" w:rsidRDefault="002121E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</w:t>
      </w:r>
    </w:p>
    <w:p w:rsidR="00620DE1" w:rsidRDefault="000C1F50" w:rsidP="000C1F50">
      <w:pPr>
        <w:ind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121EE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18.09.2025 № 573</w:t>
      </w:r>
      <w:r w:rsidR="002121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0DE1" w:rsidRDefault="00620DE1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20DE1" w:rsidRDefault="00620DE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620DE1" w:rsidRDefault="00620DE1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20DE1" w:rsidRDefault="00212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20886" cy="6733088"/>
                <wp:effectExtent l="0" t="0" r="889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073850" cy="680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5.35pt;height:530.1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620DE1">
      <w:headerReference w:type="even" r:id="rId15"/>
      <w:headerReference w:type="default" r:id="rId16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1EE" w:rsidRDefault="002121EE">
      <w:r>
        <w:separator/>
      </w:r>
    </w:p>
  </w:endnote>
  <w:endnote w:type="continuationSeparator" w:id="0">
    <w:p w:rsidR="002121EE" w:rsidRDefault="00212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OCPEUR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1EE" w:rsidRDefault="002121EE">
      <w:r>
        <w:separator/>
      </w:r>
    </w:p>
  </w:footnote>
  <w:footnote w:type="continuationSeparator" w:id="0">
    <w:p w:rsidR="002121EE" w:rsidRDefault="00212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EE" w:rsidRDefault="002121EE">
    <w:pPr>
      <w:pStyle w:val="af4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121EE" w:rsidRDefault="002121EE">
    <w:pPr>
      <w:pStyle w:val="af4"/>
    </w:pPr>
  </w:p>
  <w:p w:rsidR="002121EE" w:rsidRDefault="002121EE"/>
  <w:p w:rsidR="002121EE" w:rsidRDefault="002121EE"/>
  <w:p w:rsidR="002121EE" w:rsidRDefault="002121E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:rsidR="002121EE" w:rsidRDefault="002121EE">
        <w:pPr>
          <w:pStyle w:val="af4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11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121EE" w:rsidRDefault="002121EE">
    <w:pPr>
      <w:pStyle w:val="af4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63C2"/>
    <w:multiLevelType w:val="hybridMultilevel"/>
    <w:tmpl w:val="89482E00"/>
    <w:lvl w:ilvl="0" w:tplc="00BC6A6A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C7045D1E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C04CCE08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B0EDD5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D4683A2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5CFE18A4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6A82DF8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ACFD6C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B1EC32C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F809E0"/>
    <w:multiLevelType w:val="hybridMultilevel"/>
    <w:tmpl w:val="289C4D86"/>
    <w:styleLink w:val="1ai11028"/>
    <w:lvl w:ilvl="0" w:tplc="A2D08920">
      <w:start w:val="1"/>
      <w:numFmt w:val="bullet"/>
      <w:pStyle w:val="1ai1102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FA900716">
      <w:start w:val="1"/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4F028D4E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308AB70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29A852E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C5FE317C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DEDC4868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54A00D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952C77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DD60FC"/>
    <w:multiLevelType w:val="multilevel"/>
    <w:tmpl w:val="285EF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95015B"/>
    <w:multiLevelType w:val="hybridMultilevel"/>
    <w:tmpl w:val="7DEC4FC8"/>
    <w:lvl w:ilvl="0" w:tplc="034618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AE047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7A6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4E0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EB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B60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4B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A04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12A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4E9F"/>
    <w:multiLevelType w:val="multilevel"/>
    <w:tmpl w:val="560A3DF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5" w15:restartNumberingAfterBreak="0">
    <w:nsid w:val="12B156EC"/>
    <w:multiLevelType w:val="hybridMultilevel"/>
    <w:tmpl w:val="D0C25F32"/>
    <w:lvl w:ilvl="0" w:tplc="65248BE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3702B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169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FE5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E83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422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E7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EE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10A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E4D60"/>
    <w:multiLevelType w:val="multilevel"/>
    <w:tmpl w:val="ABEAE5DE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7" w15:restartNumberingAfterBreak="0">
    <w:nsid w:val="1AE629C3"/>
    <w:multiLevelType w:val="hybridMultilevel"/>
    <w:tmpl w:val="B3C28622"/>
    <w:lvl w:ilvl="0" w:tplc="5AD2A2B8">
      <w:start w:val="1"/>
      <w:numFmt w:val="decimal"/>
      <w:lvlText w:val="%1."/>
      <w:lvlJc w:val="left"/>
      <w:pPr>
        <w:ind w:left="720" w:hanging="360"/>
      </w:pPr>
    </w:lvl>
    <w:lvl w:ilvl="1" w:tplc="120EE5B2">
      <w:start w:val="1"/>
      <w:numFmt w:val="lowerLetter"/>
      <w:lvlText w:val="%2."/>
      <w:lvlJc w:val="left"/>
      <w:pPr>
        <w:ind w:left="1440" w:hanging="360"/>
      </w:pPr>
    </w:lvl>
    <w:lvl w:ilvl="2" w:tplc="8E9695B8">
      <w:start w:val="1"/>
      <w:numFmt w:val="lowerRoman"/>
      <w:lvlText w:val="%3."/>
      <w:lvlJc w:val="right"/>
      <w:pPr>
        <w:ind w:left="2160" w:hanging="180"/>
      </w:pPr>
    </w:lvl>
    <w:lvl w:ilvl="3" w:tplc="16E82FAE">
      <w:start w:val="1"/>
      <w:numFmt w:val="decimal"/>
      <w:lvlText w:val="%4."/>
      <w:lvlJc w:val="left"/>
      <w:pPr>
        <w:ind w:left="2880" w:hanging="360"/>
      </w:pPr>
    </w:lvl>
    <w:lvl w:ilvl="4" w:tplc="A0A694D2">
      <w:start w:val="1"/>
      <w:numFmt w:val="lowerLetter"/>
      <w:lvlText w:val="%5."/>
      <w:lvlJc w:val="left"/>
      <w:pPr>
        <w:ind w:left="3600" w:hanging="360"/>
      </w:pPr>
    </w:lvl>
    <w:lvl w:ilvl="5" w:tplc="9F1A4E10">
      <w:start w:val="1"/>
      <w:numFmt w:val="lowerRoman"/>
      <w:lvlText w:val="%6."/>
      <w:lvlJc w:val="right"/>
      <w:pPr>
        <w:ind w:left="4320" w:hanging="180"/>
      </w:pPr>
    </w:lvl>
    <w:lvl w:ilvl="6" w:tplc="0D62BC72">
      <w:start w:val="1"/>
      <w:numFmt w:val="decimal"/>
      <w:lvlText w:val="%7."/>
      <w:lvlJc w:val="left"/>
      <w:pPr>
        <w:ind w:left="5040" w:hanging="360"/>
      </w:pPr>
    </w:lvl>
    <w:lvl w:ilvl="7" w:tplc="F50A34EA">
      <w:start w:val="1"/>
      <w:numFmt w:val="lowerLetter"/>
      <w:lvlText w:val="%8."/>
      <w:lvlJc w:val="left"/>
      <w:pPr>
        <w:ind w:left="5760" w:hanging="360"/>
      </w:pPr>
    </w:lvl>
    <w:lvl w:ilvl="8" w:tplc="523079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E47B1"/>
    <w:multiLevelType w:val="hybridMultilevel"/>
    <w:tmpl w:val="1C8C65F2"/>
    <w:lvl w:ilvl="0" w:tplc="50CABAE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AACE1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47B8DF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ABAC6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BD46B288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BE00A04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46881D9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89C4A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AB2AF77E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E2F2A75"/>
    <w:multiLevelType w:val="hybridMultilevel"/>
    <w:tmpl w:val="20B63F66"/>
    <w:lvl w:ilvl="0" w:tplc="7C4CDEB2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E10666A2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BA12E3BA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15CA93A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92DEE0D6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28AE208C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DFAEBE6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DD161218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7A72F4B4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1FBC1BEA"/>
    <w:multiLevelType w:val="multilevel"/>
    <w:tmpl w:val="288007D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1" w15:restartNumberingAfterBreak="0">
    <w:nsid w:val="23CB5F3F"/>
    <w:multiLevelType w:val="hybridMultilevel"/>
    <w:tmpl w:val="774ACD4A"/>
    <w:lvl w:ilvl="0" w:tplc="45821D9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DB0C74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8966EE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BCE9B1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6FCEC3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D4E9A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D6C8D8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6846B9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3142D7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E50E3C"/>
    <w:multiLevelType w:val="hybridMultilevel"/>
    <w:tmpl w:val="7FFC4F24"/>
    <w:lvl w:ilvl="0" w:tplc="97B698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D2664E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A8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0B7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AE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CA1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30D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81A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C3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145E6"/>
    <w:multiLevelType w:val="multilevel"/>
    <w:tmpl w:val="53E00C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14" w15:restartNumberingAfterBreak="0">
    <w:nsid w:val="28AF02A9"/>
    <w:multiLevelType w:val="hybridMultilevel"/>
    <w:tmpl w:val="5F304C56"/>
    <w:lvl w:ilvl="0" w:tplc="D91E07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DD34A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60A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A3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EF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EED3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CA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029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52C3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3037A"/>
    <w:multiLevelType w:val="hybridMultilevel"/>
    <w:tmpl w:val="FA5C2BB4"/>
    <w:lvl w:ilvl="0" w:tplc="18CC958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DCA2A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B978D6C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6958CB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748C9080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2312DE5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9296073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1ED67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49268CF6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A861ECF"/>
    <w:multiLevelType w:val="multilevel"/>
    <w:tmpl w:val="831407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17" w15:restartNumberingAfterBreak="0">
    <w:nsid w:val="2AEF5F9F"/>
    <w:multiLevelType w:val="hybridMultilevel"/>
    <w:tmpl w:val="465241AE"/>
    <w:lvl w:ilvl="0" w:tplc="3B045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A98B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2ED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643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6D7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2A5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A408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293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720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427A7"/>
    <w:multiLevelType w:val="hybridMultilevel"/>
    <w:tmpl w:val="CDBE7806"/>
    <w:lvl w:ilvl="0" w:tplc="1FD226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659225C8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F09C4E1C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EDAA45EA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9E14CDCC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8B3021E8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4A0E6DC4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6932031A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75360ACE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9" w15:restartNumberingAfterBreak="0">
    <w:nsid w:val="32800641"/>
    <w:multiLevelType w:val="hybridMultilevel"/>
    <w:tmpl w:val="29FCFD88"/>
    <w:lvl w:ilvl="0" w:tplc="D44CF38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58D66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E0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62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2AB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0F2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44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684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C0E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9573F"/>
    <w:multiLevelType w:val="multilevel"/>
    <w:tmpl w:val="6AB65A7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1" w15:restartNumberingAfterBreak="0">
    <w:nsid w:val="364353BB"/>
    <w:multiLevelType w:val="hybridMultilevel"/>
    <w:tmpl w:val="E74E22BC"/>
    <w:lvl w:ilvl="0" w:tplc="F67EF08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559EE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00B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C3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4F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C8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41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881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075544"/>
    <w:multiLevelType w:val="hybridMultilevel"/>
    <w:tmpl w:val="D6785E34"/>
    <w:lvl w:ilvl="0" w:tplc="5D3671F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38B01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C2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ED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CC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58C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1E3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8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0B3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A4A1E"/>
    <w:multiLevelType w:val="hybridMultilevel"/>
    <w:tmpl w:val="6E1A57D2"/>
    <w:lvl w:ilvl="0" w:tplc="6DAA8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1081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682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03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0E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6E6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2E9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63F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632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55B8E"/>
    <w:multiLevelType w:val="hybridMultilevel"/>
    <w:tmpl w:val="449807E4"/>
    <w:lvl w:ilvl="0" w:tplc="17685744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3A3A3310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39BA023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40CD5F4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92022D0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EAE0506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FB87740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F72F4BA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21CE62A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3A1205C"/>
    <w:multiLevelType w:val="hybridMultilevel"/>
    <w:tmpl w:val="359E71AC"/>
    <w:lvl w:ilvl="0" w:tplc="6A4A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35A688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CA4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8ED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76C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A6C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0C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05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68F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66169"/>
    <w:multiLevelType w:val="multilevel"/>
    <w:tmpl w:val="21669C8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27" w15:restartNumberingAfterBreak="0">
    <w:nsid w:val="595D1622"/>
    <w:multiLevelType w:val="hybridMultilevel"/>
    <w:tmpl w:val="BC6605A6"/>
    <w:lvl w:ilvl="0" w:tplc="1DB2C144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05061E4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CDD285F0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9A4F9C6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6F41C54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4C667CB0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2D0120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6782276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5E1A70B4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ABF1843"/>
    <w:multiLevelType w:val="multilevel"/>
    <w:tmpl w:val="AAF4E97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5B3D6EE0"/>
    <w:multiLevelType w:val="multilevel"/>
    <w:tmpl w:val="EF4E0656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0" w15:restartNumberingAfterBreak="0">
    <w:nsid w:val="619F5F4A"/>
    <w:multiLevelType w:val="hybridMultilevel"/>
    <w:tmpl w:val="BDE0D4B8"/>
    <w:lvl w:ilvl="0" w:tplc="21BA5C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323CB0DA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B641BA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3632920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5F4033C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7D3E1798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630E78C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8340AD60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C8BED64C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 w15:restartNumberingAfterBreak="0">
    <w:nsid w:val="6460051E"/>
    <w:multiLevelType w:val="hybridMultilevel"/>
    <w:tmpl w:val="068A36AC"/>
    <w:lvl w:ilvl="0" w:tplc="E702F24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ED16FC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54B6280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A4F4B2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A8F2D426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 w:tplc="4E78C1C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 w:tplc="8DD6AF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 w:tplc="8D1AA5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328685B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64B11708"/>
    <w:multiLevelType w:val="hybridMultilevel"/>
    <w:tmpl w:val="892A737E"/>
    <w:lvl w:ilvl="0" w:tplc="1728CA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10504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EEF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966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E0F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085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05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A37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D2E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755E8"/>
    <w:multiLevelType w:val="hybridMultilevel"/>
    <w:tmpl w:val="F1921188"/>
    <w:lvl w:ilvl="0" w:tplc="0CD485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8CCF24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B36F67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CE00C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D64A0F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C48E7F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D6C52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9CA693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BF0E57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B74F3E"/>
    <w:multiLevelType w:val="multilevel"/>
    <w:tmpl w:val="6A7EDB1E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5" w15:restartNumberingAfterBreak="0">
    <w:nsid w:val="73A1388F"/>
    <w:multiLevelType w:val="hybridMultilevel"/>
    <w:tmpl w:val="2C566670"/>
    <w:lvl w:ilvl="0" w:tplc="47945BA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F7A63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AE6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04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D4D3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58E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4F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08A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A85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FD06B5"/>
    <w:multiLevelType w:val="hybridMultilevel"/>
    <w:tmpl w:val="FAF67A3E"/>
    <w:lvl w:ilvl="0" w:tplc="FE92B322">
      <w:start w:val="1"/>
      <w:numFmt w:val="decimal"/>
      <w:lvlText w:val="%1."/>
      <w:lvlJc w:val="left"/>
      <w:pPr>
        <w:ind w:left="1069" w:hanging="360"/>
      </w:pPr>
    </w:lvl>
    <w:lvl w:ilvl="1" w:tplc="C50CEF54">
      <w:start w:val="1"/>
      <w:numFmt w:val="lowerLetter"/>
      <w:lvlText w:val="%2."/>
      <w:lvlJc w:val="left"/>
      <w:pPr>
        <w:ind w:left="1789" w:hanging="360"/>
      </w:pPr>
    </w:lvl>
    <w:lvl w:ilvl="2" w:tplc="0D40C328">
      <w:start w:val="1"/>
      <w:numFmt w:val="lowerRoman"/>
      <w:lvlText w:val="%3."/>
      <w:lvlJc w:val="right"/>
      <w:pPr>
        <w:ind w:left="2509" w:hanging="180"/>
      </w:pPr>
    </w:lvl>
    <w:lvl w:ilvl="3" w:tplc="6040D69A">
      <w:start w:val="1"/>
      <w:numFmt w:val="decimal"/>
      <w:lvlText w:val="%4."/>
      <w:lvlJc w:val="left"/>
      <w:pPr>
        <w:ind w:left="3229" w:hanging="360"/>
      </w:pPr>
    </w:lvl>
    <w:lvl w:ilvl="4" w:tplc="6C209296">
      <w:start w:val="1"/>
      <w:numFmt w:val="lowerLetter"/>
      <w:lvlText w:val="%5."/>
      <w:lvlJc w:val="left"/>
      <w:pPr>
        <w:ind w:left="3949" w:hanging="360"/>
      </w:pPr>
    </w:lvl>
    <w:lvl w:ilvl="5" w:tplc="209454FE">
      <w:start w:val="1"/>
      <w:numFmt w:val="lowerRoman"/>
      <w:lvlText w:val="%6."/>
      <w:lvlJc w:val="right"/>
      <w:pPr>
        <w:ind w:left="4669" w:hanging="180"/>
      </w:pPr>
    </w:lvl>
    <w:lvl w:ilvl="6" w:tplc="057259C8">
      <w:start w:val="1"/>
      <w:numFmt w:val="decimal"/>
      <w:lvlText w:val="%7."/>
      <w:lvlJc w:val="left"/>
      <w:pPr>
        <w:ind w:left="5389" w:hanging="360"/>
      </w:pPr>
    </w:lvl>
    <w:lvl w:ilvl="7" w:tplc="C5A83744">
      <w:start w:val="1"/>
      <w:numFmt w:val="lowerLetter"/>
      <w:lvlText w:val="%8."/>
      <w:lvlJc w:val="left"/>
      <w:pPr>
        <w:ind w:left="6109" w:hanging="360"/>
      </w:pPr>
    </w:lvl>
    <w:lvl w:ilvl="8" w:tplc="B220E1AC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C46560"/>
    <w:multiLevelType w:val="multilevel"/>
    <w:tmpl w:val="AECC7BE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38" w15:restartNumberingAfterBreak="0">
    <w:nsid w:val="7BCE6A02"/>
    <w:multiLevelType w:val="hybridMultilevel"/>
    <w:tmpl w:val="21B47C0E"/>
    <w:lvl w:ilvl="0" w:tplc="C9CC17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152E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A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DC1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36BA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C4D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4A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23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ED1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723D5"/>
    <w:multiLevelType w:val="hybridMultilevel"/>
    <w:tmpl w:val="CB284F2A"/>
    <w:lvl w:ilvl="0" w:tplc="96163BC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875407E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5AC6D2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86A8800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C14E0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6D8CF96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7AEE854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9C7E296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DA6CEFB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7"/>
  </w:num>
  <w:num w:numId="2">
    <w:abstractNumId w:val="27"/>
  </w:num>
  <w:num w:numId="3">
    <w:abstractNumId w:val="0"/>
  </w:num>
  <w:num w:numId="4">
    <w:abstractNumId w:val="24"/>
  </w:num>
  <w:num w:numId="5">
    <w:abstractNumId w:val="18"/>
  </w:num>
  <w:num w:numId="6">
    <w:abstractNumId w:val="3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3"/>
  </w:num>
  <w:num w:numId="10">
    <w:abstractNumId w:val="9"/>
  </w:num>
  <w:num w:numId="11">
    <w:abstractNumId w:val="38"/>
  </w:num>
  <w:num w:numId="12">
    <w:abstractNumId w:val="11"/>
  </w:num>
  <w:num w:numId="13">
    <w:abstractNumId w:val="35"/>
  </w:num>
  <w:num w:numId="14">
    <w:abstractNumId w:val="12"/>
  </w:num>
  <w:num w:numId="15">
    <w:abstractNumId w:val="3"/>
  </w:num>
  <w:num w:numId="16">
    <w:abstractNumId w:val="17"/>
  </w:num>
  <w:num w:numId="17">
    <w:abstractNumId w:val="32"/>
  </w:num>
  <w:num w:numId="18">
    <w:abstractNumId w:val="25"/>
  </w:num>
  <w:num w:numId="19">
    <w:abstractNumId w:val="14"/>
  </w:num>
  <w:num w:numId="20">
    <w:abstractNumId w:val="30"/>
  </w:num>
  <w:num w:numId="21">
    <w:abstractNumId w:val="34"/>
  </w:num>
  <w:num w:numId="22">
    <w:abstractNumId w:val="29"/>
  </w:num>
  <w:num w:numId="23">
    <w:abstractNumId w:val="4"/>
  </w:num>
  <w:num w:numId="24">
    <w:abstractNumId w:val="37"/>
  </w:num>
  <w:num w:numId="25">
    <w:abstractNumId w:val="21"/>
  </w:num>
  <w:num w:numId="26">
    <w:abstractNumId w:val="19"/>
  </w:num>
  <w:num w:numId="27">
    <w:abstractNumId w:val="5"/>
  </w:num>
  <w:num w:numId="28">
    <w:abstractNumId w:val="22"/>
  </w:num>
  <w:num w:numId="29">
    <w:abstractNumId w:val="1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5"/>
  </w:num>
  <w:num w:numId="33">
    <w:abstractNumId w:val="8"/>
  </w:num>
  <w:num w:numId="34">
    <w:abstractNumId w:val="31"/>
  </w:num>
  <w:num w:numId="35">
    <w:abstractNumId w:val="28"/>
  </w:num>
  <w:num w:numId="36">
    <w:abstractNumId w:val="20"/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</w:num>
  <w:num w:numId="39">
    <w:abstractNumId w:val="16"/>
  </w:num>
  <w:num w:numId="40">
    <w:abstractNumId w:val="10"/>
  </w:num>
  <w:num w:numId="41">
    <w:abstractNumId w:val="13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DE1"/>
    <w:rsid w:val="00010451"/>
    <w:rsid w:val="000C1F50"/>
    <w:rsid w:val="002121EE"/>
    <w:rsid w:val="003917AC"/>
    <w:rsid w:val="00521C7D"/>
    <w:rsid w:val="006037F1"/>
    <w:rsid w:val="00620DE1"/>
    <w:rsid w:val="00802CF4"/>
    <w:rsid w:val="00836314"/>
    <w:rsid w:val="00D008E1"/>
    <w:rsid w:val="00D7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DBB8C"/>
  <w15:docId w15:val="{1C06B0B8-CF26-4C55-BC81-7C1F0BD7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f2">
    <w:name w:val="List Paragraph"/>
    <w:basedOn w:val="a"/>
    <w:link w:val="af3"/>
    <w:uiPriority w:val="34"/>
    <w:qFormat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page number"/>
    <w:rPr>
      <w:rFonts w:cs="Times New Roman"/>
    </w:rPr>
  </w:style>
  <w:style w:type="table" w:styleId="af9">
    <w:name w:val="Table Grid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Cell">
    <w:name w:val="ConsCell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fa">
    <w:name w:val="Заголовок титульного листа"/>
    <w:basedOn w:val="a"/>
    <w:next w:val="a"/>
    <w:semiHidden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fb">
    <w:name w:val="Document Map"/>
    <w:basedOn w:val="a"/>
    <w:link w:val="afc"/>
    <w:semiHidden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semiHidden/>
    <w:rPr>
      <w:rFonts w:ascii="Tahoma" w:eastAsia="Times New Roman" w:hAnsi="Tahoma" w:cs="Times New Roman"/>
      <w:sz w:val="16"/>
      <w:szCs w:val="16"/>
      <w:lang w:eastAsia="ru-RU"/>
    </w:rPr>
  </w:style>
  <w:style w:type="paragraph" w:styleId="afd">
    <w:name w:val="Balloon Text"/>
    <w:basedOn w:val="a"/>
    <w:link w:val="afe"/>
    <w:semiHidden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semiHidden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paragraph" w:styleId="aff0">
    <w:name w:val="Normal (Web)"/>
    <w:basedOn w:val="a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оглавления1"/>
    <w:basedOn w:val="1"/>
    <w:next w:val="a"/>
    <w:semiHidden/>
    <w:pPr>
      <w:keepNext/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24">
    <w:name w:val="toc 2"/>
    <w:basedOn w:val="a"/>
    <w:next w:val="a"/>
    <w:semiHidden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3">
    <w:name w:val="toc 1"/>
    <w:basedOn w:val="a"/>
    <w:next w:val="a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2">
    <w:name w:val="toc 3"/>
    <w:basedOn w:val="a"/>
    <w:next w:val="a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f1">
    <w:name w:val="Основной текст_"/>
    <w:link w:val="14"/>
    <w:rPr>
      <w:sz w:val="26"/>
      <w:shd w:val="clear" w:color="auto" w:fill="FFFFFF"/>
    </w:rPr>
  </w:style>
  <w:style w:type="paragraph" w:styleId="52">
    <w:name w:val="toc 5"/>
    <w:basedOn w:val="a"/>
    <w:next w:val="a"/>
    <w:semiHidden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link w:val="aff1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3">
    <w:name w:val="Основной текст (3)_"/>
    <w:link w:val="34"/>
    <w:rPr>
      <w:sz w:val="27"/>
      <w:shd w:val="clear" w:color="auto" w:fill="FFFFFF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Без интервала1"/>
    <w:link w:val="NoSpacingChar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ody Text"/>
    <w:basedOn w:val="a"/>
    <w:link w:val="aff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f3">
    <w:name w:val="Основной текст Знак"/>
    <w:basedOn w:val="a0"/>
    <w:link w:val="aff2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7">
    <w:name w:val="Заголовок оглавления1"/>
    <w:basedOn w:val="1"/>
    <w:next w:val="a"/>
    <w:semiHidden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18">
    <w:name w:val="Без интервала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9">
    <w:name w:val="Сетка таблицы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чный_заголовки"/>
    <w:basedOn w:val="a"/>
    <w:qFormat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pPr>
      <w:numPr>
        <w:numId w:val="29"/>
      </w:numPr>
    </w:pPr>
  </w:style>
  <w:style w:type="numbering" w:styleId="1ai">
    <w:name w:val="Outline List 1"/>
    <w:basedOn w:val="a2"/>
  </w:style>
  <w:style w:type="character" w:customStyle="1" w:styleId="af3">
    <w:name w:val="Абзац списка Знак"/>
    <w:link w:val="af2"/>
    <w:uiPriority w:val="34"/>
  </w:style>
  <w:style w:type="paragraph" w:styleId="aff5">
    <w:name w:val="No Spacing"/>
    <w:link w:val="aff6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f6">
    <w:name w:val="Без интервала Знак"/>
    <w:link w:val="aff5"/>
    <w:uiPriority w:val="1"/>
    <w:rPr>
      <w:rFonts w:ascii="Calibri" w:eastAsia="Times New Roman" w:hAnsi="Calibri" w:cs="Times New Roman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1CCC7-6D95-4794-B796-D674628F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4051</Words>
  <Characters>23096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Толокнова К.В.</cp:lastModifiedBy>
  <cp:revision>12</cp:revision>
  <cp:lastPrinted>2025-09-18T09:29:00Z</cp:lastPrinted>
  <dcterms:created xsi:type="dcterms:W3CDTF">2025-09-10T11:31:00Z</dcterms:created>
  <dcterms:modified xsi:type="dcterms:W3CDTF">2025-09-18T09:30:00Z</dcterms:modified>
</cp:coreProperties>
</file>