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widowControl/>
        <w:rPr>
          <w:rFonts w:ascii="Times New Roman" w:hAnsi="Times New Roman" w:eastAsia="Times New Roman" w:cs="Times New Roman"/>
          <w:color w:val="auto"/>
          <w:sz w:val="28"/>
          <w:szCs w:val="28"/>
          <w:lang w:eastAsia="ar-SA" w:bidi="ar-SA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lang w:bidi="ar-S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3487420</wp:posOffset>
                </wp:positionH>
                <wp:positionV relativeFrom="page">
                  <wp:posOffset>454025</wp:posOffset>
                </wp:positionV>
                <wp:extent cx="636270" cy="800100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>
                          <a:extLst>
                            <a:ext uri="{96DAC541-7B7A-43D3-8B79-37D633B846F1}">
                              <asvg:svgBlip xmlns:asvg="http://schemas.microsoft.com/office/drawing/2016/SVG/main" r:embed="rId13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63627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9264;o:allowoverlap:true;o:allowincell:true;mso-position-horizontal-relative:page;margin-left:274.60pt;mso-position-horizontal:absolute;mso-position-vertical-relative:page;margin-top:35.75pt;mso-position-vertical:absolute;width:50.10pt;height:63.00pt;mso-wrap-distance-left:9.00pt;mso-wrap-distance-top:0.00pt;mso-wrap-distance-right:9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auto"/>
          <w:sz w:val="28"/>
          <w:szCs w:val="28"/>
          <w:lang w:eastAsia="ar-SA" w:bidi="ar-SA"/>
        </w:rPr>
      </w:r>
    </w:p>
    <w:p>
      <w:pPr>
        <w:widowControl/>
        <w:rPr>
          <w:rFonts w:ascii="Times New Roman" w:hAnsi="Times New Roman" w:eastAsia="Times New Roman" w:cs="Times New Roman"/>
          <w:color w:val="auto"/>
          <w:sz w:val="28"/>
          <w:szCs w:val="28"/>
          <w:lang w:eastAsia="ar-SA" w:bidi="ar-SA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lang w:eastAsia="ar-SA" w:bidi="ar-SA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lang w:eastAsia="ar-SA" w:bidi="ar-SA"/>
        </w:rPr>
      </w:r>
    </w:p>
    <w:p>
      <w:pPr>
        <w:jc w:val="center"/>
        <w:widowControl/>
        <w:rPr>
          <w:rFonts w:ascii="Times New Roman" w:hAnsi="Times New Roman" w:eastAsia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lang w:eastAsia="en-US" w:bidi="ar-SA"/>
        </w:rPr>
        <w:t xml:space="preserve">ХАНТЫ-МАНСИЙСКИЙ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lang w:eastAsia="en-US" w:bidi="ar-SA"/>
        </w:rPr>
      </w:r>
    </w:p>
    <w:p>
      <w:pPr>
        <w:jc w:val="center"/>
        <w:widowControl/>
        <w:rPr>
          <w:rFonts w:ascii="Times New Roman" w:hAnsi="Times New Roman" w:eastAsia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lang w:eastAsia="en-US" w:bidi="ar-SA"/>
        </w:rPr>
        <w:t xml:space="preserve">МУНИЦИПАЛЬНЫЙ РАЙОН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lang w:eastAsia="en-US" w:bidi="ar-SA"/>
        </w:rPr>
      </w:r>
    </w:p>
    <w:p>
      <w:pPr>
        <w:jc w:val="center"/>
        <w:widowControl/>
        <w:rPr>
          <w:rFonts w:ascii="Times New Roman" w:hAnsi="Times New Roman" w:eastAsia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lang w:eastAsia="en-US" w:bidi="ar-SA"/>
        </w:rPr>
        <w:t xml:space="preserve">Ханты-Мансийский автономный округ – Югра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lang w:eastAsia="en-US" w:bidi="ar-SA"/>
        </w:rPr>
      </w:r>
    </w:p>
    <w:p>
      <w:pPr>
        <w:jc w:val="center"/>
        <w:widowControl/>
        <w:rPr>
          <w:rFonts w:ascii="Times New Roman" w:hAnsi="Times New Roman" w:eastAsia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lang w:eastAsia="en-US" w:bidi="ar-SA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lang w:eastAsia="en-US" w:bidi="ar-SA"/>
        </w:rPr>
      </w:r>
    </w:p>
    <w:p>
      <w:pPr>
        <w:jc w:val="center"/>
        <w:widowControl/>
        <w:rPr>
          <w:rFonts w:ascii="Times New Roman" w:hAnsi="Times New Roman" w:eastAsia="Times New Roman" w:cs="Times New Roman"/>
          <w:b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eastAsia="Times New Roman" w:cs="Times New Roman"/>
          <w:b/>
          <w:color w:val="auto"/>
          <w:sz w:val="28"/>
          <w:szCs w:val="28"/>
          <w:lang w:eastAsia="en-US" w:bidi="ar-SA"/>
        </w:rPr>
        <w:t xml:space="preserve">АДМИНИСТРАЦИЯ ХАНТЫ-МАНСИЙСКОГО РАЙОНА</w:t>
      </w:r>
      <w:r>
        <w:rPr>
          <w:rFonts w:ascii="Times New Roman" w:hAnsi="Times New Roman" w:eastAsia="Times New Roman" w:cs="Times New Roman"/>
          <w:b/>
          <w:color w:val="auto"/>
          <w:sz w:val="28"/>
          <w:szCs w:val="28"/>
          <w:lang w:eastAsia="en-US" w:bidi="ar-SA"/>
        </w:rPr>
      </w:r>
    </w:p>
    <w:p>
      <w:pPr>
        <w:jc w:val="center"/>
        <w:widowControl/>
        <w:rPr>
          <w:rFonts w:ascii="Times New Roman" w:hAnsi="Times New Roman" w:eastAsia="Times New Roman" w:cs="Times New Roman"/>
          <w:b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eastAsia="Times New Roman" w:cs="Times New Roman"/>
          <w:b/>
          <w:color w:val="auto"/>
          <w:sz w:val="28"/>
          <w:szCs w:val="28"/>
          <w:lang w:eastAsia="en-US" w:bidi="ar-SA"/>
        </w:rPr>
      </w:r>
      <w:r>
        <w:rPr>
          <w:rFonts w:ascii="Times New Roman" w:hAnsi="Times New Roman" w:eastAsia="Times New Roman" w:cs="Times New Roman"/>
          <w:b/>
          <w:color w:val="auto"/>
          <w:sz w:val="28"/>
          <w:szCs w:val="28"/>
          <w:lang w:eastAsia="en-US" w:bidi="ar-SA"/>
        </w:rPr>
      </w:r>
    </w:p>
    <w:p>
      <w:pPr>
        <w:jc w:val="center"/>
        <w:widowControl/>
        <w:rPr>
          <w:rFonts w:ascii="Times New Roman" w:hAnsi="Times New Roman" w:eastAsia="Times New Roman" w:cs="Times New Roman"/>
          <w:b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eastAsia="Times New Roman" w:cs="Times New Roman"/>
          <w:b/>
          <w:color w:val="auto"/>
          <w:sz w:val="28"/>
          <w:szCs w:val="28"/>
          <w:lang w:eastAsia="en-US" w:bidi="ar-SA"/>
        </w:rPr>
        <w:t xml:space="preserve">П О С Т А Н О В Л Е Н И Е </w:t>
      </w:r>
      <w:r>
        <w:rPr>
          <w:rFonts w:ascii="Times New Roman" w:hAnsi="Times New Roman" w:eastAsia="Times New Roman" w:cs="Times New Roman"/>
          <w:b/>
          <w:color w:val="auto"/>
          <w:sz w:val="28"/>
          <w:szCs w:val="28"/>
          <w:lang w:eastAsia="en-US" w:bidi="ar-SA"/>
        </w:rPr>
      </w:r>
    </w:p>
    <w:p>
      <w:pPr>
        <w:jc w:val="center"/>
        <w:widowControl/>
        <w:rPr>
          <w:rFonts w:ascii="Times New Roman" w:hAnsi="Times New Roman" w:eastAsia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lang w:eastAsia="en-US" w:bidi="ar-SA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lang w:eastAsia="en-US" w:bidi="ar-SA"/>
        </w:rPr>
      </w:r>
    </w:p>
    <w:p>
      <w:pPr>
        <w:widowControl/>
        <w:rPr>
          <w:rFonts w:ascii="Times New Roman" w:hAnsi="Times New Roman" w:eastAsia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lang w:eastAsia="en-US" w:bidi="ar-SA"/>
        </w:rPr>
        <w:t xml:space="preserve">от 26.02.2026                                                                                              № 103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lang w:eastAsia="en-US" w:bidi="ar-SA"/>
        </w:rPr>
      </w:r>
    </w:p>
    <w:p>
      <w:pPr>
        <w:widowControl/>
        <w:rPr>
          <w:rFonts w:ascii="Times New Roman" w:hAnsi="Times New Roman" w:eastAsia="Times New Roman" w:cs="Times New Roman"/>
          <w:i/>
          <w:color w:val="auto"/>
          <w:lang w:eastAsia="en-US" w:bidi="ar-SA"/>
        </w:rPr>
      </w:pPr>
      <w:r>
        <w:rPr>
          <w:rFonts w:ascii="Times New Roman" w:hAnsi="Times New Roman" w:eastAsia="Times New Roman" w:cs="Times New Roman"/>
          <w:i/>
          <w:color w:val="auto"/>
          <w:lang w:eastAsia="en-US" w:bidi="ar-SA"/>
        </w:rPr>
        <w:t xml:space="preserve">г. Ханты-Мансийск</w:t>
      </w:r>
      <w:r>
        <w:rPr>
          <w:rFonts w:ascii="Times New Roman" w:hAnsi="Times New Roman" w:eastAsia="Times New Roman" w:cs="Times New Roman"/>
          <w:i/>
          <w:color w:val="auto"/>
          <w:lang w:eastAsia="en-US" w:bidi="ar-SA"/>
        </w:rPr>
      </w:r>
    </w:p>
    <w:p>
      <w:pPr>
        <w:jc w:val="both"/>
        <w:widowControl/>
        <w:rPr>
          <w:rFonts w:ascii="Times New Roman" w:hAnsi="Times New Roman" w:eastAsia="Times New Roman" w:cs="Times New Roman"/>
          <w:color w:val="auto"/>
          <w:sz w:val="28"/>
          <w:szCs w:val="20"/>
          <w:lang w:eastAsia="ar-SA" w:bidi="ar-SA"/>
        </w:rPr>
      </w:pPr>
      <w:r>
        <w:rPr>
          <w:rFonts w:ascii="Times New Roman" w:hAnsi="Times New Roman" w:eastAsia="Times New Roman" w:cs="Times New Roman"/>
          <w:color w:val="auto"/>
          <w:sz w:val="28"/>
          <w:szCs w:val="20"/>
          <w:lang w:eastAsia="ar-SA" w:bidi="ar-SA"/>
        </w:rPr>
      </w:r>
      <w:r>
        <w:rPr>
          <w:rFonts w:ascii="Times New Roman" w:hAnsi="Times New Roman" w:eastAsia="Times New Roman" w:cs="Times New Roman"/>
          <w:color w:val="auto"/>
          <w:sz w:val="28"/>
          <w:szCs w:val="20"/>
          <w:lang w:eastAsia="ar-SA" w:bidi="ar-SA"/>
        </w:rPr>
      </w:r>
    </w:p>
    <w:p>
      <w:pPr>
        <w:pStyle w:val="718"/>
        <w:ind w:firstLine="0"/>
      </w:pPr>
      <w:r/>
      <w:r/>
    </w:p>
    <w:p>
      <w:pPr>
        <w:pStyle w:val="718"/>
        <w:ind w:firstLine="0"/>
      </w:pPr>
      <w:r>
        <w:t xml:space="preserve">О внесении изменений в постановление</w:t>
      </w:r>
      <w:r/>
    </w:p>
    <w:p>
      <w:pPr>
        <w:pStyle w:val="718"/>
        <w:ind w:firstLine="0"/>
      </w:pPr>
      <w:r>
        <w:t xml:space="preserve">Администрации Ханты-Мансийского </w:t>
      </w:r>
      <w:r/>
    </w:p>
    <w:p>
      <w:pPr>
        <w:pStyle w:val="718"/>
        <w:ind w:firstLine="0"/>
        <w:tabs>
          <w:tab w:val="left" w:pos="5103" w:leader="none"/>
        </w:tabs>
      </w:pPr>
      <w:r>
        <w:t xml:space="preserve">района от 23.12.2022 № 481 </w:t>
      </w:r>
      <w:r/>
    </w:p>
    <w:p>
      <w:pPr>
        <w:pStyle w:val="718"/>
        <w:ind w:firstLine="0"/>
        <w:tabs>
          <w:tab w:val="left" w:pos="5103" w:leader="none"/>
        </w:tabs>
      </w:pPr>
      <w:r>
        <w:t xml:space="preserve">«Об обеспечении питанием </w:t>
      </w:r>
      <w:r/>
    </w:p>
    <w:p>
      <w:pPr>
        <w:pStyle w:val="718"/>
        <w:ind w:firstLine="0"/>
        <w:tabs>
          <w:tab w:val="left" w:pos="5103" w:leader="none"/>
        </w:tabs>
      </w:pPr>
      <w:r>
        <w:t xml:space="preserve">обучающихся в муниципальных </w:t>
      </w:r>
      <w:r/>
    </w:p>
    <w:p>
      <w:pPr>
        <w:pStyle w:val="718"/>
        <w:ind w:firstLine="0"/>
        <w:tabs>
          <w:tab w:val="left" w:pos="5103" w:leader="none"/>
        </w:tabs>
      </w:pPr>
      <w:r>
        <w:t xml:space="preserve">образовательных организациях</w:t>
      </w:r>
      <w:r>
        <w:t xml:space="preserve"> </w:t>
      </w:r>
      <w:r/>
    </w:p>
    <w:p>
      <w:pPr>
        <w:pStyle w:val="718"/>
        <w:ind w:firstLine="0"/>
        <w:tabs>
          <w:tab w:val="left" w:pos="5103" w:leader="none"/>
        </w:tabs>
      </w:pPr>
      <w:r>
        <w:t xml:space="preserve">Ханты-Мансийского района»</w:t>
      </w:r>
      <w:r/>
    </w:p>
    <w:p>
      <w:pPr>
        <w:pStyle w:val="718"/>
        <w:ind w:firstLine="0"/>
        <w:tabs>
          <w:tab w:val="left" w:pos="5103" w:leader="none"/>
        </w:tabs>
      </w:pPr>
      <w:r/>
      <w:r/>
    </w:p>
    <w:p>
      <w:pPr>
        <w:pStyle w:val="718"/>
        <w:ind w:firstLine="0"/>
        <w:tabs>
          <w:tab w:val="left" w:pos="5103" w:leader="none"/>
        </w:tabs>
      </w:pPr>
      <w:r/>
      <w:r/>
    </w:p>
    <w:p>
      <w:pPr>
        <w:pStyle w:val="718"/>
        <w:ind w:firstLine="720"/>
        <w:jc w:val="both"/>
        <w:spacing w:after="280"/>
      </w:pPr>
      <w:r>
        <w:t xml:space="preserve">В целях приведения муниципальных правовых актов </w:t>
      </w:r>
      <w:r>
        <w:t xml:space="preserve">                              </w:t>
      </w:r>
      <w:r>
        <w:t xml:space="preserve">Ханты-Мансийского района в соответствие с действующим законодательством, руководствуясь статьей 32 Устава Ханты-Мансийского района, внести в постановление Администрации Ханты-Мансийского района от 23.12.2022 № 481 «Об обеспечении питанием обучающихся </w:t>
      </w:r>
      <w:r>
        <w:t xml:space="preserve">                     </w:t>
      </w:r>
      <w:r>
        <w:t xml:space="preserve">в муниципальных образовательных организациях Ханты-Мансийского района» (далее </w:t>
      </w:r>
      <w:r>
        <w:t xml:space="preserve">–</w:t>
      </w:r>
      <w:r>
        <w:t xml:space="preserve"> поста</w:t>
      </w:r>
      <w:bookmarkStart w:id="0" w:name="_GoBack"/>
      <w:r/>
      <w:bookmarkEnd w:id="0"/>
      <w:r>
        <w:t xml:space="preserve">новление) следующие изменения:</w:t>
      </w:r>
      <w:r/>
    </w:p>
    <w:p>
      <w:pPr>
        <w:pStyle w:val="718"/>
        <w:ind w:firstLine="709"/>
        <w:jc w:val="both"/>
        <w:tabs>
          <w:tab w:val="left" w:pos="851" w:leader="none"/>
        </w:tabs>
        <w:rPr>
          <w:color w:val="auto"/>
        </w:rPr>
      </w:pPr>
      <w:r>
        <w:rPr>
          <w:color w:val="auto"/>
        </w:rPr>
        <w:t xml:space="preserve">1. </w:t>
      </w:r>
      <w:r>
        <w:rPr>
          <w:color w:val="auto"/>
        </w:rPr>
        <w:t xml:space="preserve">В абзаце пятом пункта 8 приложе</w:t>
      </w:r>
      <w:r>
        <w:rPr>
          <w:color w:val="auto"/>
        </w:rPr>
        <w:t xml:space="preserve">ния 1 к постановлению слова </w:t>
      </w:r>
      <w:r>
        <w:rPr>
          <w:color w:val="auto"/>
        </w:rPr>
        <w:t xml:space="preserve">            </w:t>
      </w:r>
      <w:r>
        <w:rPr>
          <w:color w:val="auto"/>
        </w:rPr>
        <w:t xml:space="preserve">   </w:t>
      </w:r>
      <w:r>
        <w:rPr>
          <w:color w:val="auto"/>
        </w:rPr>
        <w:t xml:space="preserve">«</w:t>
      </w:r>
      <w:r>
        <w:rPr>
          <w:color w:val="auto"/>
        </w:rPr>
        <w:t xml:space="preserve">86</w:t>
      </w:r>
      <w:r>
        <w:rPr>
          <w:color w:val="auto"/>
        </w:rPr>
        <w:t xml:space="preserve"> </w:t>
      </w:r>
      <w:r>
        <w:rPr>
          <w:color w:val="auto"/>
        </w:rPr>
        <w:t xml:space="preserve">рублям» заменить словами «89 рублям».</w:t>
      </w:r>
      <w:r>
        <w:rPr>
          <w:color w:val="auto"/>
        </w:rPr>
      </w:r>
    </w:p>
    <w:p>
      <w:pPr>
        <w:pStyle w:val="718"/>
        <w:ind w:firstLine="0"/>
        <w:jc w:val="both"/>
        <w:rPr>
          <w:color w:val="auto"/>
        </w:rPr>
      </w:pPr>
      <w:r>
        <w:rPr>
          <w:color w:val="auto"/>
        </w:rPr>
        <w:tab/>
        <w:t xml:space="preserve">2. </w:t>
      </w:r>
      <w:r>
        <w:rPr>
          <w:color w:val="auto"/>
        </w:rPr>
        <w:t xml:space="preserve">В абзаце шестом пункта 8 приложения 1 к постановлению слова </w:t>
      </w:r>
      <w:r>
        <w:rPr>
          <w:color w:val="auto"/>
        </w:rPr>
        <w:t xml:space="preserve">           </w:t>
      </w:r>
      <w:r>
        <w:rPr>
          <w:color w:val="auto"/>
        </w:rPr>
        <w:t xml:space="preserve">   </w:t>
      </w:r>
      <w:r>
        <w:rPr>
          <w:color w:val="auto"/>
        </w:rPr>
        <w:t xml:space="preserve">«</w:t>
      </w:r>
      <w:r>
        <w:rPr>
          <w:color w:val="auto"/>
        </w:rPr>
        <w:t xml:space="preserve">86 рублям» заменить словами «89 рублям».</w:t>
      </w:r>
      <w:r>
        <w:rPr>
          <w:color w:val="auto"/>
        </w:rPr>
      </w:r>
    </w:p>
    <w:p>
      <w:pPr>
        <w:pStyle w:val="718"/>
        <w:ind w:firstLine="0"/>
        <w:jc w:val="both"/>
        <w:tabs>
          <w:tab w:val="left" w:pos="709" w:leader="none"/>
        </w:tabs>
        <w:rPr>
          <w:color w:val="auto"/>
        </w:rPr>
      </w:pPr>
      <w:r>
        <w:rPr>
          <w:color w:val="auto"/>
        </w:rPr>
        <w:tab/>
        <w:t xml:space="preserve">3. </w:t>
      </w:r>
      <w:r>
        <w:rPr>
          <w:color w:val="auto"/>
        </w:rPr>
        <w:t xml:space="preserve">В абзаце четвертом пункта 9 приложения 1 к постановлению слова «129 рублям» заменить словами «134 рублям».</w:t>
      </w:r>
      <w:r>
        <w:rPr>
          <w:color w:val="auto"/>
        </w:rPr>
      </w:r>
    </w:p>
    <w:p>
      <w:pPr>
        <w:pStyle w:val="718"/>
        <w:ind w:firstLine="0"/>
        <w:jc w:val="both"/>
        <w:tabs>
          <w:tab w:val="left" w:pos="709" w:leader="none"/>
        </w:tabs>
        <w:rPr>
          <w:color w:val="auto"/>
        </w:rPr>
      </w:pPr>
      <w:r>
        <w:rPr>
          <w:color w:val="auto"/>
        </w:rPr>
        <w:tab/>
        <w:t xml:space="preserve">4. </w:t>
      </w:r>
      <w:r>
        <w:rPr>
          <w:color w:val="auto"/>
        </w:rPr>
        <w:t xml:space="preserve">В абзаце пятом пункта 9 приложения 1 к постановлению слова </w:t>
      </w:r>
      <w:r>
        <w:rPr>
          <w:color w:val="auto"/>
        </w:rPr>
        <w:t xml:space="preserve">         </w:t>
      </w:r>
      <w:r>
        <w:rPr>
          <w:color w:val="auto"/>
        </w:rPr>
        <w:t xml:space="preserve">   </w:t>
      </w:r>
      <w:r>
        <w:rPr>
          <w:color w:val="auto"/>
        </w:rPr>
        <w:t xml:space="preserve">«</w:t>
      </w:r>
      <w:r>
        <w:rPr>
          <w:color w:val="auto"/>
        </w:rPr>
        <w:t xml:space="preserve">129 рублям» заменить словами «134 рублям».</w:t>
      </w:r>
      <w:r>
        <w:rPr>
          <w:color w:val="auto"/>
        </w:rPr>
      </w:r>
    </w:p>
    <w:p>
      <w:pPr>
        <w:pStyle w:val="718"/>
        <w:ind w:firstLine="0"/>
        <w:jc w:val="both"/>
        <w:tabs>
          <w:tab w:val="left" w:pos="709" w:leader="none"/>
        </w:tabs>
        <w:rPr>
          <w:color w:val="auto"/>
        </w:rPr>
      </w:pPr>
      <w:r>
        <w:rPr>
          <w:color w:val="auto"/>
        </w:rPr>
        <w:tab/>
        <w:t xml:space="preserve">5. </w:t>
      </w:r>
      <w:r>
        <w:rPr>
          <w:color w:val="auto"/>
        </w:rPr>
        <w:t xml:space="preserve">В абзаце шестом пункта 6 приложения 2 к постановлению слова </w:t>
      </w:r>
      <w:r>
        <w:rPr>
          <w:color w:val="auto"/>
        </w:rPr>
        <w:t xml:space="preserve">          </w:t>
      </w:r>
      <w:r>
        <w:rPr>
          <w:color w:val="auto"/>
        </w:rPr>
        <w:t xml:space="preserve">   </w:t>
      </w:r>
      <w:r>
        <w:rPr>
          <w:color w:val="auto"/>
        </w:rPr>
        <w:t xml:space="preserve">«</w:t>
      </w:r>
      <w:r>
        <w:rPr>
          <w:color w:val="auto"/>
        </w:rPr>
        <w:t xml:space="preserve">86 рублям» заменить словами «89 рублям».</w:t>
      </w:r>
      <w:r>
        <w:rPr>
          <w:color w:val="auto"/>
        </w:rPr>
      </w:r>
    </w:p>
    <w:p>
      <w:pPr>
        <w:pStyle w:val="718"/>
        <w:ind w:firstLine="0"/>
        <w:jc w:val="both"/>
        <w:tabs>
          <w:tab w:val="left" w:pos="709" w:leader="none"/>
        </w:tabs>
        <w:rPr>
          <w:color w:val="auto"/>
        </w:rPr>
      </w:pPr>
      <w:r>
        <w:rPr>
          <w:color w:val="auto"/>
        </w:rPr>
        <w:tab/>
        <w:t xml:space="preserve">6. </w:t>
      </w:r>
      <w:r>
        <w:rPr>
          <w:color w:val="auto"/>
        </w:rPr>
        <w:t xml:space="preserve">В абзаце седьмом пункта 6 приложения 2 к постановлению слова «86 рублям» заменить словами «89 рублям».</w:t>
      </w:r>
      <w:r>
        <w:rPr>
          <w:color w:val="auto"/>
        </w:rPr>
      </w:r>
    </w:p>
    <w:p>
      <w:pPr>
        <w:pStyle w:val="718"/>
        <w:ind w:firstLine="0"/>
        <w:jc w:val="both"/>
        <w:tabs>
          <w:tab w:val="left" w:pos="709" w:leader="none"/>
        </w:tabs>
        <w:rPr>
          <w:color w:val="auto"/>
        </w:rPr>
      </w:pPr>
      <w:r>
        <w:rPr>
          <w:color w:val="auto"/>
        </w:rPr>
        <w:tab/>
        <w:t xml:space="preserve">7. </w:t>
      </w:r>
      <w:r>
        <w:rPr>
          <w:color w:val="auto"/>
        </w:rPr>
        <w:t xml:space="preserve">В пункте 5 приложения 3 к постановлению слова «129 рублям» </w:t>
      </w:r>
      <w:r>
        <w:rPr>
          <w:color w:val="auto"/>
        </w:rPr>
        <w:t xml:space="preserve">заменить словами «134 рублям».</w:t>
      </w:r>
      <w:r>
        <w:rPr>
          <w:color w:val="auto"/>
        </w:rPr>
      </w:r>
    </w:p>
    <w:p>
      <w:pPr>
        <w:pStyle w:val="718"/>
        <w:ind w:firstLine="0"/>
        <w:jc w:val="both"/>
        <w:tabs>
          <w:tab w:val="left" w:pos="709" w:leader="none"/>
        </w:tabs>
        <w:rPr>
          <w:color w:val="auto"/>
        </w:rPr>
      </w:pPr>
      <w:r>
        <w:rPr>
          <w:color w:val="auto"/>
        </w:rPr>
        <w:tab/>
        <w:t xml:space="preserve">8. </w:t>
      </w:r>
      <w:r>
        <w:rPr>
          <w:color w:val="auto"/>
        </w:rPr>
        <w:t xml:space="preserve">В абзаце пятом пункта 6 приложения 4 к постановлению слова </w:t>
      </w:r>
      <w:r>
        <w:rPr>
          <w:color w:val="auto"/>
        </w:rPr>
        <w:t xml:space="preserve">            </w:t>
      </w:r>
      <w:r>
        <w:rPr>
          <w:color w:val="auto"/>
        </w:rPr>
        <w:t xml:space="preserve">   </w:t>
      </w:r>
      <w:r>
        <w:rPr>
          <w:color w:val="auto"/>
        </w:rPr>
        <w:t xml:space="preserve">«</w:t>
      </w:r>
      <w:r>
        <w:rPr>
          <w:color w:val="auto"/>
        </w:rPr>
        <w:t xml:space="preserve">129 рублям» заменить словами «134 рублям».</w:t>
      </w:r>
      <w:r>
        <w:rPr>
          <w:color w:val="auto"/>
        </w:rPr>
      </w:r>
    </w:p>
    <w:p>
      <w:pPr>
        <w:pStyle w:val="718"/>
        <w:ind w:firstLine="0"/>
        <w:jc w:val="both"/>
        <w:tabs>
          <w:tab w:val="left" w:pos="709" w:leader="none"/>
        </w:tabs>
      </w:pPr>
      <w:r>
        <w:rPr>
          <w:color w:val="auto"/>
        </w:rPr>
        <w:tab/>
        <w:t xml:space="preserve">9. </w:t>
      </w:r>
      <w:r>
        <w:rPr>
          <w:color w:val="auto"/>
        </w:rPr>
        <w:t xml:space="preserve">В абзаце четвертом пункта </w:t>
      </w:r>
      <w:r>
        <w:t xml:space="preserve">8 приложения 4 к постановлению слова </w:t>
      </w:r>
      <w:r>
        <w:rPr>
          <w:color w:val="auto"/>
        </w:rPr>
        <w:t xml:space="preserve">«215 рублям» </w:t>
      </w:r>
      <w:r>
        <w:t xml:space="preserve">заменить словами «223 рублям».</w:t>
      </w:r>
      <w:r/>
    </w:p>
    <w:p>
      <w:pPr>
        <w:pStyle w:val="718"/>
        <w:ind w:firstLine="0"/>
        <w:jc w:val="both"/>
        <w:tabs>
          <w:tab w:val="left" w:pos="709" w:leader="none"/>
        </w:tabs>
      </w:pPr>
      <w:r>
        <w:tab/>
        <w:t xml:space="preserve">10. </w:t>
      </w:r>
      <w:r>
        <w:t xml:space="preserve">Пункт 7 приложения 5 к постановлению изложить в следующей редакции:</w:t>
      </w:r>
      <w:r/>
    </w:p>
    <w:p>
      <w:pPr>
        <w:pStyle w:val="718"/>
        <w:ind w:firstLine="709"/>
        <w:jc w:val="both"/>
      </w:pPr>
      <w:r>
        <w:t xml:space="preserve">«7. Стоимость питания в день на одного воспитанника в зависимости от режима работы дошкольной организации, устанавливается:</w:t>
      </w:r>
      <w:r/>
    </w:p>
    <w:p>
      <w:pPr>
        <w:pStyle w:val="718"/>
        <w:numPr>
          <w:ilvl w:val="0"/>
          <w:numId w:val="3"/>
        </w:numPr>
        <w:ind w:firstLine="709"/>
        <w:jc w:val="both"/>
        <w:tabs>
          <w:tab w:val="left" w:pos="998" w:leader="none"/>
        </w:tabs>
      </w:pPr>
      <w:r>
        <w:t xml:space="preserve">при 10,5 </w:t>
      </w:r>
      <w:r>
        <w:t xml:space="preserve">–</w:t>
      </w:r>
      <w:r>
        <w:t xml:space="preserve"> 12-часовом пребывании детей в дошкольных организациях (завтрак, второй завтрак, обед, полдник и ужин или вместо полдника и ужина возможна организация уплотненного полдника):</w:t>
      </w:r>
      <w:r/>
    </w:p>
    <w:p>
      <w:pPr>
        <w:pStyle w:val="718"/>
        <w:ind w:firstLine="709"/>
        <w:jc w:val="both"/>
      </w:pPr>
      <w:r>
        <w:t xml:space="preserve">для детей раннего возраста (до 3 лет) </w:t>
      </w:r>
      <w:r>
        <w:t xml:space="preserve">–</w:t>
      </w:r>
      <w:r>
        <w:t xml:space="preserve"> в размере 233 рублей 00 копеек;</w:t>
      </w:r>
      <w:r/>
    </w:p>
    <w:p>
      <w:pPr>
        <w:pStyle w:val="718"/>
        <w:ind w:firstLine="709"/>
        <w:jc w:val="both"/>
      </w:pPr>
      <w:r>
        <w:t xml:space="preserve">для детей дошкольного возраста (старше 3 лет) </w:t>
      </w:r>
      <w:r>
        <w:t xml:space="preserve">–</w:t>
      </w:r>
      <w:r>
        <w:t xml:space="preserve"> в размере 259 рублей 00 копеек;</w:t>
      </w:r>
      <w:r/>
    </w:p>
    <w:p>
      <w:pPr>
        <w:pStyle w:val="718"/>
        <w:numPr>
          <w:ilvl w:val="0"/>
          <w:numId w:val="3"/>
        </w:numPr>
        <w:ind w:firstLine="709"/>
        <w:jc w:val="both"/>
        <w:tabs>
          <w:tab w:val="left" w:pos="998" w:leader="none"/>
        </w:tabs>
      </w:pPr>
      <w:r>
        <w:t xml:space="preserve">при 8 </w:t>
      </w:r>
      <w:r>
        <w:t xml:space="preserve">–</w:t>
      </w:r>
      <w:r>
        <w:t xml:space="preserve"> 10-часовом пребывании детей в дошкольных организациях (завтрак, второй завтрак, обед, полдник):</w:t>
      </w:r>
      <w:r/>
    </w:p>
    <w:p>
      <w:pPr>
        <w:pStyle w:val="718"/>
        <w:ind w:firstLine="709"/>
        <w:jc w:val="both"/>
      </w:pPr>
      <w:r>
        <w:t xml:space="preserve">для детей раннего возраста (до 3 лет) </w:t>
      </w:r>
      <w:r>
        <w:t xml:space="preserve">–</w:t>
      </w:r>
      <w:r>
        <w:t xml:space="preserve"> в размере 184 рублей 00 копеек;</w:t>
      </w:r>
      <w:r/>
    </w:p>
    <w:p>
      <w:pPr>
        <w:pStyle w:val="718"/>
        <w:ind w:firstLine="709"/>
        <w:jc w:val="both"/>
      </w:pPr>
      <w:r>
        <w:t xml:space="preserve">для детей дошкольного возраста (старше 3 лет) </w:t>
      </w:r>
      <w:r>
        <w:t xml:space="preserve">–</w:t>
      </w:r>
      <w:r>
        <w:t xml:space="preserve"> в размере 205 рублей 00 копеек;</w:t>
      </w:r>
      <w:r/>
    </w:p>
    <w:p>
      <w:pPr>
        <w:pStyle w:val="718"/>
        <w:numPr>
          <w:ilvl w:val="0"/>
          <w:numId w:val="3"/>
        </w:numPr>
        <w:ind w:firstLine="709"/>
        <w:jc w:val="both"/>
        <w:tabs>
          <w:tab w:val="left" w:pos="998" w:leader="none"/>
        </w:tabs>
      </w:pPr>
      <w:r>
        <w:t xml:space="preserve">при 4-часовом пребывании детей в дошкольных организациях (завтрак, второй завтрак, обед):</w:t>
      </w:r>
      <w:r/>
    </w:p>
    <w:p>
      <w:pPr>
        <w:pStyle w:val="718"/>
        <w:ind w:firstLine="709"/>
        <w:jc w:val="both"/>
      </w:pPr>
      <w:r>
        <w:t xml:space="preserve">для детей раннего возраста (до 3 лет) </w:t>
      </w:r>
      <w:r>
        <w:t xml:space="preserve">–</w:t>
      </w:r>
      <w:r>
        <w:t xml:space="preserve"> в размере 147 рубля 00 копеек;</w:t>
      </w:r>
      <w:r>
        <w:br/>
      </w:r>
      <w:r>
        <w:t xml:space="preserve">для детей дошкольного возраста (старше 3 лет) </w:t>
      </w:r>
      <w:r>
        <w:t xml:space="preserve">–</w:t>
      </w:r>
      <w:r>
        <w:t xml:space="preserve"> в размере 164 рублей </w:t>
      </w:r>
      <w:r>
        <w:t xml:space="preserve">                   </w:t>
      </w:r>
      <w:r>
        <w:t xml:space="preserve">00 копеек.».</w:t>
      </w:r>
      <w:r/>
    </w:p>
    <w:p>
      <w:pPr>
        <w:pStyle w:val="718"/>
        <w:ind w:firstLine="709"/>
        <w:jc w:val="both"/>
        <w:tabs>
          <w:tab w:val="left" w:pos="709" w:leader="none"/>
        </w:tabs>
      </w:pPr>
      <w:r>
        <w:t xml:space="preserve">11. </w:t>
      </w:r>
      <w:r>
        <w:t xml:space="preserve">Настоящее постановление вступает в силу после его официального опубликования и распространяет свое действие на правоотношения, возникшие с 01.01.2026.</w:t>
      </w:r>
      <w:r/>
    </w:p>
    <w:p>
      <w:pPr>
        <w:pStyle w:val="718"/>
        <w:ind w:firstLine="0"/>
        <w:jc w:val="both"/>
        <w:tabs>
          <w:tab w:val="left" w:pos="709" w:leader="none"/>
        </w:tabs>
      </w:pPr>
      <w:r/>
      <w:r/>
    </w:p>
    <w:p>
      <w:pPr>
        <w:pStyle w:val="718"/>
        <w:ind w:firstLine="0"/>
        <w:jc w:val="both"/>
        <w:tabs>
          <w:tab w:val="left" w:pos="709" w:leader="none"/>
        </w:tabs>
      </w:pPr>
      <w:r/>
      <w:r/>
    </w:p>
    <w:p>
      <w:pPr>
        <w:pStyle w:val="718"/>
        <w:ind w:firstLine="0"/>
        <w:jc w:val="both"/>
        <w:tabs>
          <w:tab w:val="left" w:pos="709" w:leader="none"/>
        </w:tabs>
      </w:pPr>
      <w:r/>
      <w:r/>
    </w:p>
    <w:p>
      <w:pPr>
        <w:pStyle w:val="718"/>
        <w:ind w:firstLine="0"/>
        <w:jc w:val="both"/>
        <w:tabs>
          <w:tab w:val="left" w:pos="709" w:leader="none"/>
        </w:tabs>
      </w:pPr>
      <w:r>
        <w:t xml:space="preserve">Глава Ханты-Мансийского района</w:t>
      </w:r>
      <w:r>
        <w:t xml:space="preserve">                                                 </w:t>
      </w:r>
      <w:r>
        <w:t xml:space="preserve">К.Р.Минулин</w:t>
      </w:r>
      <w:r/>
    </w:p>
    <w:sectPr>
      <w:headerReference w:type="default" r:id="rId9"/>
      <w:headerReference w:type="even" r:id="rId10"/>
      <w:footnotePr/>
      <w:endnotePr/>
      <w:type w:val="nextPage"/>
      <w:pgSz w:w="11900" w:h="16840" w:orient="portrait"/>
      <w:pgMar w:top="1418" w:right="1276" w:bottom="1134" w:left="1559" w:header="0" w:footer="3" w:gutter="0"/>
      <w:pgNumType w:start="1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Microsoft Sans Serif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/>
      <w:r/>
    </w:p>
  </w:footnote>
  <w:footnote w:type="continuationSeparator" w:id="0">
    <w:p>
      <w:r/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547574899"/>
      <w:docPartObj>
        <w:docPartGallery w:val="Page Numbers (Top of Page)"/>
        <w:docPartUnique w:val="true"/>
      </w:docPartObj>
      <w:rPr/>
    </w:sdtPr>
    <w:sdtContent>
      <w:p>
        <w:pPr>
          <w:pStyle w:val="72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spacing w:line="1" w:lineRule="exact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3"/>
      <w:jc w:val="center"/>
    </w:pPr>
    <w:r/>
    <w:r/>
  </w:p>
  <w:p>
    <w:pPr>
      <w:pStyle w:val="723"/>
      <w:jc w:val="center"/>
    </w:pPr>
    <w:r/>
    <w:r/>
  </w:p>
  <w:sdt>
    <w:sdtPr>
      <w15:appearance w15:val="boundingBox"/>
      <w:id w:val="82271855"/>
      <w:docPartObj>
        <w:docPartGallery w:val="Page Numbers (Top of Page)"/>
        <w:docPartUnique w:val="true"/>
      </w:docPartObj>
      <w:rPr/>
    </w:sdtPr>
    <w:sdtContent>
      <w:p>
        <w:pPr>
          <w:pStyle w:val="723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 xml:space="preserve">2</w:t>
        </w:r>
        <w:r>
          <w:rPr>
            <w:rFonts w:ascii="Times New Roman" w:hAnsi="Times New Roman" w:cs="Times New Roman"/>
          </w:rPr>
          <w:fldChar w:fldCharType="end"/>
        </w:r>
        <w:r>
          <w:rPr>
            <w:rFonts w:ascii="Times New Roman" w:hAnsi="Times New Roman" w:cs="Times New Roman"/>
          </w:rPr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1">
    <w:multiLevelType w:val="hybridMultilevel"/>
    <w:lvl w:ilvl="0">
      <w:start w:val="7"/>
      <w:numFmt w:val="decimal"/>
      <w:isLgl w:val="false"/>
      <w:suff w:val="tab"/>
      <w:lvlText w:val="%1.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evenAndOddHeaders w:val="true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Microsoft Sans Serif" w:hAnsi="Microsoft Sans Serif" w:eastAsia="Microsoft Sans Serif" w:cs="Microsoft Sans Serif"/>
        <w:sz w:val="24"/>
        <w:szCs w:val="24"/>
        <w:lang w:val="ru-RU" w:eastAsia="ru-RU" w:bidi="ru-RU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711"/>
    <w:next w:val="711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712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711"/>
    <w:next w:val="711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712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711"/>
    <w:next w:val="711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712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711"/>
    <w:next w:val="711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712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11"/>
    <w:next w:val="711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12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11"/>
    <w:next w:val="711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12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11"/>
    <w:next w:val="711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12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11"/>
    <w:next w:val="711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12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11"/>
    <w:next w:val="711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12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711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711"/>
    <w:next w:val="711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712"/>
    <w:link w:val="34"/>
    <w:uiPriority w:val="10"/>
    <w:rPr>
      <w:sz w:val="48"/>
      <w:szCs w:val="48"/>
    </w:rPr>
  </w:style>
  <w:style w:type="paragraph" w:styleId="36">
    <w:name w:val="Subtitle"/>
    <w:basedOn w:val="711"/>
    <w:next w:val="711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712"/>
    <w:link w:val="36"/>
    <w:uiPriority w:val="11"/>
    <w:rPr>
      <w:sz w:val="24"/>
      <w:szCs w:val="24"/>
    </w:rPr>
  </w:style>
  <w:style w:type="paragraph" w:styleId="38">
    <w:name w:val="Quote"/>
    <w:basedOn w:val="711"/>
    <w:next w:val="711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11"/>
    <w:next w:val="711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12"/>
    <w:link w:val="723"/>
    <w:uiPriority w:val="99"/>
  </w:style>
  <w:style w:type="character" w:styleId="45">
    <w:name w:val="Footer Char"/>
    <w:basedOn w:val="712"/>
    <w:link w:val="721"/>
    <w:uiPriority w:val="99"/>
  </w:style>
  <w:style w:type="paragraph" w:styleId="46">
    <w:name w:val="Caption"/>
    <w:basedOn w:val="711"/>
    <w:next w:val="711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712"/>
    <w:link w:val="46"/>
    <w:uiPriority w:val="35"/>
    <w:rPr>
      <w:b/>
      <w:bCs/>
      <w:color w:val="4f81bd" w:themeColor="accent1"/>
      <w:sz w:val="18"/>
      <w:szCs w:val="18"/>
    </w:rPr>
  </w:style>
  <w:style w:type="table" w:styleId="48">
    <w:name w:val="Table Grid"/>
    <w:basedOn w:val="71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71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1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1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711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712"/>
    <w:uiPriority w:val="99"/>
    <w:unhideWhenUsed/>
    <w:rPr>
      <w:vertAlign w:val="superscript"/>
    </w:rPr>
  </w:style>
  <w:style w:type="paragraph" w:styleId="178">
    <w:name w:val="endnote text"/>
    <w:basedOn w:val="711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12"/>
    <w:uiPriority w:val="99"/>
    <w:semiHidden/>
    <w:unhideWhenUsed/>
    <w:rPr>
      <w:vertAlign w:val="superscript"/>
    </w:rPr>
  </w:style>
  <w:style w:type="paragraph" w:styleId="181">
    <w:name w:val="toc 1"/>
    <w:basedOn w:val="711"/>
    <w:next w:val="711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711"/>
    <w:next w:val="711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711"/>
    <w:next w:val="711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11"/>
    <w:next w:val="711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11"/>
    <w:next w:val="711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11"/>
    <w:next w:val="711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11"/>
    <w:next w:val="711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11"/>
    <w:next w:val="711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11"/>
    <w:next w:val="711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711"/>
    <w:next w:val="711"/>
    <w:uiPriority w:val="99"/>
    <w:unhideWhenUsed/>
    <w:pPr>
      <w:spacing w:after="0" w:afterAutospacing="0"/>
    </w:pPr>
  </w:style>
  <w:style w:type="paragraph" w:styleId="711" w:default="1">
    <w:name w:val="Normal"/>
    <w:rPr>
      <w:color w:val="000000"/>
    </w:rPr>
  </w:style>
  <w:style w:type="character" w:styleId="712" w:default="1">
    <w:name w:val="Default Paragraph Font"/>
    <w:uiPriority w:val="1"/>
    <w:semiHidden/>
    <w:unhideWhenUsed/>
  </w:style>
  <w:style w:type="table" w:styleId="71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14" w:default="1">
    <w:name w:val="No List"/>
    <w:uiPriority w:val="99"/>
    <w:semiHidden/>
    <w:unhideWhenUsed/>
  </w:style>
  <w:style w:type="character" w:styleId="715" w:customStyle="1">
    <w:name w:val="Основной текст_"/>
    <w:basedOn w:val="712"/>
    <w:link w:val="718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styleId="716" w:customStyle="1">
    <w:name w:val="Основной текст (2)_"/>
    <w:basedOn w:val="712"/>
    <w:link w:val="719"/>
    <w:rPr>
      <w:rFonts w:ascii="Times New Roman" w:hAnsi="Times New Roman" w:eastAsia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styleId="717" w:customStyle="1">
    <w:name w:val="Колонтитул (2)_"/>
    <w:basedOn w:val="712"/>
    <w:link w:val="720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styleId="718" w:customStyle="1">
    <w:name w:val="Основной текст1"/>
    <w:basedOn w:val="711"/>
    <w:link w:val="715"/>
    <w:pPr>
      <w:ind w:firstLine="400"/>
    </w:pPr>
    <w:rPr>
      <w:rFonts w:ascii="Times New Roman" w:hAnsi="Times New Roman" w:eastAsia="Times New Roman" w:cs="Times New Roman"/>
      <w:sz w:val="28"/>
      <w:szCs w:val="28"/>
    </w:rPr>
  </w:style>
  <w:style w:type="paragraph" w:styleId="719" w:customStyle="1">
    <w:name w:val="Основной текст (2)"/>
    <w:basedOn w:val="711"/>
    <w:link w:val="716"/>
    <w:pPr>
      <w:ind w:firstLine="720"/>
      <w:spacing w:after="600"/>
    </w:pPr>
    <w:rPr>
      <w:rFonts w:ascii="Times New Roman" w:hAnsi="Times New Roman" w:eastAsia="Times New Roman" w:cs="Times New Roman"/>
      <w:i/>
      <w:iCs/>
      <w:sz w:val="22"/>
      <w:szCs w:val="22"/>
    </w:rPr>
  </w:style>
  <w:style w:type="paragraph" w:styleId="720" w:customStyle="1">
    <w:name w:val="Колонтитул (2)"/>
    <w:basedOn w:val="711"/>
    <w:link w:val="717"/>
    <w:rPr>
      <w:rFonts w:ascii="Times New Roman" w:hAnsi="Times New Roman" w:eastAsia="Times New Roman" w:cs="Times New Roman"/>
      <w:sz w:val="20"/>
      <w:szCs w:val="20"/>
    </w:rPr>
  </w:style>
  <w:style w:type="paragraph" w:styleId="721">
    <w:name w:val="Footer"/>
    <w:basedOn w:val="711"/>
    <w:link w:val="722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722" w:customStyle="1">
    <w:name w:val="Нижний колонтитул Знак"/>
    <w:basedOn w:val="712"/>
    <w:link w:val="721"/>
    <w:uiPriority w:val="99"/>
    <w:rPr>
      <w:color w:val="000000"/>
    </w:rPr>
  </w:style>
  <w:style w:type="paragraph" w:styleId="723">
    <w:name w:val="Header"/>
    <w:basedOn w:val="711"/>
    <w:link w:val="72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724" w:customStyle="1">
    <w:name w:val="Верхний колонтитул Знак"/>
    <w:basedOn w:val="712"/>
    <w:link w:val="723"/>
    <w:uiPriority w:val="99"/>
    <w:rPr>
      <w:color w:val="000000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customXml" Target="../customXml/item1.xml" /><Relationship Id="rId12" Type="http://schemas.openxmlformats.org/officeDocument/2006/relationships/image" Target="media/image1.emf"/><Relationship Id="rId13" Type="http://schemas.openxmlformats.org/officeDocument/2006/relationships/image" Target="media/media1.sv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1117FD-698D-49F4-B81E-8BA4D2748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>*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wadim</dc:creator>
  <cp:keywords/>
  <cp:lastModifiedBy>shalamova_op</cp:lastModifiedBy>
  <cp:revision>5</cp:revision>
  <dcterms:created xsi:type="dcterms:W3CDTF">2026-02-16T13:22:00Z</dcterms:created>
  <dcterms:modified xsi:type="dcterms:W3CDTF">2026-02-26T04:24:35Z</dcterms:modified>
</cp:coreProperties>
</file>