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3487420</wp:posOffset>
                </wp:positionH>
                <wp:positionV relativeFrom="page">
                  <wp:posOffset>454025</wp:posOffset>
                </wp:positionV>
                <wp:extent cx="636270" cy="800100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627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page;margin-left:274.60pt;mso-position-horizontal:absolute;mso-position-vertical-relative:page;margin-top:35.75pt;mso-position-vertical:absolute;width:50.10pt;height:63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ХАНТЫ-МАНСИЙСКИЙ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МУНИЦИПАЛЬНЫЙ РАЙОН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  <w:t xml:space="preserve">АДМИНИСТРАЦИЯ ХАНТЫ-МАНСИЙСКОГО РАЙОНА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  <w:t xml:space="preserve">П О С Т А Н О В Л Е Н И Е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22.01.2026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   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№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37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r>
    </w:p>
    <w:p>
      <w:pPr>
        <w:widowControl/>
        <w:rPr>
          <w:rFonts w:ascii="Times New Roman" w:hAnsi="Times New Roman" w:eastAsia="Times New Roman" w:cs="Times New Roman"/>
          <w:i/>
          <w:color w:val="auto"/>
          <w:lang w:eastAsia="en-US" w:bidi="ar-SA"/>
        </w:rPr>
      </w:pPr>
      <w:r>
        <w:rPr>
          <w:rFonts w:ascii="Times New Roman" w:hAnsi="Times New Roman" w:eastAsia="Times New Roman" w:cs="Times New Roman"/>
          <w:i/>
          <w:color w:val="auto"/>
          <w:lang w:eastAsia="en-US" w:bidi="ar-SA"/>
        </w:rPr>
        <w:t xml:space="preserve">г. Ханты-Мансийск</w:t>
      </w:r>
      <w:r>
        <w:rPr>
          <w:rFonts w:ascii="Times New Roman" w:hAnsi="Times New Roman" w:eastAsia="Times New Roman" w:cs="Times New Roman"/>
          <w:i/>
          <w:color w:val="auto"/>
          <w:lang w:eastAsia="en-US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eastAsia="ar-SA"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</w:r>
    </w:p>
    <w:p>
      <w:pPr>
        <w:pStyle w:val="713"/>
        <w:ind w:firstLine="0"/>
      </w:pPr>
      <w:r>
        <w:t xml:space="preserve">О внесении изменений </w:t>
      </w:r>
      <w:r/>
    </w:p>
    <w:p>
      <w:pPr>
        <w:pStyle w:val="713"/>
        <w:ind w:firstLine="0"/>
      </w:pPr>
      <w:r>
        <w:t xml:space="preserve">в постановление Администрации </w:t>
      </w:r>
      <w:r/>
    </w:p>
    <w:p>
      <w:pPr>
        <w:pStyle w:val="713"/>
        <w:ind w:firstLine="0"/>
      </w:pPr>
      <w:r>
        <w:t xml:space="preserve">Ханты-Мансийского района </w:t>
      </w:r>
      <w:r/>
    </w:p>
    <w:p>
      <w:pPr>
        <w:pStyle w:val="713"/>
        <w:ind w:firstLine="0"/>
      </w:pPr>
      <w:r>
        <w:t xml:space="preserve">от 24.06.2024 № 557 «Об утверждении </w:t>
      </w:r>
      <w:r/>
    </w:p>
    <w:p>
      <w:pPr>
        <w:pStyle w:val="713"/>
        <w:ind w:firstLine="0"/>
      </w:pPr>
      <w:r>
        <w:t xml:space="preserve">Положения об установлении системы </w:t>
      </w:r>
      <w:r/>
    </w:p>
    <w:p>
      <w:pPr>
        <w:pStyle w:val="713"/>
        <w:ind w:firstLine="0"/>
      </w:pPr>
      <w:r>
        <w:t xml:space="preserve">оплаты труда работников муниципальных </w:t>
      </w:r>
      <w:r/>
    </w:p>
    <w:p>
      <w:pPr>
        <w:pStyle w:val="713"/>
        <w:ind w:firstLine="0"/>
      </w:pPr>
      <w:r>
        <w:t xml:space="preserve">образовательных организаци</w:t>
      </w:r>
      <w:r>
        <w:rPr>
          <w:lang w:val="ru-RU"/>
        </w:rPr>
        <w:t xml:space="preserve">й</w:t>
      </w:r>
      <w:r/>
    </w:p>
    <w:p>
      <w:pPr>
        <w:pStyle w:val="713"/>
        <w:ind w:firstLine="0"/>
      </w:pPr>
      <w:r>
        <w:t xml:space="preserve">Ханты-Мансийского района,</w:t>
      </w:r>
      <w:r/>
    </w:p>
    <w:p>
      <w:pPr>
        <w:pStyle w:val="713"/>
        <w:ind w:firstLine="0"/>
        <w:tabs>
          <w:tab w:val="left" w:pos="5103" w:leader="none"/>
        </w:tabs>
      </w:pPr>
      <w:r>
        <w:t xml:space="preserve">подведомственных комитету </w:t>
      </w:r>
      <w:r/>
    </w:p>
    <w:p>
      <w:pPr>
        <w:pStyle w:val="713"/>
        <w:ind w:firstLine="0"/>
        <w:tabs>
          <w:tab w:val="left" w:pos="5103" w:leader="none"/>
        </w:tabs>
      </w:pPr>
      <w:r>
        <w:t xml:space="preserve">по образованию Администрации </w:t>
      </w:r>
      <w:r/>
    </w:p>
    <w:p>
      <w:pPr>
        <w:pStyle w:val="713"/>
        <w:ind w:firstLine="0"/>
      </w:pPr>
      <w:r>
        <w:t xml:space="preserve">Ханты-Мансийского района»</w:t>
      </w:r>
      <w:r/>
    </w:p>
    <w:p>
      <w:pPr>
        <w:pStyle w:val="713"/>
        <w:ind w:firstLine="0"/>
      </w:pPr>
      <w:r/>
      <w:r/>
    </w:p>
    <w:p>
      <w:pPr>
        <w:pStyle w:val="713"/>
        <w:ind w:firstLine="0"/>
      </w:pPr>
      <w:r/>
      <w:r/>
    </w:p>
    <w:p>
      <w:pPr>
        <w:pStyle w:val="713"/>
        <w:ind w:firstLine="709"/>
        <w:jc w:val="both"/>
      </w:pPr>
      <w:r>
        <w:t xml:space="preserve">В целях приведения муниципальных правовых актов в соответствие</w:t>
      </w:r>
      <w:r>
        <w:t xml:space="preserve"> </w:t>
      </w:r>
      <w:r>
        <w:t xml:space="preserve">    </w:t>
      </w:r>
      <w:r>
        <w:t xml:space="preserve">с действующим законодательством, р</w:t>
      </w:r>
      <w:r>
        <w:t xml:space="preserve">уководствуясь статьей 32 Устава </w:t>
      </w:r>
      <w:r>
        <w:t xml:space="preserve">Ханты-Мансийского района:</w:t>
      </w:r>
      <w:r/>
    </w:p>
    <w:p>
      <w:pPr>
        <w:pStyle w:val="713"/>
        <w:ind w:firstLine="709"/>
        <w:jc w:val="both"/>
      </w:pPr>
      <w:r/>
      <w:r/>
    </w:p>
    <w:p>
      <w:pPr>
        <w:pStyle w:val="713"/>
        <w:numPr>
          <w:ilvl w:val="0"/>
          <w:numId w:val="1"/>
        </w:numPr>
        <w:ind w:firstLine="709"/>
        <w:jc w:val="both"/>
        <w:tabs>
          <w:tab w:val="left" w:pos="954" w:leader="none"/>
        </w:tabs>
      </w:pPr>
      <w:r>
        <w:t xml:space="preserve">Внести в приложение к постановлению Администрации </w:t>
      </w:r>
      <w:r>
        <w:t xml:space="preserve">                   </w:t>
      </w:r>
      <w:r>
        <w:t xml:space="preserve">Ханты-Мансийского </w:t>
      </w:r>
      <w:r>
        <w:t xml:space="preserve">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 (далее</w:t>
      </w:r>
      <w:r>
        <w:t xml:space="preserve"> – </w:t>
      </w:r>
      <w:r>
        <w:t xml:space="preserve">Положение) следующие изменения:</w:t>
      </w:r>
      <w:r/>
    </w:p>
    <w:p>
      <w:pPr>
        <w:pStyle w:val="713"/>
        <w:numPr>
          <w:ilvl w:val="1"/>
          <w:numId w:val="1"/>
        </w:numPr>
        <w:ind w:firstLine="709"/>
        <w:jc w:val="both"/>
        <w:tabs>
          <w:tab w:val="left" w:pos="1276" w:leader="none"/>
          <w:tab w:val="left" w:pos="1701" w:leader="none"/>
        </w:tabs>
      </w:pPr>
      <w:r>
        <w:t xml:space="preserve">Наименование раздела </w:t>
      </w:r>
      <w:r>
        <w:rPr>
          <w:lang w:val="en-US"/>
        </w:rPr>
        <w:t xml:space="preserve">VIII</w:t>
      </w:r>
      <w:r>
        <w:t xml:space="preserve"> Положения изложить в следующей редакции:</w:t>
      </w:r>
      <w:r/>
    </w:p>
    <w:p>
      <w:pPr>
        <w:pStyle w:val="713"/>
        <w:ind w:firstLine="709"/>
        <w:jc w:val="both"/>
        <w:tabs>
          <w:tab w:val="left" w:pos="1276" w:leader="none"/>
          <w:tab w:val="left" w:pos="1701" w:leader="none"/>
        </w:tabs>
      </w:pPr>
      <w:r>
        <w:t xml:space="preserve">«Раздел </w:t>
      </w:r>
      <w:r>
        <w:rPr>
          <w:lang w:val="en-US"/>
        </w:rPr>
        <w:t xml:space="preserve">VIII</w:t>
      </w:r>
      <w:r>
        <w:t xml:space="preserve">. Порядок и условия предоставления дополнительных мер социальной поддержки для работников организаций».</w:t>
      </w:r>
      <w:r/>
    </w:p>
    <w:p>
      <w:pPr>
        <w:pStyle w:val="713"/>
        <w:ind w:firstLine="709"/>
        <w:jc w:val="both"/>
        <w:tabs>
          <w:tab w:val="left" w:pos="954" w:leader="none"/>
        </w:tabs>
      </w:pPr>
      <w:r>
        <w:t xml:space="preserve">1.</w:t>
      </w:r>
      <w:r>
        <w:t xml:space="preserve">2</w:t>
      </w:r>
      <w:r>
        <w:t xml:space="preserve">. </w:t>
      </w:r>
      <w:r>
        <w:t xml:space="preserve">П</w:t>
      </w:r>
      <w:r>
        <w:t xml:space="preserve">ункт </w:t>
      </w:r>
      <w:r>
        <w:t xml:space="preserve">48</w:t>
      </w:r>
      <w:r>
        <w:t xml:space="preserve"> Положения изложить в следующей редакции:</w:t>
      </w:r>
      <w:r/>
    </w:p>
    <w:p>
      <w:pPr>
        <w:pStyle w:val="713"/>
        <w:ind w:firstLine="709"/>
        <w:jc w:val="both"/>
        <w:tabs>
          <w:tab w:val="left" w:pos="954" w:leader="none"/>
        </w:tabs>
      </w:pPr>
      <w:r>
        <w:t xml:space="preserve">«</w:t>
      </w:r>
      <w:r>
        <w:t xml:space="preserve">48. </w:t>
      </w:r>
      <w:r>
        <w:t xml:space="preserve">Единовременная выплата работникам организаций, проработавшим в сфере образования на территории Ханты-Мансийского </w:t>
      </w:r>
      <w:r>
        <w:t xml:space="preserve">района 10 и более лет, в связи с достижением возраста 50 лет и далее через каждые 5 лет в размере 5000 рублей производится за счет бюджета </w:t>
      </w:r>
      <w:r>
        <w:t xml:space="preserve">                </w:t>
      </w:r>
      <w:r>
        <w:t xml:space="preserve">Ханты-Мансийского района на основании приказа организации </w:t>
      </w:r>
      <w:r>
        <w:t xml:space="preserve">                        </w:t>
      </w:r>
      <w:r>
        <w:t xml:space="preserve">по письменному заявлению работника, поданному не позднее двух лет </w:t>
      </w:r>
      <w:r>
        <w:t xml:space="preserve">                 </w:t>
      </w:r>
      <w:r>
        <w:t xml:space="preserve">со дня достижения работником указанного возраста, по основному месту работы (основной занимаемой должности) при условии, что</w:t>
      </w:r>
      <w:r>
        <w:t xml:space="preserve"> указанный возраст наступил с </w:t>
      </w:r>
      <w:r>
        <w:t xml:space="preserve">1 </w:t>
      </w:r>
      <w:r>
        <w:t xml:space="preserve">сентября 2024 года</w:t>
      </w:r>
      <w:r>
        <w:t xml:space="preserve"> </w:t>
      </w:r>
      <w:r>
        <w:t xml:space="preserve">и </w:t>
      </w:r>
      <w:r>
        <w:t xml:space="preserve">работник организации в день достижения возраста и на день подачи заявления</w:t>
      </w:r>
      <w:r>
        <w:t xml:space="preserve"> </w:t>
      </w:r>
      <w:r>
        <w:t xml:space="preserve">числился</w:t>
      </w:r>
      <w:r>
        <w:t xml:space="preserve"> в штате организации.</w:t>
      </w:r>
      <w:r>
        <w:t xml:space="preserve"> </w:t>
      </w:r>
      <w:r/>
    </w:p>
    <w:p>
      <w:pPr>
        <w:pStyle w:val="713"/>
        <w:ind w:firstLine="709"/>
        <w:jc w:val="both"/>
        <w:tabs>
          <w:tab w:val="left" w:pos="954" w:leader="none"/>
        </w:tabs>
      </w:pPr>
      <w:r>
        <w:t xml:space="preserve">Единовременная выплата производится не позднее </w:t>
      </w:r>
      <w:r>
        <w:t xml:space="preserve">двух</w:t>
      </w:r>
      <w:r>
        <w:t xml:space="preserve"> календарных месяцев со дня подачи заявления.</w:t>
      </w:r>
      <w:r>
        <w:t xml:space="preserve">»</w:t>
      </w:r>
      <w:r>
        <w:t xml:space="preserve">.</w:t>
      </w:r>
      <w:r/>
    </w:p>
    <w:p>
      <w:pPr>
        <w:pStyle w:val="713"/>
        <w:ind w:firstLine="709"/>
      </w:pPr>
      <w:r>
        <w:t xml:space="preserve">1.</w:t>
      </w:r>
      <w:r>
        <w:t xml:space="preserve">3</w:t>
      </w:r>
      <w:r>
        <w:t xml:space="preserve">. </w:t>
      </w:r>
      <w:r>
        <w:t xml:space="preserve">П</w:t>
      </w:r>
      <w:r>
        <w:t xml:space="preserve">ункт 4</w:t>
      </w:r>
      <w:r>
        <w:t xml:space="preserve">9</w:t>
      </w:r>
      <w:r>
        <w:t xml:space="preserve"> Положения изложить в следующей редакции:</w:t>
      </w:r>
      <w:r/>
    </w:p>
    <w:p>
      <w:pPr>
        <w:pStyle w:val="713"/>
        <w:ind w:firstLine="709"/>
        <w:jc w:val="both"/>
      </w:pPr>
      <w:r>
        <w:t xml:space="preserve">«</w:t>
      </w:r>
      <w:r>
        <w:t xml:space="preserve">49. </w:t>
      </w:r>
      <w:r>
        <w:t xml:space="preserve">Единоврем</w:t>
      </w:r>
      <w:r>
        <w:t xml:space="preserve">енная материальная помощь в случае смерти близких родственников работников организаций (дети, супруга (супруг), родители, родные братья и сестры) в размере 5000 рублей выплачивается за счет бюджета Ханты-Мансийского района на основании приказа организации </w:t>
      </w:r>
      <w:r>
        <w:t xml:space="preserve">                  </w:t>
      </w:r>
      <w:r>
        <w:t xml:space="preserve">по письменному заявлению работника с приложением документа</w:t>
      </w:r>
      <w:r>
        <w:t xml:space="preserve">,</w:t>
      </w:r>
      <w:r>
        <w:t xml:space="preserve"> подтверждающего соответствующий факт, по основному месту работы (основной занимаемой должности).</w:t>
      </w:r>
      <w:r/>
    </w:p>
    <w:p>
      <w:pPr>
        <w:pStyle w:val="713"/>
        <w:ind w:firstLine="709"/>
        <w:jc w:val="both"/>
      </w:pPr>
      <w:r>
        <w:t xml:space="preserve">Право на выплату единовременной материальной помощи имеют работники, обратившиеся за выплатой в течение </w:t>
      </w:r>
      <w:r>
        <w:t xml:space="preserve">двух лет</w:t>
      </w:r>
      <w:r>
        <w:t xml:space="preserve"> со дня наступления соответствующего факта</w:t>
      </w:r>
      <w:r>
        <w:t xml:space="preserve"> </w:t>
      </w:r>
      <w:r>
        <w:t xml:space="preserve">с 1 сентября </w:t>
      </w:r>
      <w:r>
        <w:t xml:space="preserve">2024 года</w:t>
      </w:r>
      <w:r>
        <w:t xml:space="preserve">, при условии, что работник организации в день наступления соответствующего факта </w:t>
      </w:r>
      <w:r>
        <w:t xml:space="preserve">           </w:t>
      </w:r>
      <w:r>
        <w:t xml:space="preserve">и на день подачи заявления</w:t>
      </w:r>
      <w:r>
        <w:t xml:space="preserve"> </w:t>
      </w:r>
      <w:r>
        <w:t xml:space="preserve">числился в штате ор</w:t>
      </w:r>
      <w:r>
        <w:t xml:space="preserve">ганизации.</w:t>
      </w:r>
      <w:r/>
    </w:p>
    <w:p>
      <w:pPr>
        <w:pStyle w:val="713"/>
        <w:ind w:firstLine="709"/>
        <w:jc w:val="both"/>
      </w:pPr>
      <w:r>
        <w:t xml:space="preserve">Единовременная выплата производится не позднее </w:t>
      </w:r>
      <w:r>
        <w:t xml:space="preserve">двух</w:t>
      </w:r>
      <w:r>
        <w:t xml:space="preserve"> календарных месяцев со дня подачи заявления.</w:t>
      </w:r>
      <w:r>
        <w:t xml:space="preserve">»</w:t>
      </w:r>
      <w:r>
        <w:t xml:space="preserve">.</w:t>
      </w:r>
      <w:r/>
    </w:p>
    <w:p>
      <w:pPr>
        <w:pStyle w:val="713"/>
        <w:ind w:firstLine="709"/>
        <w:jc w:val="both"/>
      </w:pPr>
      <w:r>
        <w:t xml:space="preserve">1.</w:t>
      </w:r>
      <w:r>
        <w:t xml:space="preserve">4</w:t>
      </w:r>
      <w:r>
        <w:t xml:space="preserve">. </w:t>
      </w:r>
      <w:r>
        <w:t xml:space="preserve">Таблицу 2 приложения 1 к Положению изложить в следующей редакции:</w:t>
      </w:r>
      <w:r/>
    </w:p>
    <w:p>
      <w:pPr>
        <w:pStyle w:val="713"/>
        <w:ind w:firstLine="709"/>
        <w:jc w:val="both"/>
      </w:pPr>
      <w:r>
        <w:t xml:space="preserve">«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520"/>
        <w:gridCol w:w="3778"/>
        <w:gridCol w:w="1824"/>
      </w:tblGrid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Квалификационный 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Наименование должностей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Размер оклада (должностного оклада), ставки заработной платы, рублей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vAlign w:val="bottom"/>
            <w:textDirection w:val="lrTb"/>
            <w:noWrap w:val="false"/>
          </w:tcPr>
          <w:p>
            <w:pPr>
              <w:ind w:firstLine="32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32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12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 квалификационный 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инструктор по труду; инструктор по физической культуре; музыкальный руководитель; старший вожатый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22 032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 квалификационный 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инструктор-методист;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концертмейстер; педагог дополнительного образования; педагог-организатор; социальный педагог; тренер-преподаватель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22 140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3 квалификационный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воспитатель; мастер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производственного обучения; методист; педагог-психолог; старший инструктор-методист; старший педагог дополнительного образования; старший тренер- преподаватель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22 248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.4.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4 квалификационный 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7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23 382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32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12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Профессиональная квалификационная группа должностей руководителей структурных подразделений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 квалификационный 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23 958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ind w:firstLine="16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 квалификационный уровень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25 115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ind w:firstLine="16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23 382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ind w:firstLine="16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Преподаватель-организатор основ безопасности и защиты Родины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5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23 382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</w:tbl>
    <w:p>
      <w:pPr>
        <w:pStyle w:val="713"/>
        <w:jc w:val="right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 xml:space="preserve">»</w:t>
      </w:r>
      <w:r>
        <w:rPr>
          <w:rFonts w:eastAsia="Microsoft Sans Serif"/>
          <w:szCs w:val="24"/>
        </w:rPr>
        <w:t xml:space="preserve">.</w:t>
      </w:r>
      <w:r>
        <w:rPr>
          <w:rFonts w:eastAsia="Microsoft Sans Serif"/>
          <w:szCs w:val="24"/>
        </w:rPr>
      </w:r>
    </w:p>
    <w:p>
      <w:pPr>
        <w:pStyle w:val="713"/>
        <w:ind w:firstLine="709"/>
        <w:jc w:val="both"/>
      </w:pPr>
      <w:r>
        <w:rPr>
          <w:rFonts w:eastAsia="Microsoft Sans Serif"/>
        </w:rPr>
        <w:t xml:space="preserve">1.</w:t>
      </w:r>
      <w:r>
        <w:rPr>
          <w:rFonts w:eastAsia="Microsoft Sans Serif"/>
        </w:rPr>
        <w:t xml:space="preserve">5</w:t>
      </w:r>
      <w:r>
        <w:rPr>
          <w:rFonts w:eastAsia="Microsoft Sans Serif"/>
        </w:rPr>
        <w:t xml:space="preserve">.</w:t>
      </w:r>
      <w:r>
        <w:rPr>
          <w:rFonts w:ascii="Microsoft Sans Serif" w:hAnsi="Microsoft Sans Serif" w:eastAsia="Microsoft Sans Serif" w:cs="Microsoft Sans Serif"/>
          <w:sz w:val="24"/>
          <w:szCs w:val="24"/>
        </w:rPr>
        <w:t xml:space="preserve"> </w:t>
      </w:r>
      <w:r>
        <w:t xml:space="preserve">Таблицу 3 приложения 1 к Положению изложить в следующей</w:t>
      </w:r>
      <w:r>
        <w:t xml:space="preserve"> </w:t>
      </w:r>
      <w:r>
        <w:t xml:space="preserve">редакции: </w:t>
      </w:r>
      <w:r/>
    </w:p>
    <w:p>
      <w:pPr>
        <w:pStyle w:val="713"/>
        <w:ind w:firstLine="709"/>
        <w:jc w:val="both"/>
      </w:pPr>
      <w:r>
        <w:t xml:space="preserve">«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411"/>
        <w:gridCol w:w="3887"/>
        <w:gridCol w:w="144"/>
        <w:gridCol w:w="1922"/>
      </w:tblGrid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lang w:eastAsia="en-US" w:bidi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Квалификационный уровень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профессий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1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Размер оклада (должностного оклада), рублей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vAlign w:val="bottom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192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4"/>
            <w:shd w:val="clear" w:color="auto" w:fill="auto"/>
            <w:tcW w:w="836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Профессиональная квалификационная группа "Общеотраслевые профессии рабочих первого уровня"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квалификационный </w:t>
            </w:r>
            <w:r>
              <w:rPr>
                <w:rFonts w:ascii="Times New Roman" w:hAnsi="Times New Roman" w:eastAsia="Times New Roman" w:cs="Times New Roman"/>
              </w:rPr>
              <w:t xml:space="preserve">уровень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профессии рабочих, по которым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предусмотрено присвоение 1, 2 и 3 квалификационных разрядов в соответствии с </w:t>
            </w:r>
            <w:hyperlink r:id="rId12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Единым 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тарифно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</w:r>
            </w:hyperlink>
            <w:r/>
            <w:hyperlink r:id="rId13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квалификационным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 справочником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hyperlink r:id="rId14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работ и профессий рабочих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1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16 525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4"/>
            <w:shd w:val="clear" w:color="auto" w:fill="auto"/>
            <w:tcW w:w="836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Профессиональная квалификационная группа "Общеотраслевые профессии рабочих второго уровня"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15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Единым 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тарифно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</w:r>
            </w:hyperlink>
            <w:r/>
            <w:hyperlink r:id="rId16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квалификационным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 справочником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hyperlink r:id="rId17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работ и профессий рабочих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1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17 349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18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Единым 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тарифно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</w:r>
            </w:hyperlink>
            <w:r/>
            <w:hyperlink r:id="rId19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квалификационным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 справочником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hyperlink r:id="rId20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работ и профессий рабочих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1922" w:type="dxa"/>
            <w:textDirection w:val="lrTb"/>
            <w:noWrap w:val="false"/>
          </w:tcPr>
          <w:p>
            <w:pPr>
              <w:ind w:firstLine="4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18 176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21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Единым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hyperlink r:id="rId22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тарифно-квалификационным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hyperlink r:id="rId23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справочником работ и профессий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hyperlink r:id="rId24" w:tooltip="https://internet.garant.ru/document/redirect/108186/0" w:history="1">
              <w:r>
                <w:rPr>
                  <w:rFonts w:ascii="Times New Roman" w:hAnsi="Times New Roman" w:eastAsia="Times New Roman" w:cs="Times New Roman"/>
                  <w:color w:val="000000" w:themeColor="text1"/>
                </w:rPr>
                <w:t xml:space="preserve">рабочих</w:t>
              </w:r>
            </w:hyperlink>
            <w:r/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1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19 166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ind w:firstLine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shd w:val="clear" w:color="auto" w:fill="auto"/>
            <w:tcW w:w="4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важные) и ответственные (особо ответственные работы): водитель автомобиля, занятый перевозкой обучающихся (детей, воспитанников)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19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20 158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pStyle w:val="716"/>
              <w:ind w:firstLine="320"/>
            </w:pPr>
            <w:r>
              <w:t xml:space="preserve">3.</w:t>
            </w:r>
            <w:r/>
          </w:p>
        </w:tc>
        <w:tc>
          <w:tcPr>
            <w:gridSpan w:val="4"/>
            <w:shd w:val="clear" w:color="auto" w:fill="auto"/>
            <w:tcW w:w="836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pStyle w:val="716"/>
              <w:ind w:firstLine="240"/>
            </w:pPr>
            <w:r>
              <w:t xml:space="preserve">3.1.</w:t>
            </w:r>
            <w:r/>
          </w:p>
        </w:tc>
        <w:tc>
          <w:tcPr>
            <w:shd w:val="clear" w:color="auto" w:fill="auto"/>
            <w:tcW w:w="2411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shd w:val="clear" w:color="auto" w:fill="auto"/>
            <w:tcW w:w="3887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вожатый; помощник воспитателя; секретарь учебной части</w:t>
            </w:r>
            <w:r/>
          </w:p>
        </w:tc>
        <w:tc>
          <w:tcPr>
            <w:gridSpan w:val="2"/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17 349</w:t>
            </w:r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pStyle w:val="716"/>
              <w:ind w:firstLine="320"/>
            </w:pPr>
            <w:r>
              <w:t xml:space="preserve">4.</w:t>
            </w:r>
            <w:r/>
          </w:p>
        </w:tc>
        <w:tc>
          <w:tcPr>
            <w:gridSpan w:val="4"/>
            <w:shd w:val="clear" w:color="auto" w:fill="auto"/>
            <w:tcW w:w="8364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Профессиональная квалификационная группа должностей работников учебно-вспомогательного персонала второго уровня</w:t>
            </w:r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pStyle w:val="716"/>
              <w:ind w:firstLine="240"/>
            </w:pPr>
            <w:r>
              <w:t xml:space="preserve">4.1.</w:t>
            </w:r>
            <w:r/>
          </w:p>
        </w:tc>
        <w:tc>
          <w:tcPr>
            <w:shd w:val="clear" w:color="auto" w:fill="auto"/>
            <w:tcW w:w="2411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shd w:val="clear" w:color="auto" w:fill="auto"/>
            <w:tcW w:w="3887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дежурный по режиму; младший воспитатель</w:t>
            </w:r>
            <w:r/>
          </w:p>
        </w:tc>
        <w:tc>
          <w:tcPr>
            <w:gridSpan w:val="2"/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716"/>
              <w:ind w:firstLine="580"/>
            </w:pPr>
            <w:r>
              <w:t xml:space="preserve">18 176</w:t>
            </w:r>
            <w:r/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845" w:type="dxa"/>
            <w:textDirection w:val="lrTb"/>
            <w:noWrap w:val="false"/>
          </w:tcPr>
          <w:p>
            <w:pPr>
              <w:pStyle w:val="716"/>
              <w:ind w:firstLine="240"/>
            </w:pPr>
            <w:r>
              <w:t xml:space="preserve">4.2.</w:t>
            </w:r>
            <w:r/>
          </w:p>
        </w:tc>
        <w:tc>
          <w:tcPr>
            <w:shd w:val="clear" w:color="auto" w:fill="auto"/>
            <w:tcW w:w="2411" w:type="dxa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shd w:val="clear" w:color="auto" w:fill="auto"/>
            <w:tcW w:w="3887" w:type="dxa"/>
            <w:vAlign w:val="bottom"/>
            <w:textDirection w:val="lrTb"/>
            <w:noWrap w:val="false"/>
          </w:tcPr>
          <w:p>
            <w:pPr>
              <w:pStyle w:val="716"/>
              <w:jc w:val="center"/>
            </w:pPr>
            <w:r>
              <w:t xml:space="preserve">диспетчер образовательного учреждения; старший дежурный по режиму</w:t>
            </w:r>
            <w:r/>
          </w:p>
        </w:tc>
        <w:tc>
          <w:tcPr>
            <w:gridSpan w:val="2"/>
            <w:shd w:val="clear" w:color="auto" w:fill="auto"/>
            <w:tcW w:w="2066" w:type="dxa"/>
            <w:textDirection w:val="lrTb"/>
            <w:noWrap w:val="false"/>
          </w:tcPr>
          <w:p>
            <w:pPr>
              <w:pStyle w:val="716"/>
              <w:ind w:firstLine="580"/>
            </w:pPr>
            <w:r>
              <w:t xml:space="preserve">19 166</w:t>
            </w:r>
            <w:r/>
          </w:p>
        </w:tc>
      </w:tr>
    </w:tbl>
    <w:p>
      <w:pPr>
        <w:pStyle w:val="713"/>
        <w:jc w:val="right"/>
      </w:pPr>
      <w:r>
        <w:t xml:space="preserve">».</w:t>
      </w:r>
      <w:r/>
    </w:p>
    <w:p>
      <w:pPr>
        <w:pStyle w:val="713"/>
        <w:ind w:firstLine="709"/>
        <w:jc w:val="both"/>
      </w:pPr>
      <w:r/>
      <w:r/>
    </w:p>
    <w:p>
      <w:pPr>
        <w:pStyle w:val="713"/>
        <w:ind w:firstLine="709"/>
        <w:jc w:val="both"/>
      </w:pPr>
      <w:r/>
      <w:r/>
    </w:p>
    <w:p>
      <w:pPr>
        <w:pStyle w:val="713"/>
        <w:ind w:firstLine="709"/>
        <w:jc w:val="both"/>
      </w:pPr>
      <w:r/>
      <w:r/>
    </w:p>
    <w:p>
      <w:pPr>
        <w:pStyle w:val="713"/>
        <w:ind w:firstLine="709"/>
        <w:jc w:val="both"/>
      </w:pPr>
      <w:r>
        <w:t xml:space="preserve">1.</w:t>
      </w:r>
      <w:r>
        <w:t xml:space="preserve">6</w:t>
      </w:r>
      <w:r>
        <w:t xml:space="preserve">. </w:t>
      </w:r>
      <w:r>
        <w:t xml:space="preserve">Таблицу 4 приложения 1 к Положению изложить в следующей</w:t>
      </w:r>
      <w:r>
        <w:t xml:space="preserve"> </w:t>
      </w:r>
      <w:r>
        <w:t xml:space="preserve">редакции:</w:t>
      </w:r>
      <w:r/>
    </w:p>
    <w:p>
      <w:pPr>
        <w:pStyle w:val="713"/>
        <w:ind w:firstLine="709"/>
        <w:jc w:val="both"/>
      </w:pPr>
      <w:r>
        <w:t xml:space="preserve">«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6581"/>
        <w:gridCol w:w="1685"/>
      </w:tblGrid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lang w:eastAsia="en-US" w:bidi="en-US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Наименование должностей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Размер оклада (должностног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 оклада), рублей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Младший специалист по охране труда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охране труда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20 819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Главный (ведущий) специалист по охране труда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22 967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Руководитель службы охраны труда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23 958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закупкам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Старший специалист по закупкам, консультант по закупкам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21 811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Работник контрактной службы, контрактный управляющий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23 958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22 967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Тифлосурдопереводчик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2 категории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20 819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Тифлосурдопереводчик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1 категории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21 811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кадрам, специалист по документационному обеспечению персонала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персоналу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подбору персонала, менеджер по персоналу, специалист по оценке и аттестации п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ерсонала, специалист по развитию и обучению персонала, специалист по развитию карьеры персонала, специалист по нормированию и оплате труда, специалист по организации и оплате труда, специалист по компенсациям и льготам, специалист по социальным программам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Хранитель музейных предметов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Хранитель музейных предметов 2 категории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20 819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Хранитель музейных предметов 1 категории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21 811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пожарной профилактике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Ведущий специалист по пожарной безопасности, ведущий специалист по пожарной профилактике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22 967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Системный администратор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20 819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Ассистент по оказанию технической помощи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18 176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Инженер, не указанный в таблицах 1 - 2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706" w:type="dxa"/>
            <w:vAlign w:val="bottom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административно-хозяйственной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6" w:type="dxa"/>
            <w:textDirection w:val="lrTb"/>
            <w:noWrap w:val="false"/>
          </w:tcPr>
          <w:p>
            <w:pPr>
              <w:ind w:firstLine="18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5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Специалист по безопасности, специалист по антитеррористической защищенности и безопасности, специалист, ответственный за обеспечение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антитеррористической защищенности </w:t>
            </w:r>
            <w:r>
              <w:rPr>
                <w:rFonts w:ascii="Times New Roman" w:hAnsi="Times New Roman" w:eastAsia="Times New Roman" w:cs="Times New Roman"/>
                <w:color w:val="auto"/>
                <w:vertAlign w:val="superscript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19 828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</w:tbl>
    <w:p>
      <w:pPr>
        <w:pStyle w:val="713"/>
        <w:jc w:val="right"/>
      </w:pPr>
      <w:r>
        <w:t xml:space="preserve">».</w:t>
      </w:r>
      <w:r/>
    </w:p>
    <w:p>
      <w:pPr>
        <w:pStyle w:val="713"/>
        <w:numPr>
          <w:ilvl w:val="0"/>
          <w:numId w:val="1"/>
        </w:numPr>
        <w:ind w:firstLine="709"/>
        <w:jc w:val="both"/>
        <w:tabs>
          <w:tab w:val="left" w:pos="426" w:leader="none"/>
          <w:tab w:val="left" w:pos="851" w:leader="none"/>
        </w:tabs>
      </w:pPr>
      <w:r>
        <w:t xml:space="preserve">Настоящее постановление вступает в силу после его официального опубликования, за исключением </w:t>
      </w:r>
      <w:r>
        <w:t xml:space="preserve">под</w:t>
      </w:r>
      <w:r>
        <w:t xml:space="preserve">пункт</w:t>
      </w:r>
      <w:r>
        <w:t xml:space="preserve">ов</w:t>
      </w:r>
      <w:r>
        <w:t xml:space="preserve"> 1.</w:t>
      </w:r>
      <w:r>
        <w:t xml:space="preserve">4</w:t>
      </w:r>
      <w:r>
        <w:t xml:space="preserve">, </w:t>
      </w:r>
      <w:r>
        <w:t xml:space="preserve">1.</w:t>
      </w:r>
      <w:r>
        <w:t xml:space="preserve">5</w:t>
      </w:r>
      <w:r>
        <w:t xml:space="preserve">, 1.</w:t>
      </w:r>
      <w:r>
        <w:t xml:space="preserve">6</w:t>
      </w:r>
      <w:r>
        <w:t xml:space="preserve"> пункта 1 настоящего постановления.</w:t>
      </w:r>
      <w:r/>
    </w:p>
    <w:p>
      <w:pPr>
        <w:pStyle w:val="713"/>
        <w:ind w:firstLine="709"/>
        <w:jc w:val="both"/>
        <w:tabs>
          <w:tab w:val="left" w:pos="426" w:leader="none"/>
          <w:tab w:val="left" w:pos="851" w:leader="none"/>
        </w:tabs>
      </w:pPr>
      <w:r>
        <w:t xml:space="preserve">Подпункт 1.</w:t>
      </w:r>
      <w:r>
        <w:t xml:space="preserve">4</w:t>
      </w:r>
      <w:r>
        <w:t xml:space="preserve"> пункта 1 настоящего постановления вступает в силу </w:t>
      </w:r>
      <w:r>
        <w:br/>
      </w:r>
      <w:r>
        <w:t xml:space="preserve">с 1 января 2026 года.</w:t>
      </w:r>
      <w:r/>
    </w:p>
    <w:p>
      <w:pPr>
        <w:pStyle w:val="713"/>
        <w:ind w:firstLine="709"/>
        <w:jc w:val="both"/>
        <w:tabs>
          <w:tab w:val="left" w:pos="426" w:leader="none"/>
          <w:tab w:val="left" w:pos="851" w:leader="none"/>
        </w:tabs>
      </w:pPr>
      <w:r>
        <w:t xml:space="preserve">Подпункты 1.</w:t>
      </w:r>
      <w:r>
        <w:t xml:space="preserve">5</w:t>
      </w:r>
      <w:r>
        <w:t xml:space="preserve">, 1.</w:t>
      </w:r>
      <w:r>
        <w:t xml:space="preserve">6</w:t>
      </w:r>
      <w:r>
        <w:t xml:space="preserve"> пункта 1 настоящего постановления </w:t>
      </w:r>
      <w:r>
        <w:t xml:space="preserve">распространяют свое действие на правоотношения, возникшие </w:t>
      </w:r>
      <w:r>
        <w:t xml:space="preserve">                              </w:t>
      </w:r>
      <w:r>
        <w:t xml:space="preserve">с 1 октября 2025 года.</w:t>
      </w:r>
      <w:r>
        <w:t xml:space="preserve"> </w:t>
      </w:r>
      <w:r/>
    </w:p>
    <w:p>
      <w:pPr>
        <w:pStyle w:val="713"/>
        <w:jc w:val="both"/>
        <w:tabs>
          <w:tab w:val="left" w:pos="954" w:leader="none"/>
        </w:tabs>
      </w:pPr>
      <w:r/>
      <w:r/>
    </w:p>
    <w:p>
      <w:pPr>
        <w:pStyle w:val="713"/>
        <w:jc w:val="both"/>
        <w:tabs>
          <w:tab w:val="left" w:pos="954" w:leader="none"/>
        </w:tabs>
      </w:pPr>
      <w:r/>
      <w:r/>
    </w:p>
    <w:p>
      <w:pPr>
        <w:pStyle w:val="713"/>
        <w:jc w:val="both"/>
        <w:tabs>
          <w:tab w:val="left" w:pos="954" w:leader="none"/>
        </w:tabs>
      </w:pPr>
      <w:r/>
      <w:r/>
    </w:p>
    <w:p>
      <w:pPr>
        <w:pStyle w:val="713"/>
        <w:ind w:firstLine="0"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5655310</wp:posOffset>
                </wp:positionH>
                <wp:positionV relativeFrom="paragraph">
                  <wp:posOffset>12700</wp:posOffset>
                </wp:positionV>
                <wp:extent cx="1057910" cy="252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579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713"/>
                              <w:ind w:firstLine="0"/>
                            </w:pPr>
                            <w:r>
                              <w:t xml:space="preserve">К.Р.Минулин</w:t>
                            </w:r>
                            <w:r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25829380;o:allowoverlap:true;o:allowincell:true;mso-position-horizontal-relative:page;margin-left:445.30pt;mso-position-horizontal:absolute;mso-position-vertical-relative:text;margin-top:1.00pt;mso-position-vertical:absolute;width:83.30pt;height:19.90pt;mso-wrap-distance-left:9.00pt;mso-wrap-distance-top:0.00pt;mso-wrap-distance-right:9.00pt;mso-wrap-distance-bottom:0.00pt;visibility:visible;" filled="f">
                <w10:wrap type="square"/>
                <v:textbox inset="0,0,0,0">
                  <w:txbxContent>
                    <w:p>
                      <w:pPr>
                        <w:pStyle w:val="713"/>
                        <w:ind w:firstLine="0"/>
                      </w:pPr>
                      <w:r>
                        <w:t xml:space="preserve">К.Р.Минулин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Глава Ханты-Мансийского района</w:t>
      </w:r>
      <w:r>
        <w:t xml:space="preserve"> </w:t>
      </w:r>
      <w:r/>
    </w:p>
    <w:sectPr>
      <w:headerReference w:type="default" r:id="rId9"/>
      <w:headerReference w:type="first" r:id="rId10"/>
      <w:footnotePr/>
      <w:endnotePr/>
      <w:type w:val="nextPage"/>
      <w:pgSz w:w="11900" w:h="16840" w:orient="portrait"/>
      <w:pgMar w:top="1418" w:right="1276" w:bottom="1134" w:left="1559" w:header="0" w:footer="3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506730</wp:posOffset>
              </wp:positionV>
              <wp:extent cx="137160" cy="97790"/>
              <wp:effectExtent l="0" t="0" r="0" b="0"/>
              <wp:wrapNone/>
              <wp:docPr id="1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15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Calibri"/>
                              <w:sz w:val="24"/>
                              <w:szCs w:val="24"/>
                            </w:rPr>
                            <w:t xml:space="preserve">6</w:t>
                          </w:r>
                          <w:r>
                            <w:rPr>
                              <w:rFonts w:eastAsia="Calibri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62914690;o:allowoverlap:true;o:allowincell:true;mso-position-horizontal-relative:page;margin-left:290.50pt;mso-position-horizontal:absolute;mso-position-vertical-relative:page;margin-top:39.90pt;mso-position-vertical:absolute;width:10.80pt;height:7.7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15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Calibri"/>
                        <w:sz w:val="24"/>
                        <w:szCs w:val="24"/>
                      </w:rPr>
                      <w:t xml:space="preserve">6</w:t>
                    </w:r>
                    <w:r>
                      <w:rPr>
                        <w:rFonts w:eastAsia="Calibri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18"/>
    <w:uiPriority w:val="99"/>
  </w:style>
  <w:style w:type="character" w:styleId="45">
    <w:name w:val="Footer Char"/>
    <w:basedOn w:val="706"/>
    <w:link w:val="720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0"/>
    <w:uiPriority w:val="99"/>
  </w:style>
  <w:style w:type="table" w:styleId="48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rPr>
      <w:color w:val="000000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Основной текст_"/>
    <w:basedOn w:val="706"/>
    <w:link w:val="7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10" w:customStyle="1">
    <w:name w:val="Основной текст (2)_"/>
    <w:basedOn w:val="706"/>
    <w:link w:val="71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styleId="711" w:customStyle="1">
    <w:name w:val="Колонтитул (2)_"/>
    <w:basedOn w:val="706"/>
    <w:link w:val="71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712" w:customStyle="1">
    <w:name w:val="Другое_"/>
    <w:basedOn w:val="706"/>
    <w:link w:val="71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713" w:customStyle="1">
    <w:name w:val="Основной текст1"/>
    <w:basedOn w:val="705"/>
    <w:link w:val="709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714" w:customStyle="1">
    <w:name w:val="Основной текст (2)"/>
    <w:basedOn w:val="705"/>
    <w:link w:val="710"/>
    <w:pPr>
      <w:ind w:firstLine="720"/>
      <w:spacing w:after="600"/>
    </w:pPr>
    <w:rPr>
      <w:rFonts w:ascii="Times New Roman" w:hAnsi="Times New Roman" w:eastAsia="Times New Roman" w:cs="Times New Roman"/>
      <w:i/>
      <w:iCs/>
      <w:sz w:val="22"/>
      <w:szCs w:val="22"/>
    </w:rPr>
  </w:style>
  <w:style w:type="paragraph" w:styleId="715" w:customStyle="1">
    <w:name w:val="Колонтитул (2)"/>
    <w:basedOn w:val="705"/>
    <w:link w:val="711"/>
    <w:rPr>
      <w:rFonts w:ascii="Times New Roman" w:hAnsi="Times New Roman" w:eastAsia="Times New Roman" w:cs="Times New Roman"/>
      <w:sz w:val="20"/>
      <w:szCs w:val="20"/>
    </w:rPr>
  </w:style>
  <w:style w:type="paragraph" w:styleId="716" w:customStyle="1">
    <w:name w:val="Другое"/>
    <w:basedOn w:val="705"/>
    <w:link w:val="712"/>
    <w:rPr>
      <w:rFonts w:ascii="Times New Roman" w:hAnsi="Times New Roman" w:eastAsia="Times New Roman" w:cs="Times New Roman"/>
    </w:rPr>
  </w:style>
  <w:style w:type="character" w:styleId="717">
    <w:name w:val="Hyperlink"/>
    <w:basedOn w:val="706"/>
    <w:uiPriority w:val="99"/>
    <w:semiHidden/>
    <w:unhideWhenUsed/>
    <w:rPr>
      <w:color w:val="0000ff"/>
      <w:u w:val="single"/>
    </w:rPr>
  </w:style>
  <w:style w:type="paragraph" w:styleId="718">
    <w:name w:val="Header"/>
    <w:basedOn w:val="705"/>
    <w:link w:val="7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9" w:customStyle="1">
    <w:name w:val="Верхний колонтитул Знак"/>
    <w:basedOn w:val="706"/>
    <w:link w:val="718"/>
    <w:uiPriority w:val="99"/>
    <w:rPr>
      <w:color w:val="000000"/>
    </w:rPr>
  </w:style>
  <w:style w:type="paragraph" w:styleId="720">
    <w:name w:val="Footer"/>
    <w:basedOn w:val="705"/>
    <w:link w:val="7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1" w:customStyle="1">
    <w:name w:val="Нижний колонтитул Знак"/>
    <w:basedOn w:val="706"/>
    <w:link w:val="720"/>
    <w:uiPriority w:val="99"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emf"/><Relationship Id="rId12" Type="http://schemas.openxmlformats.org/officeDocument/2006/relationships/hyperlink" Target="https://internet.garant.ru/document/redirect/108186/0" TargetMode="External"/><Relationship Id="rId13" Type="http://schemas.openxmlformats.org/officeDocument/2006/relationships/hyperlink" Target="https://internet.garant.ru/document/redirect/108186/0" TargetMode="External"/><Relationship Id="rId14" Type="http://schemas.openxmlformats.org/officeDocument/2006/relationships/hyperlink" Target="https://internet.garant.ru/document/redirect/108186/0" TargetMode="External"/><Relationship Id="rId15" Type="http://schemas.openxmlformats.org/officeDocument/2006/relationships/hyperlink" Target="https://internet.garant.ru/document/redirect/108186/0" TargetMode="External"/><Relationship Id="rId16" Type="http://schemas.openxmlformats.org/officeDocument/2006/relationships/hyperlink" Target="https://internet.garant.ru/document/redirect/108186/0" TargetMode="External"/><Relationship Id="rId17" Type="http://schemas.openxmlformats.org/officeDocument/2006/relationships/hyperlink" Target="https://internet.garant.ru/document/redirect/108186/0" TargetMode="External"/><Relationship Id="rId18" Type="http://schemas.openxmlformats.org/officeDocument/2006/relationships/hyperlink" Target="https://internet.garant.ru/document/redirect/108186/0" TargetMode="External"/><Relationship Id="rId19" Type="http://schemas.openxmlformats.org/officeDocument/2006/relationships/hyperlink" Target="https://internet.garant.ru/document/redirect/108186/0" TargetMode="External"/><Relationship Id="rId20" Type="http://schemas.openxmlformats.org/officeDocument/2006/relationships/hyperlink" Target="https://internet.garant.ru/document/redirect/108186/0" TargetMode="External"/><Relationship Id="rId21" Type="http://schemas.openxmlformats.org/officeDocument/2006/relationships/hyperlink" Target="https://internet.garant.ru/document/redirect/108186/0" TargetMode="External"/><Relationship Id="rId22" Type="http://schemas.openxmlformats.org/officeDocument/2006/relationships/hyperlink" Target="https://internet.garant.ru/document/redirect/108186/0" TargetMode="External"/><Relationship Id="rId23" Type="http://schemas.openxmlformats.org/officeDocument/2006/relationships/hyperlink" Target="https://internet.garant.ru/document/redirect/108186/0" TargetMode="External"/><Relationship Id="rId24" Type="http://schemas.openxmlformats.org/officeDocument/2006/relationships/hyperlink" Target="https://internet.garant.ru/document/redirect/108186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revision>10</cp:revision>
  <dcterms:created xsi:type="dcterms:W3CDTF">2025-12-04T07:48:00Z</dcterms:created>
  <dcterms:modified xsi:type="dcterms:W3CDTF">2026-01-22T07:56:31Z</dcterms:modified>
</cp:coreProperties>
</file>