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227D60DE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1C0A0F">
        <w:rPr>
          <w:rFonts w:eastAsia="Times New Roman" w:cs="Times New Roman"/>
          <w:szCs w:val="28"/>
          <w:lang w:eastAsia="ru-RU"/>
        </w:rPr>
        <w:t>6</w:t>
      </w:r>
      <w:bookmarkStart w:id="0" w:name="_GoBack"/>
      <w:bookmarkEnd w:id="0"/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3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76E061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3"/>
      <w:r w:rsidR="005F2034">
        <w:rPr>
          <w:rFonts w:cs="Times New Roman"/>
          <w:bCs/>
          <w:szCs w:val="28"/>
        </w:rPr>
        <w:t xml:space="preserve"> 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55CA8A65" w:rsidR="005F2034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19F1F328" w:rsidR="00A2661B" w:rsidRDefault="00A2661B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D60F1" w14:textId="77777777" w:rsidR="0066673A" w:rsidRPr="005C5B8F" w:rsidRDefault="0066673A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62FB8F0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601192D2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</w:t>
            </w:r>
            <w:r w:rsidR="001D6231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0BFB614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223C3201" w:rsidR="0066673A" w:rsidRPr="00BC080B" w:rsidRDefault="001D6231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33</w:t>
            </w:r>
            <w:r w:rsidR="00FD3DE7">
              <w:rPr>
                <w:rFonts w:eastAsia="Times New Roman"/>
                <w:szCs w:val="28"/>
                <w:lang w:val="en-US"/>
              </w:rPr>
              <w:t>7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D3DE7">
              <w:rPr>
                <w:rFonts w:eastAsia="Times New Roman"/>
                <w:szCs w:val="28"/>
                <w:lang w:val="en-US"/>
              </w:rPr>
              <w:t>103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D3DE7">
              <w:rPr>
                <w:rFonts w:eastAsia="Times New Roman"/>
                <w:szCs w:val="28"/>
                <w:lang w:val="en-US"/>
              </w:rPr>
              <w:t>3</w:t>
            </w:r>
            <w:r w:rsidR="0066673A"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1D6231" w:rsidRPr="004F0179" w14:paraId="666905C6" w14:textId="77777777" w:rsidTr="001D6231">
        <w:trPr>
          <w:trHeight w:val="20"/>
        </w:trPr>
        <w:tc>
          <w:tcPr>
            <w:tcW w:w="4298" w:type="dxa"/>
            <w:vMerge w:val="restart"/>
          </w:tcPr>
          <w:p w14:paraId="06B506E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69D6899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D6231" w:rsidRPr="004F0179" w14:paraId="3A63A229" w14:textId="77777777" w:rsidTr="001D6231">
        <w:trPr>
          <w:trHeight w:val="20"/>
        </w:trPr>
        <w:tc>
          <w:tcPr>
            <w:tcW w:w="4298" w:type="dxa"/>
            <w:vMerge/>
          </w:tcPr>
          <w:p w14:paraId="660F654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77AE3C2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72465D56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10779CDD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57C97E0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67F5F2F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6177E98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50474938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59D0CD5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D6231" w:rsidRPr="004F0179" w14:paraId="3353C94B" w14:textId="77777777" w:rsidTr="001D6231">
        <w:trPr>
          <w:trHeight w:val="20"/>
        </w:trPr>
        <w:tc>
          <w:tcPr>
            <w:tcW w:w="4298" w:type="dxa"/>
          </w:tcPr>
          <w:p w14:paraId="1B50C0E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04055F1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D1DFB40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623CB6C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4E3D5CD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231F8EC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0CB6417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6FB2B48" w14:textId="77777777" w:rsidR="001D6231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2CB83EF3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E5302D" w:rsidRPr="004F0179" w14:paraId="3776D813" w14:textId="77777777" w:rsidTr="001D6231">
        <w:trPr>
          <w:trHeight w:val="20"/>
        </w:trPr>
        <w:tc>
          <w:tcPr>
            <w:tcW w:w="4298" w:type="dxa"/>
          </w:tcPr>
          <w:p w14:paraId="305E13FF" w14:textId="77777777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1D7A2" w14:textId="108EC025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436 295,00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A2BF5" w14:textId="4DAAA312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484 994,80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52222" w14:textId="53865321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3ACF" w14:textId="43F064C1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E379" w14:textId="18F2458B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95B7" w14:textId="5D73E70F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5184" w14:textId="7C086C2F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0C18" w14:textId="18464CF5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3 337 103,30</w:t>
            </w:r>
          </w:p>
        </w:tc>
      </w:tr>
      <w:tr w:rsidR="00E5302D" w:rsidRPr="004F0179" w14:paraId="127F7E1A" w14:textId="77777777" w:rsidTr="001D6231">
        <w:trPr>
          <w:trHeight w:val="20"/>
        </w:trPr>
        <w:tc>
          <w:tcPr>
            <w:tcW w:w="4298" w:type="dxa"/>
          </w:tcPr>
          <w:p w14:paraId="654C2532" w14:textId="77777777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BD644" w14:textId="7DE26E69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C625" w14:textId="494ED616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5250" w14:textId="4232B6A3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76483" w14:textId="35219273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7B7D3" w14:textId="560BB379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414DE" w14:textId="4E279C3B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190F1" w14:textId="27C96C05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256F9" w14:textId="76FC7EBD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E5302D" w:rsidRPr="004F0179" w14:paraId="2645A914" w14:textId="77777777" w:rsidTr="001D6231">
        <w:trPr>
          <w:trHeight w:val="20"/>
        </w:trPr>
        <w:tc>
          <w:tcPr>
            <w:tcW w:w="4298" w:type="dxa"/>
          </w:tcPr>
          <w:p w14:paraId="401577A6" w14:textId="77777777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lastRenderedPageBreak/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EABB" w14:textId="71543708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D018" w14:textId="39667270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D91F" w14:textId="1A8D9F9C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6125" w14:textId="5ABD7E59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7B9F" w14:textId="7CD56F8B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7388F" w14:textId="60CD4E17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1AFD2" w14:textId="22663A73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2FE61" w14:textId="28B3BEB5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E5302D" w:rsidRPr="004F0179" w14:paraId="6F219EFA" w14:textId="77777777" w:rsidTr="001D6231">
        <w:trPr>
          <w:trHeight w:val="20"/>
        </w:trPr>
        <w:tc>
          <w:tcPr>
            <w:tcW w:w="4298" w:type="dxa"/>
          </w:tcPr>
          <w:p w14:paraId="597435F0" w14:textId="77777777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61193" w14:textId="5058EF29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430 891,20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D28FE" w14:textId="52014B5B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477 291,40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A6406" w14:textId="30652389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2C84" w14:textId="30C4B789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4CB59" w14:textId="78E8A1F6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F7DD" w14:textId="2F8BA50C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6ADA7" w14:textId="20F6D9F0" w:rsidR="00E5302D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CDBD" w14:textId="40D557BA" w:rsidR="00E5302D" w:rsidRPr="004F0179" w:rsidRDefault="00E5302D" w:rsidP="00E5302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3 285 479,10</w:t>
            </w:r>
          </w:p>
        </w:tc>
      </w:tr>
      <w:tr w:rsidR="00E5302D" w:rsidRPr="003F163A" w14:paraId="146157D2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7DCDC6C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01F5" w14:textId="53820FB1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1568" w14:textId="16AE8AD1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04F0" w14:textId="22D5D6D3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099C" w14:textId="766D77C7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75C5" w14:textId="6C1A6DAA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FE13" w14:textId="5F32D466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1451" w14:textId="1491FD57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331A" w14:textId="758A34B0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E5302D" w:rsidRPr="003F163A" w14:paraId="18978925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bottom w:val="single" w:sz="4" w:space="0" w:color="auto"/>
            </w:tcBorders>
            <w:hideMark/>
          </w:tcPr>
          <w:p w14:paraId="7572D1ED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6B9B" w14:textId="6D369A07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F28D" w14:textId="7A26DC82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CB83" w14:textId="03B368F4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3496" w14:textId="3E6EDB2F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9B8" w14:textId="27B58146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FC6" w14:textId="5643AC59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DFEF" w14:textId="5FABF96D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A5BA" w14:textId="26FD1DC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E5302D" w:rsidRPr="003F163A" w14:paraId="78E81F3A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93E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6DD" w14:textId="16DC0BB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5 403,80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D9F" w14:textId="3693E4B8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597" w14:textId="1B0EB0C1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9D3" w14:textId="0E235C38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7CB" w14:textId="6D649025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F33" w14:textId="43EB9923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A2C" w14:textId="0A859A26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A29" w14:textId="7A787300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51 624,20</w:t>
            </w:r>
          </w:p>
        </w:tc>
      </w:tr>
      <w:tr w:rsidR="00E5302D" w:rsidRPr="003F163A" w14:paraId="4D223B5D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97B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5CD" w14:textId="409CF853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586" w14:textId="5816BB65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D88" w14:textId="162DA8F5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AF5" w14:textId="47B2B5BC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698" w14:textId="585DBDE6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AE6" w14:textId="1D4EE584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6B0" w14:textId="69399B13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C5AC" w14:textId="10CA127D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E5302D" w:rsidRPr="003F163A" w14:paraId="4223697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3D92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B43" w14:textId="6E021590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F48" w14:textId="2A5EF6A3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41B" w14:textId="66B62545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FAD" w14:textId="1FC4D3CA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107" w14:textId="098005D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9EF" w14:textId="09D98572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158" w14:textId="6DDC1AC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FFC" w14:textId="28480E46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E5302D" w:rsidRPr="003F163A" w14:paraId="0A2E5FE1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E388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D3AB" w14:textId="29D8961E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F2E1" w14:textId="2C6C43B3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E94" w14:textId="25E240FB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944" w14:textId="7E03201D" w:rsidR="00E5302D" w:rsidRPr="003F163A" w:rsidRDefault="00E5302D" w:rsidP="00E5302D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3B3" w14:textId="2038D7D4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D9A" w14:textId="401FBE32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549" w14:textId="014B772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147" w14:textId="654F745E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E5302D" w:rsidRPr="003F163A" w14:paraId="1E7856E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0179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46A" w14:textId="33DD5E30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EF5" w14:textId="3064EE70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222 056,50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EF0" w14:textId="6D17250B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03F" w14:textId="73A1DB9E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089" w14:textId="158CE16B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D9C" w14:textId="072EA5DC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918" w14:textId="6F2436A2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C3E" w14:textId="44D870CD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1 536 053,70</w:t>
            </w:r>
          </w:p>
        </w:tc>
      </w:tr>
      <w:tr w:rsidR="00E5302D" w:rsidRPr="003F163A" w14:paraId="6B2F419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</w:tcBorders>
            <w:hideMark/>
          </w:tcPr>
          <w:p w14:paraId="09ABA8FB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585D" w14:textId="5BDF55B9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9D96" w14:textId="6EDB14F7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222 056,50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4700" w14:textId="1D608477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BE16" w14:textId="4FD56D72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5231" w14:textId="7A424E5C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519E9" w14:textId="0EEB4B04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E014" w14:textId="4878B182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3057" w14:textId="5069940A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1 536 053,70</w:t>
            </w:r>
          </w:p>
        </w:tc>
      </w:tr>
      <w:tr w:rsidR="00E5302D" w:rsidRPr="003F163A" w14:paraId="1F9B3E1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EF4ECDE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967" w14:textId="140A61BB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C91" w14:textId="4CDB40E1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2F2" w14:textId="5CDBD6B6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9E3" w14:textId="4CA1958E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97D" w14:textId="297E934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9F3" w14:textId="47E1455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B70" w14:textId="313119F5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818F" w14:textId="5DE65D42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E5302D" w:rsidRPr="003F163A" w14:paraId="1A38F3F8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1AABF58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085" w14:textId="066B9EE8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814" w14:textId="6684F52A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F856" w14:textId="3E82B3D1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263" w14:textId="2A3A8569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42D" w14:textId="44FC5B16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810" w14:textId="361F46E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F01" w14:textId="7A75F4B7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9DE4" w14:textId="4123155F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E5302D" w:rsidRPr="003F163A" w14:paraId="1ABEF5D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5F43728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6A3" w14:textId="30921A3D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264" w14:textId="1853A7F4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19 980,20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4BD" w14:textId="45916F53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B68" w14:textId="00FFE91C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8F8" w14:textId="7E9EF1FA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0CF" w14:textId="0CFB9DF6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04F" w14:textId="724A3F81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921B" w14:textId="4EAB27D3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137 389,50</w:t>
            </w:r>
          </w:p>
        </w:tc>
      </w:tr>
      <w:tr w:rsidR="00E5302D" w:rsidRPr="003F163A" w14:paraId="3CA4036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AEB1A3E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923" w14:textId="4CCE0FBF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AAB" w14:textId="433B04BF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19 980,20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2D9" w14:textId="7AAE217C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AEB" w14:textId="26CDC6E5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C47" w14:textId="184E39B6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0A4" w14:textId="44ABA88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D0B" w14:textId="03A2BE82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3431" w14:textId="00800625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137 389,50</w:t>
            </w:r>
          </w:p>
        </w:tc>
      </w:tr>
      <w:tr w:rsidR="00E5302D" w:rsidRPr="003F163A" w14:paraId="723CB474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B2485AC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B35" w14:textId="0687811D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6AF" w14:textId="5F57C467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6AA" w14:textId="0B7C96E4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F58" w14:textId="5CC20A0E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023" w14:textId="33FE117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A48" w14:textId="401C5935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581" w14:textId="31529A6E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AE8A" w14:textId="6704C2EC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sz w:val="20"/>
              </w:rPr>
              <w:t>1 463 203,90</w:t>
            </w:r>
          </w:p>
        </w:tc>
      </w:tr>
      <w:tr w:rsidR="00E5302D" w:rsidRPr="003F163A" w14:paraId="509C4EF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DE3BB8E" w14:textId="77777777" w:rsidR="00E5302D" w:rsidRPr="003F163A" w:rsidRDefault="00E5302D" w:rsidP="00E5302D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57" w14:textId="4D9DE2D3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F96" w14:textId="33A574E9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804" w14:textId="51883571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F9C" w14:textId="02161B39" w:rsidR="00E5302D" w:rsidRPr="003F163A" w:rsidRDefault="00E5302D" w:rsidP="00E5302D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951" w14:textId="346908D1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381" w14:textId="31140218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5DB" w14:textId="2A31FE69" w:rsidR="00E5302D" w:rsidRPr="003F163A" w:rsidRDefault="00E5302D" w:rsidP="00E5302D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2BCE" w14:textId="3DCF8BD9" w:rsidR="00E5302D" w:rsidRPr="003F163A" w:rsidRDefault="00E5302D" w:rsidP="00E5302D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1 463 203,90</w:t>
            </w:r>
          </w:p>
        </w:tc>
      </w:tr>
    </w:tbl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77777777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p w14:paraId="4130D17C" w14:textId="08E150F3" w:rsidR="00244CD0" w:rsidRDefault="00244CD0" w:rsidP="00A46AB9">
      <w:pPr>
        <w:rPr>
          <w:lang w:eastAsia="ru-RU"/>
        </w:rPr>
      </w:pPr>
    </w:p>
    <w:p w14:paraId="46EB3805" w14:textId="48D0E511" w:rsidR="00244CD0" w:rsidRDefault="00244CD0" w:rsidP="00A46AB9">
      <w:pPr>
        <w:rPr>
          <w:lang w:eastAsia="ru-RU"/>
        </w:rPr>
      </w:pPr>
    </w:p>
    <w:p w14:paraId="10F0A16F" w14:textId="77777777" w:rsidR="00244CD0" w:rsidRPr="00BC080B" w:rsidRDefault="00244CD0" w:rsidP="00A46AB9">
      <w:pPr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105E6" w14:textId="77777777" w:rsidR="00604872" w:rsidRDefault="00604872" w:rsidP="003D6CD6">
      <w:pPr>
        <w:spacing w:after="0" w:line="240" w:lineRule="auto"/>
      </w:pPr>
      <w:r>
        <w:separator/>
      </w:r>
    </w:p>
  </w:endnote>
  <w:endnote w:type="continuationSeparator" w:id="0">
    <w:p w14:paraId="54FEB2A8" w14:textId="77777777" w:rsidR="00604872" w:rsidRDefault="0060487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3ED0" w14:textId="77777777" w:rsidR="00604872" w:rsidRDefault="00604872" w:rsidP="003D6CD6">
      <w:pPr>
        <w:spacing w:after="0" w:line="240" w:lineRule="auto"/>
      </w:pPr>
      <w:r>
        <w:separator/>
      </w:r>
    </w:p>
  </w:footnote>
  <w:footnote w:type="continuationSeparator" w:id="0">
    <w:p w14:paraId="01A3B90A" w14:textId="77777777" w:rsidR="00604872" w:rsidRDefault="0060487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B113AE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B113AE"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1C0A0F"/>
    <w:rsid w:val="001D6231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165EF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04872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651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27A8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02D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D3DE7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16</cp:revision>
  <cp:lastPrinted>2024-12-28T06:57:00Z</cp:lastPrinted>
  <dcterms:created xsi:type="dcterms:W3CDTF">2025-05-05T05:45:00Z</dcterms:created>
  <dcterms:modified xsi:type="dcterms:W3CDTF">2026-04-09T06:02:00Z</dcterms:modified>
</cp:coreProperties>
</file>