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EB12E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bookmarkStart w:id="0" w:name="_Hlk17967316"/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АВТОНОМНЫЙ ОКРУГ - ЮГРА</w:t>
      </w:r>
    </w:p>
    <w:p w14:paraId="126001D0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ТЮМЕНСКАЯ ОБЛАСТЬ</w:t>
      </w:r>
    </w:p>
    <w:p w14:paraId="083242B6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ХАНТЫ-МАНСИЙСКИЙ РАЙОН</w:t>
      </w:r>
    </w:p>
    <w:p w14:paraId="0B35F1CC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СЕЛЬСКОЕ ПОСЕЛЕНИЕ СЕЛИЯРОВО</w:t>
      </w:r>
    </w:p>
    <w:p w14:paraId="2F89E2FF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57D619D7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СОВЕТ ДЕПУТАТОВ</w:t>
      </w:r>
    </w:p>
    <w:p w14:paraId="4BAA38B4" w14:textId="77777777" w:rsidR="002871AF" w:rsidRPr="002871AF" w:rsidRDefault="002871AF" w:rsidP="002871AF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  <w:lang w:val="x-none" w:eastAsia="en-US"/>
        </w:rPr>
      </w:pPr>
    </w:p>
    <w:p w14:paraId="3F7E3B64" w14:textId="5C4E24EF" w:rsidR="002871AF" w:rsidRDefault="002871AF" w:rsidP="002871A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71AF">
        <w:rPr>
          <w:rFonts w:ascii="Times New Roman" w:eastAsia="Calibri" w:hAnsi="Times New Roman"/>
          <w:b/>
          <w:sz w:val="28"/>
          <w:szCs w:val="28"/>
          <w:lang w:val="x-none" w:eastAsia="en-US"/>
        </w:rPr>
        <w:t>РЕШЕНИЕ</w:t>
      </w:r>
    </w:p>
    <w:p w14:paraId="29DAF24B" w14:textId="1BCE7867" w:rsidR="00030977" w:rsidRDefault="00884D89" w:rsidP="0003097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A54E0">
        <w:rPr>
          <w:rFonts w:ascii="Times New Roman" w:hAnsi="Times New Roman"/>
          <w:sz w:val="28"/>
          <w:szCs w:val="28"/>
        </w:rPr>
        <w:t>30</w:t>
      </w:r>
      <w:r w:rsidR="00706907">
        <w:rPr>
          <w:rFonts w:ascii="Times New Roman" w:hAnsi="Times New Roman"/>
          <w:sz w:val="28"/>
          <w:szCs w:val="28"/>
        </w:rPr>
        <w:t>.0</w:t>
      </w:r>
      <w:r w:rsidR="00AA54E0">
        <w:rPr>
          <w:rFonts w:ascii="Times New Roman" w:hAnsi="Times New Roman"/>
          <w:sz w:val="28"/>
          <w:szCs w:val="28"/>
        </w:rPr>
        <w:t>9</w:t>
      </w:r>
      <w:r w:rsidR="008F68AE">
        <w:rPr>
          <w:rFonts w:ascii="Times New Roman" w:hAnsi="Times New Roman"/>
          <w:sz w:val="28"/>
          <w:szCs w:val="28"/>
        </w:rPr>
        <w:t>.202</w:t>
      </w:r>
      <w:r w:rsidR="009819EE">
        <w:rPr>
          <w:rFonts w:ascii="Times New Roman" w:hAnsi="Times New Roman"/>
          <w:sz w:val="28"/>
          <w:szCs w:val="28"/>
        </w:rPr>
        <w:t>6</w:t>
      </w:r>
      <w:r w:rsidR="0003097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030977">
        <w:rPr>
          <w:rFonts w:ascii="Times New Roman" w:hAnsi="Times New Roman"/>
          <w:sz w:val="28"/>
          <w:szCs w:val="28"/>
        </w:rPr>
        <w:t xml:space="preserve">№ </w:t>
      </w:r>
      <w:r w:rsidR="00AA54E0">
        <w:rPr>
          <w:rFonts w:ascii="Times New Roman" w:hAnsi="Times New Roman"/>
          <w:sz w:val="28"/>
          <w:szCs w:val="28"/>
        </w:rPr>
        <w:t>141</w:t>
      </w:r>
    </w:p>
    <w:p w14:paraId="13DE10E9" w14:textId="5089054D" w:rsidR="00030977" w:rsidRDefault="002871AF" w:rsidP="002871AF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proofErr w:type="spellStart"/>
      <w:r>
        <w:rPr>
          <w:rFonts w:ascii="Times New Roman" w:hAnsi="Times New Roman"/>
          <w:iCs/>
          <w:sz w:val="28"/>
          <w:szCs w:val="28"/>
        </w:rPr>
        <w:t>с.Селиярово</w:t>
      </w:r>
      <w:proofErr w:type="spellEnd"/>
    </w:p>
    <w:p w14:paraId="346F79A9" w14:textId="77777777" w:rsidR="002871AF" w:rsidRDefault="002871AF" w:rsidP="002871A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3B7FF4" w14:textId="1ABA9FAC" w:rsidR="00030977" w:rsidRDefault="00030977" w:rsidP="009819EE">
      <w:pPr>
        <w:autoSpaceDE w:val="0"/>
        <w:autoSpaceDN w:val="0"/>
        <w:adjustRightInd w:val="0"/>
        <w:spacing w:after="0" w:line="240" w:lineRule="auto"/>
        <w:ind w:right="496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bookmarkEnd w:id="0"/>
      <w:r w:rsidR="00675A81">
        <w:rPr>
          <w:rFonts w:ascii="Times New Roman" w:hAnsi="Times New Roman"/>
          <w:sz w:val="28"/>
          <w:szCs w:val="28"/>
        </w:rPr>
        <w:t xml:space="preserve"> внесении изменений в решение Совета депутатов с</w:t>
      </w:r>
      <w:r w:rsidR="008A049D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2871AF">
        <w:rPr>
          <w:rFonts w:ascii="Times New Roman" w:hAnsi="Times New Roman"/>
          <w:sz w:val="28"/>
          <w:szCs w:val="28"/>
        </w:rPr>
        <w:t>Селиярово</w:t>
      </w:r>
      <w:r w:rsidR="008A049D">
        <w:rPr>
          <w:rFonts w:ascii="Times New Roman" w:hAnsi="Times New Roman"/>
          <w:sz w:val="28"/>
          <w:szCs w:val="28"/>
        </w:rPr>
        <w:t xml:space="preserve"> от </w:t>
      </w:r>
      <w:r w:rsidR="002871AF">
        <w:rPr>
          <w:rFonts w:ascii="Times New Roman" w:hAnsi="Times New Roman"/>
          <w:sz w:val="28"/>
          <w:szCs w:val="28"/>
        </w:rPr>
        <w:t>24</w:t>
      </w:r>
      <w:r w:rsidR="008A049D">
        <w:rPr>
          <w:rFonts w:ascii="Times New Roman" w:hAnsi="Times New Roman"/>
          <w:sz w:val="28"/>
          <w:szCs w:val="28"/>
        </w:rPr>
        <w:t>.</w:t>
      </w:r>
      <w:r w:rsidR="009819EE">
        <w:rPr>
          <w:rFonts w:ascii="Times New Roman" w:hAnsi="Times New Roman"/>
          <w:sz w:val="28"/>
          <w:szCs w:val="28"/>
        </w:rPr>
        <w:t>1</w:t>
      </w:r>
      <w:r w:rsidR="002871AF">
        <w:rPr>
          <w:rFonts w:ascii="Times New Roman" w:hAnsi="Times New Roman"/>
          <w:sz w:val="28"/>
          <w:szCs w:val="28"/>
        </w:rPr>
        <w:t>1</w:t>
      </w:r>
      <w:r w:rsidR="00675A81">
        <w:rPr>
          <w:rFonts w:ascii="Times New Roman" w:hAnsi="Times New Roman"/>
          <w:sz w:val="28"/>
          <w:szCs w:val="28"/>
        </w:rPr>
        <w:t>.20</w:t>
      </w:r>
      <w:r w:rsidR="009819EE">
        <w:rPr>
          <w:rFonts w:ascii="Times New Roman" w:hAnsi="Times New Roman"/>
          <w:sz w:val="28"/>
          <w:szCs w:val="28"/>
        </w:rPr>
        <w:t>25</w:t>
      </w:r>
      <w:r w:rsidR="008A049D">
        <w:rPr>
          <w:rFonts w:ascii="Times New Roman" w:hAnsi="Times New Roman"/>
          <w:sz w:val="28"/>
          <w:szCs w:val="28"/>
        </w:rPr>
        <w:t xml:space="preserve"> № </w:t>
      </w:r>
      <w:r w:rsidR="009819EE">
        <w:rPr>
          <w:rFonts w:ascii="Times New Roman" w:hAnsi="Times New Roman"/>
          <w:sz w:val="28"/>
          <w:szCs w:val="28"/>
        </w:rPr>
        <w:t>1</w:t>
      </w:r>
      <w:r w:rsidR="002871AF">
        <w:rPr>
          <w:rFonts w:ascii="Times New Roman" w:hAnsi="Times New Roman"/>
          <w:sz w:val="28"/>
          <w:szCs w:val="28"/>
        </w:rPr>
        <w:t>05</w:t>
      </w:r>
      <w:r w:rsidR="00675A81">
        <w:rPr>
          <w:rFonts w:ascii="Times New Roman" w:hAnsi="Times New Roman"/>
          <w:sz w:val="28"/>
          <w:szCs w:val="28"/>
        </w:rPr>
        <w:t xml:space="preserve"> «</w:t>
      </w:r>
      <w:r w:rsidR="009819EE" w:rsidRPr="009819EE">
        <w:rPr>
          <w:rFonts w:ascii="Times New Roman" w:hAnsi="Times New Roman"/>
          <w:sz w:val="28"/>
          <w:szCs w:val="28"/>
        </w:rPr>
        <w:t xml:space="preserve">Об утверждении Положения о муниципальном </w:t>
      </w:r>
      <w:r w:rsidR="00B6394A">
        <w:rPr>
          <w:rFonts w:ascii="Times New Roman" w:hAnsi="Times New Roman"/>
          <w:sz w:val="28"/>
          <w:szCs w:val="28"/>
        </w:rPr>
        <w:t>земельном</w:t>
      </w:r>
      <w:r w:rsidR="009819EE" w:rsidRPr="009819EE">
        <w:rPr>
          <w:rFonts w:ascii="Times New Roman" w:hAnsi="Times New Roman"/>
          <w:sz w:val="28"/>
          <w:szCs w:val="28"/>
        </w:rPr>
        <w:t xml:space="preserve"> контроле на территории сельского поселения </w:t>
      </w:r>
      <w:r w:rsidR="002871AF">
        <w:rPr>
          <w:rFonts w:ascii="Times New Roman" w:hAnsi="Times New Roman"/>
          <w:sz w:val="28"/>
          <w:szCs w:val="28"/>
        </w:rPr>
        <w:t>Селиярово</w:t>
      </w:r>
      <w:r w:rsidR="00675A81">
        <w:rPr>
          <w:rFonts w:ascii="Times New Roman" w:hAnsi="Times New Roman"/>
          <w:sz w:val="28"/>
          <w:szCs w:val="28"/>
        </w:rPr>
        <w:t>»</w:t>
      </w:r>
    </w:p>
    <w:p w14:paraId="0AA88E28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25830" w14:textId="77777777" w:rsidR="00030977" w:rsidRDefault="00030977" w:rsidP="000309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DE2A76" w14:textId="73BD71C2" w:rsidR="00675A81" w:rsidRPr="00675A81" w:rsidRDefault="00675A81" w:rsidP="00675A81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</w:t>
      </w:r>
      <w:r w:rsidR="00B6394A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B34528">
        <w:rPr>
          <w:rFonts w:ascii="Times New Roman" w:hAnsi="Times New Roman"/>
          <w:sz w:val="28"/>
          <w:szCs w:val="28"/>
        </w:rPr>
        <w:t>от 29.12.2025 № 567-ФЗ «О внесении изменений в Федеральный закон «О государственном контроле (надзоре) и муниципальном контроле в Российской Федерации»»,</w:t>
      </w:r>
      <w:r>
        <w:rPr>
          <w:rFonts w:ascii="Times New Roman" w:hAnsi="Times New Roman"/>
          <w:sz w:val="28"/>
          <w:szCs w:val="28"/>
        </w:rPr>
        <w:t xml:space="preserve"> руководствуясь </w:t>
      </w:r>
      <w:r w:rsidRPr="00675A81">
        <w:rPr>
          <w:rFonts w:ascii="Times New Roman" w:hAnsi="Times New Roman"/>
          <w:sz w:val="28"/>
          <w:szCs w:val="28"/>
        </w:rPr>
        <w:t xml:space="preserve">Уставом сельского поселения </w:t>
      </w:r>
      <w:r w:rsidR="002871AF">
        <w:rPr>
          <w:rFonts w:ascii="Times New Roman" w:hAnsi="Times New Roman"/>
          <w:sz w:val="28"/>
          <w:szCs w:val="28"/>
        </w:rPr>
        <w:t>Селиярово</w:t>
      </w:r>
      <w:r w:rsidRPr="00675A81">
        <w:rPr>
          <w:rFonts w:ascii="Times New Roman" w:hAnsi="Times New Roman"/>
          <w:sz w:val="28"/>
          <w:szCs w:val="28"/>
        </w:rPr>
        <w:t>,</w:t>
      </w:r>
    </w:p>
    <w:p w14:paraId="380FE8FA" w14:textId="77777777" w:rsidR="00030977" w:rsidRPr="00BD32EB" w:rsidRDefault="00030977" w:rsidP="00030977">
      <w:pPr>
        <w:tabs>
          <w:tab w:val="lef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5699F41" w14:textId="03C8CCD2" w:rsidR="00030977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Совет депутатов сельского поселения </w:t>
      </w:r>
      <w:r w:rsidR="002871AF">
        <w:rPr>
          <w:rFonts w:ascii="Times New Roman" w:hAnsi="Times New Roman"/>
          <w:b/>
          <w:sz w:val="28"/>
          <w:szCs w:val="28"/>
        </w:rPr>
        <w:t>Селиярово</w:t>
      </w:r>
    </w:p>
    <w:p w14:paraId="500F51AF" w14:textId="77777777" w:rsidR="00030977" w:rsidRPr="0059253D" w:rsidRDefault="00030977" w:rsidP="0003097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14:paraId="76BD94F1" w14:textId="77777777" w:rsidR="00030977" w:rsidRDefault="00030977" w:rsidP="00A35E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1F610C7" w14:textId="7FCC607F" w:rsidR="00744376" w:rsidRPr="00744376" w:rsidRDefault="00030977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1.</w:t>
      </w:r>
      <w:r w:rsidR="00675A81">
        <w:rPr>
          <w:rFonts w:ascii="Times New Roman" w:hAnsi="Times New Roman"/>
          <w:bCs/>
          <w:sz w:val="28"/>
          <w:szCs w:val="28"/>
        </w:rPr>
        <w:t xml:space="preserve"> </w:t>
      </w:r>
      <w:bookmarkStart w:id="1" w:name="Par25"/>
      <w:bookmarkEnd w:id="1"/>
      <w:r w:rsidR="00744376" w:rsidRPr="00744376">
        <w:rPr>
          <w:rFonts w:ascii="Times New Roman" w:hAnsi="Times New Roman"/>
          <w:bCs/>
          <w:sz w:val="28"/>
          <w:szCs w:val="28"/>
        </w:rPr>
        <w:t>1.</w:t>
      </w:r>
      <w:r w:rsidR="00744376" w:rsidRPr="00744376">
        <w:rPr>
          <w:rFonts w:ascii="Times New Roman" w:hAnsi="Times New Roman"/>
          <w:bCs/>
          <w:sz w:val="28"/>
          <w:szCs w:val="28"/>
        </w:rPr>
        <w:tab/>
        <w:t xml:space="preserve">Внести в приложение к решению Совета депутатов сельского поселения </w:t>
      </w:r>
      <w:r w:rsidR="00744376">
        <w:rPr>
          <w:rFonts w:ascii="Times New Roman" w:hAnsi="Times New Roman"/>
          <w:bCs/>
          <w:sz w:val="28"/>
          <w:szCs w:val="28"/>
        </w:rPr>
        <w:t>Селиярово</w:t>
      </w:r>
      <w:r w:rsidR="00744376" w:rsidRPr="00744376">
        <w:rPr>
          <w:rFonts w:ascii="Times New Roman" w:hAnsi="Times New Roman"/>
          <w:bCs/>
          <w:sz w:val="28"/>
          <w:szCs w:val="28"/>
        </w:rPr>
        <w:t xml:space="preserve"> от 24.11.2025 № </w:t>
      </w:r>
      <w:r w:rsidR="00744376">
        <w:rPr>
          <w:rFonts w:ascii="Times New Roman" w:hAnsi="Times New Roman"/>
          <w:bCs/>
          <w:sz w:val="28"/>
          <w:szCs w:val="28"/>
        </w:rPr>
        <w:t>105</w:t>
      </w:r>
      <w:r w:rsidR="00744376" w:rsidRPr="00744376">
        <w:rPr>
          <w:rFonts w:ascii="Times New Roman" w:hAnsi="Times New Roman"/>
          <w:bCs/>
          <w:sz w:val="28"/>
          <w:szCs w:val="28"/>
        </w:rPr>
        <w:t xml:space="preserve"> «Об утверждении Положения о муниципальном земельном контроле на территории сельского поселения </w:t>
      </w:r>
      <w:r w:rsidR="00744376">
        <w:rPr>
          <w:rFonts w:ascii="Times New Roman" w:hAnsi="Times New Roman"/>
          <w:bCs/>
          <w:sz w:val="28"/>
          <w:szCs w:val="28"/>
        </w:rPr>
        <w:t>Селиярово</w:t>
      </w:r>
      <w:r w:rsidR="00744376" w:rsidRPr="00744376">
        <w:rPr>
          <w:rFonts w:ascii="Times New Roman" w:hAnsi="Times New Roman"/>
          <w:bCs/>
          <w:sz w:val="28"/>
          <w:szCs w:val="28"/>
        </w:rPr>
        <w:t xml:space="preserve">» следующие изменения: </w:t>
      </w:r>
    </w:p>
    <w:p w14:paraId="37EE8AD2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1.1.</w:t>
      </w:r>
      <w:r w:rsidRPr="00744376">
        <w:rPr>
          <w:rFonts w:ascii="Times New Roman" w:hAnsi="Times New Roman"/>
          <w:bCs/>
          <w:sz w:val="28"/>
          <w:szCs w:val="28"/>
        </w:rPr>
        <w:tab/>
        <w:t>Раздел 1 дополнить пунктом 1.10 следующего содержания:</w:t>
      </w:r>
    </w:p>
    <w:p w14:paraId="55505CAD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«1.10.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(далее – ЕРКНМ) и их подписания. Для оформления указанных решений, актов и предписаний отдельное формирование документа не требуется.»;</w:t>
      </w:r>
    </w:p>
    <w:p w14:paraId="07003025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1.2. Раздел 2:</w:t>
      </w:r>
    </w:p>
    <w:p w14:paraId="2D43A002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а) пункт 2.12 изложить в следующей редакции:</w:t>
      </w:r>
    </w:p>
    <w:p w14:paraId="165E38C8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lastRenderedPageBreak/>
        <w:t xml:space="preserve">«2.12. Отнесение объектов контроля к определенной категории риска, в том числе изменение ранее присвоенной объекту контроля категории риска, осуществляется путем внесения соответствующих сведений в подсистему федеральной государственной информационной системы «Федеральный реестр государственных и муниципальных услуг (функций)» «Единый реестр видов федерального государственного контроля (надзора), регионального государственного контроля (надзора), муниципального контроля» (далее – ЕРВК) в соответствии с критериями риска согласно приложению 3 к Положению.»; </w:t>
      </w:r>
    </w:p>
    <w:p w14:paraId="37B51225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б) дополнить пунктом 2.13. следующего содержания:</w:t>
      </w:r>
    </w:p>
    <w:p w14:paraId="3885E5D7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«2.13. Объект контроля считается отнесенным к одной из категорий риска после внесения сведений в ЕРВК.»;</w:t>
      </w:r>
    </w:p>
    <w:p w14:paraId="03CF3F21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1.3. Раздел 3:</w:t>
      </w:r>
    </w:p>
    <w:p w14:paraId="40B5762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а) третий абзац пункта 3.6 изложить в следующей редакции:</w:t>
      </w:r>
    </w:p>
    <w:p w14:paraId="0C83AE76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«Объявленное предостережение контрольный орган размещает в момент вынесения в ЕРКНМ и в течение 3 рабочих дней с даты объявления направляет в адрес контролируемого лица через единый портал государственных и муниципальных услуг (функций), а также по адресу электронной почты или почтовым отправлением (в случае направления на бумажном носителе).»;</w:t>
      </w:r>
    </w:p>
    <w:p w14:paraId="32C89FFD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б) в пункте 3.7:</w:t>
      </w:r>
    </w:p>
    <w:p w14:paraId="55AE6C73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- абзац первый изложить в следующей редакции:</w:t>
      </w:r>
    </w:p>
    <w:p w14:paraId="1F8352D1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«Консультирование контролируемых лиц и их представителей осуществляется инспектором по обращениям контролируемых лиц и их представителей, направленных в том числе посредством единого портала государственных и муниципальных услуг (функций), по вопросам, связанным с организацией и осуществлением муниципального жилищного контроля.»;</w:t>
      </w:r>
    </w:p>
    <w:p w14:paraId="0C0CEA01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- абзац третий изложить в следующей редакции:</w:t>
      </w:r>
    </w:p>
    <w:p w14:paraId="6679E62D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«Консультирование может осуществляться инспектором по телефону, посредством видео-конференц-связи, использования мобильного приложения «Инспектор», на личном приеме, либо в ходе проведения профилактических мероприятий, контрольных мероприятий.»;</w:t>
      </w:r>
    </w:p>
    <w:p w14:paraId="6D8046E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в) пункт 3.8. изложить в следующей редакции:</w:t>
      </w:r>
    </w:p>
    <w:p w14:paraId="6D2DF897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«3.8. Профилактический визит проводится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 </w:t>
      </w:r>
    </w:p>
    <w:p w14:paraId="17A6BADC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</w:t>
      </w:r>
      <w:r w:rsidRPr="00744376">
        <w:rPr>
          <w:rFonts w:ascii="Times New Roman" w:hAnsi="Times New Roman"/>
          <w:bCs/>
          <w:sz w:val="28"/>
          <w:szCs w:val="28"/>
        </w:rPr>
        <w:lastRenderedPageBreak/>
        <w:t>проводит оценку уровня соблюдения контролируемым лицом обязательных требований.</w:t>
      </w:r>
    </w:p>
    <w:p w14:paraId="725B4317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Профилактический визит проводится по инициативе контрольного органа (обязательный профилактический визит) или по инициативе контролируемого лица. </w:t>
      </w:r>
    </w:p>
    <w:p w14:paraId="3229B9E6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Обязательный профилактический визит проводится в порядке </w:t>
      </w:r>
    </w:p>
    <w:p w14:paraId="05CD7FC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и случаях, предусмотренных статьями 25, 52.1 Федерального закона </w:t>
      </w:r>
    </w:p>
    <w:p w14:paraId="37ACADB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№ 248-ФЗ.</w:t>
      </w:r>
    </w:p>
    <w:p w14:paraId="76923CCB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№ 248-ФЗ.</w:t>
      </w:r>
    </w:p>
    <w:p w14:paraId="633331BA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По окончании проведения обязательного профилактического визита инспектором составляется акт о проведении обязательного профилактического визита в порядке, предусмотренном статьей 90 Федерального закона № 248-ФЗ.</w:t>
      </w:r>
    </w:p>
    <w:p w14:paraId="3E07A1A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Предписание об устранении выявленных нарушений обязательных требований выдается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статьей 90.1 Федерального закона № 248-ФЗ. </w:t>
      </w:r>
    </w:p>
    <w:p w14:paraId="45D28CB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Профилактический визит по инициативе контролируемого лица проводится в соответствии с требованиями статьи 52.2 Федерального закона № 248-ФЗ.»;</w:t>
      </w:r>
    </w:p>
    <w:p w14:paraId="396E2A84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1.4. Раздел 4:</w:t>
      </w:r>
    </w:p>
    <w:p w14:paraId="5261ED75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а) пункт 4.10 изложить в следующей редакции:</w:t>
      </w:r>
    </w:p>
    <w:p w14:paraId="11DF83BD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«4.10. Документарная проверка проводится в порядке и в сроки, установленные статьей 72 Федерального закона № 248-ФЗ.</w:t>
      </w:r>
    </w:p>
    <w:p w14:paraId="46CDA228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Если имеющихся в распоряжении у контрольного органа сведений и документов недостаточно, то в ходе документарной проверки могут совершаться следующие контрольные действия:</w:t>
      </w:r>
    </w:p>
    <w:p w14:paraId="59D2B0B8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1) получение письменных объяснений;</w:t>
      </w:r>
    </w:p>
    <w:p w14:paraId="02D27B08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2) истребование документов;</w:t>
      </w:r>
    </w:p>
    <w:p w14:paraId="5FC6A2D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3) экспертиза.</w:t>
      </w:r>
    </w:p>
    <w:p w14:paraId="62630AF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В ходе документарной проверки документы могут представляться контролируемыми лицами с использованием единого портала государственных и муниципальных услуг (функций) или мобильного приложения «Инспектор».</w:t>
      </w:r>
    </w:p>
    <w:p w14:paraId="0CA9BC25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В целях получения документов контрольный орган в рамках проведения документарной проверки может использовать единый портал государственных и муниципальных услуг (функций) или мобильное приложение «Инспектор».</w:t>
      </w:r>
    </w:p>
    <w:p w14:paraId="66A3934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Внеплановая документарная проверка может проводиться только по согласованию с органами прокуратуры, за исключением случая ее проведения </w:t>
      </w:r>
      <w:r w:rsidRPr="00744376">
        <w:rPr>
          <w:rFonts w:ascii="Times New Roman" w:hAnsi="Times New Roman"/>
          <w:bCs/>
          <w:sz w:val="28"/>
          <w:szCs w:val="28"/>
        </w:rPr>
        <w:lastRenderedPageBreak/>
        <w:t>в соответствии с пунктами 3, 4, 6, 8 части 1 статьи 57 Федерального закона № 248-ФЗ.»;</w:t>
      </w:r>
    </w:p>
    <w:p w14:paraId="2C571C8F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б) пункт 4.11 изложить в следующей редакции:</w:t>
      </w:r>
    </w:p>
    <w:p w14:paraId="24EF7224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«4.11. Выездная проверка проводится в порядке, установленном статьей 73 Федерального закона № 248-ФЗ.</w:t>
      </w:r>
    </w:p>
    <w:p w14:paraId="10FAA0E7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В соответствии с частью 7 статьей 73 Федерального закона № 248-ФЗ 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микропредприятия, за исключением выездной проверки, основанием для проведения которой является пункт 6 части 1 статьи 57 Федерального закона № 248-ФЗ и которая для микропредприятия не может продолжаться более сорока часов. </w:t>
      </w:r>
    </w:p>
    <w:p w14:paraId="79FB7EE1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14:paraId="403F6A16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Срок проведения выездных проверок и срок взаимодействия с субъектами малого предпринимательства в ходе проведения выездных проверок, указанный в абзаце втором настоящего пункта, распространяется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пунктом 2 части 1.1 статьи 4 Федерального закона от 24 июля 2007 года № 209-ФЗ «О развитии малого и среднего предпринимательства в Российской Федерации» для малых предприятий, а в части проведения выездных проверок микропредприятий – на социально ориентированные некоммерческие организации, включенные в соответствующий реестр, среднесписочная численность работников которых за предшествующий календарный год не превышает предельного значения, установленного для микропредприятий. Действие положений настоящего абзаца распространяется на социально ориентированные некоммерческие организации, включенные в реестр социально ориентированных некоммерческих организаций, сформированный в соответствии с подпунктом 19.6 пункта 1 статьи 265 Налогового кодекса Российской Федерации. </w:t>
      </w:r>
    </w:p>
    <w:p w14:paraId="5BD59AA4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В ходе выездной проверки могут совершаться следующие контрольные действия:</w:t>
      </w:r>
    </w:p>
    <w:p w14:paraId="2C9A7ED0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1)</w:t>
      </w:r>
      <w:r w:rsidRPr="00744376">
        <w:rPr>
          <w:rFonts w:ascii="Times New Roman" w:hAnsi="Times New Roman"/>
          <w:bCs/>
          <w:sz w:val="28"/>
          <w:szCs w:val="28"/>
        </w:rPr>
        <w:tab/>
        <w:t>осмотр;</w:t>
      </w:r>
    </w:p>
    <w:p w14:paraId="3DFFC75B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2)</w:t>
      </w:r>
      <w:r w:rsidRPr="00744376">
        <w:rPr>
          <w:rFonts w:ascii="Times New Roman" w:hAnsi="Times New Roman"/>
          <w:bCs/>
          <w:sz w:val="28"/>
          <w:szCs w:val="28"/>
        </w:rPr>
        <w:tab/>
        <w:t>досмотр;</w:t>
      </w:r>
    </w:p>
    <w:p w14:paraId="188FC713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3) получение письменных объяснений;</w:t>
      </w:r>
    </w:p>
    <w:p w14:paraId="5ED4F5A6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4) истребование документов;</w:t>
      </w:r>
    </w:p>
    <w:p w14:paraId="2AE0C1AA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5) инструментальное обследование.</w:t>
      </w:r>
    </w:p>
    <w:p w14:paraId="0B7260D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lastRenderedPageBreak/>
        <w:t>Внеплановая выездная проверка может проводиться только по согласованию с органами прокуратуры, за исключением случаев ее проведения в соответствии с пунктами 3, 4, 6, 8 части 1, частью 3 статьи 57 и частью 12 и 12.1 статьи 66 Федерального закона № 248-ФЗ.»;</w:t>
      </w:r>
    </w:p>
    <w:p w14:paraId="3DFACA6A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1.5. пункт 5.6. раздела 5 изложить в следующей редакции:</w:t>
      </w:r>
    </w:p>
    <w:p w14:paraId="59340CF6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>«5.6. 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«Инспектор»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 – 9 части 1 статьи 65 Федерального закона № 248-ФЗ, или в иных случаях, контрольный орган направляет акт контролируемому лицу в порядке, установленном статьей 21 Федерального закона № 248-ФЗ.».</w:t>
      </w:r>
    </w:p>
    <w:p w14:paraId="3CE22C02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14:paraId="4BBF1F1E" w14:textId="77777777" w:rsidR="00744376" w:rsidRPr="00744376" w:rsidRDefault="00744376" w:rsidP="00744376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744376">
        <w:rPr>
          <w:rFonts w:ascii="Times New Roman" w:hAnsi="Times New Roman"/>
          <w:bCs/>
          <w:sz w:val="28"/>
          <w:szCs w:val="28"/>
        </w:rPr>
        <w:t xml:space="preserve"> </w:t>
      </w:r>
    </w:p>
    <w:p w14:paraId="1A1B4E58" w14:textId="7E19AC4B" w:rsidR="00030977" w:rsidRPr="001518E6" w:rsidRDefault="00744376" w:rsidP="00744376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744376">
        <w:rPr>
          <w:rFonts w:ascii="Times New Roman" w:hAnsi="Times New Roman"/>
          <w:bCs/>
          <w:sz w:val="28"/>
          <w:szCs w:val="28"/>
        </w:rPr>
        <w:tab/>
        <w:t>2. Настоящее решение вступает в силу после его официального опубликования.</w:t>
      </w:r>
    </w:p>
    <w:p w14:paraId="24994B81" w14:textId="77777777" w:rsidR="00B34528" w:rsidRDefault="00B34528" w:rsidP="00030977">
      <w:pPr>
        <w:spacing w:after="0" w:line="240" w:lineRule="auto"/>
        <w:contextualSpacing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14:paraId="38A18212" w14:textId="77777777" w:rsidR="002871AF" w:rsidRPr="002871AF" w:rsidRDefault="002871AF" w:rsidP="002871A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71AF">
        <w:rPr>
          <w:rFonts w:ascii="Times New Roman" w:hAnsi="Times New Roman"/>
          <w:sz w:val="28"/>
          <w:szCs w:val="28"/>
        </w:rPr>
        <w:t>Глава сельского поселения</w:t>
      </w:r>
    </w:p>
    <w:p w14:paraId="2707B8F8" w14:textId="77777777" w:rsidR="002871AF" w:rsidRPr="002871AF" w:rsidRDefault="002871AF" w:rsidP="002871A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71AF">
        <w:rPr>
          <w:rFonts w:ascii="Times New Roman" w:hAnsi="Times New Roman"/>
          <w:sz w:val="28"/>
          <w:szCs w:val="28"/>
        </w:rPr>
        <w:t>председатель Совета депутатов</w:t>
      </w:r>
    </w:p>
    <w:p w14:paraId="6B26D7FE" w14:textId="6E4FC00F" w:rsidR="00CC2A0B" w:rsidRPr="002871AF" w:rsidRDefault="002871AF" w:rsidP="002871AF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871AF">
        <w:rPr>
          <w:rFonts w:ascii="Times New Roman" w:hAnsi="Times New Roman"/>
          <w:sz w:val="28"/>
          <w:szCs w:val="28"/>
        </w:rPr>
        <w:t>сельского поселения Селиярово                                               Маркова С.В.</w:t>
      </w:r>
    </w:p>
    <w:sectPr w:rsidR="00CC2A0B" w:rsidRPr="002871AF" w:rsidSect="00F61366">
      <w:pgSz w:w="11906" w:h="16838"/>
      <w:pgMar w:top="1134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F43"/>
    <w:rsid w:val="00030977"/>
    <w:rsid w:val="00092FF5"/>
    <w:rsid w:val="000A2F51"/>
    <w:rsid w:val="00152719"/>
    <w:rsid w:val="00175B2F"/>
    <w:rsid w:val="002121EC"/>
    <w:rsid w:val="002647E9"/>
    <w:rsid w:val="002871AF"/>
    <w:rsid w:val="00294C63"/>
    <w:rsid w:val="0030440F"/>
    <w:rsid w:val="005A4A57"/>
    <w:rsid w:val="005E2724"/>
    <w:rsid w:val="00675A81"/>
    <w:rsid w:val="00706907"/>
    <w:rsid w:val="00744376"/>
    <w:rsid w:val="00884D89"/>
    <w:rsid w:val="008A049D"/>
    <w:rsid w:val="008F68AE"/>
    <w:rsid w:val="009819EE"/>
    <w:rsid w:val="009D7E77"/>
    <w:rsid w:val="009F2014"/>
    <w:rsid w:val="00A35ECD"/>
    <w:rsid w:val="00A73F43"/>
    <w:rsid w:val="00AA54E0"/>
    <w:rsid w:val="00B34528"/>
    <w:rsid w:val="00B6394A"/>
    <w:rsid w:val="00BB49E5"/>
    <w:rsid w:val="00BC2FA2"/>
    <w:rsid w:val="00CC2A0B"/>
    <w:rsid w:val="00D60507"/>
    <w:rsid w:val="00D66FA4"/>
    <w:rsid w:val="00DA0705"/>
    <w:rsid w:val="00E82EB1"/>
    <w:rsid w:val="00F61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B428"/>
  <w15:chartTrackingRefBased/>
  <w15:docId w15:val="{D2A85B61-1F5C-4CA3-877A-8858030EA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97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F20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1524</Words>
  <Characters>8693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</cp:lastModifiedBy>
  <cp:revision>2</cp:revision>
  <cp:lastPrinted>2026-05-29T06:15:00Z</cp:lastPrinted>
  <dcterms:created xsi:type="dcterms:W3CDTF">2026-10-01T09:24:00Z</dcterms:created>
  <dcterms:modified xsi:type="dcterms:W3CDTF">2026-10-01T09:24:00Z</dcterms:modified>
</cp:coreProperties>
</file>