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АВТОНОМНЫЙ ОКРУГ- ЮГРА</w:t>
      </w:r>
    </w:p>
    <w:p w14:paraId="00000002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ТЮМЕНСКАЯ ОБЛАСТЬ</w:t>
      </w:r>
    </w:p>
    <w:p w14:paraId="00000003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ХАНТЫ-МАНСИЙСКИЙ РАЙОН</w:t>
      </w:r>
    </w:p>
    <w:p w14:paraId="00000004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СЕЛЬСКОЕ ПОСЕЛЕНИЕ </w:t>
      </w:r>
      <w:r>
        <w:rPr>
          <w:b/>
          <w:bCs/>
          <w:spacing w:val="-11"/>
          <w:sz w:val="28"/>
          <w:szCs w:val="28"/>
        </w:rPr>
        <w:t>СЕЛИЯРОВО</w:t>
      </w:r>
    </w:p>
    <w:p w14:paraId="00000005">
      <w:pPr>
        <w:spacing w:line="276" w:lineRule="auto"/>
        <w:jc w:val="center"/>
        <w:rPr>
          <w:b/>
          <w:bCs/>
          <w:spacing w:val="-11"/>
          <w:sz w:val="28"/>
          <w:szCs w:val="28"/>
        </w:rPr>
      </w:pPr>
    </w:p>
    <w:p w14:paraId="00000006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СОВЕТ ДЕПУТАТОВ</w:t>
      </w:r>
    </w:p>
    <w:p w14:paraId="00000007">
      <w:pPr>
        <w:spacing w:line="276" w:lineRule="auto"/>
        <w:jc w:val="center"/>
        <w:rPr>
          <w:b/>
          <w:bCs/>
          <w:spacing w:val="-12"/>
          <w:sz w:val="28"/>
          <w:szCs w:val="28"/>
        </w:rPr>
      </w:pPr>
    </w:p>
    <w:p w14:paraId="00000008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РЕШЕНИЕ</w:t>
      </w:r>
    </w:p>
    <w:p w14:paraId="00000009">
      <w:pPr>
        <w:spacing w:line="276" w:lineRule="auto"/>
        <w:jc w:val="both"/>
        <w:rPr>
          <w:sz w:val="28"/>
          <w:szCs w:val="28"/>
        </w:rPr>
      </w:pPr>
    </w:p>
    <w:p w14:paraId="0000000A">
      <w:pPr>
        <w:spacing w:line="276" w:lineRule="auto"/>
        <w:jc w:val="both"/>
        <w:rPr>
          <w:sz w:val="28"/>
          <w:szCs w:val="28"/>
        </w:rPr>
      </w:pPr>
    </w:p>
    <w:p w14:paraId="0000000B">
      <w:pPr>
        <w:spacing w:line="276" w:lineRule="auto"/>
        <w:jc w:val="both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от 24</w:t>
      </w:r>
      <w:r>
        <w:rPr>
          <w:b w:val="off"/>
          <w:bCs w:val="off"/>
          <w:sz w:val="28"/>
          <w:szCs w:val="28"/>
        </w:rPr>
        <w:t>.11</w:t>
      </w:r>
      <w:r>
        <w:rPr>
          <w:b w:val="off"/>
          <w:bCs w:val="off"/>
          <w:sz w:val="28"/>
          <w:szCs w:val="28"/>
        </w:rPr>
        <w:t>.2025</w:t>
      </w:r>
      <w:r>
        <w:rPr>
          <w:b w:val="off"/>
          <w:bCs w:val="off"/>
          <w:sz w:val="28"/>
          <w:szCs w:val="28"/>
        </w:rPr>
        <w:t xml:space="preserve">                                                                                                № 105</w:t>
      </w:r>
    </w:p>
    <w:p w14:paraId="0000000C">
      <w:pPr>
        <w:spacing w:line="276" w:lineRule="auto"/>
        <w:jc w:val="both"/>
        <w:rPr>
          <w:b w:val="off"/>
          <w:bCs w:val="off"/>
          <w:sz w:val="28"/>
          <w:szCs w:val="28"/>
        </w:rPr>
      </w:pPr>
    </w:p>
    <w:p w14:paraId="0000000D">
      <w:pPr>
        <w:tabs>
          <w:tab w:val="left" w:pos="9165"/>
        </w:tabs>
        <w:spacing w:line="276" w:lineRule="auto"/>
        <w:contextualSpacing w:val="on"/>
        <w:jc w:val="both"/>
        <w:rPr>
          <w:sz w:val="28"/>
          <w:szCs w:val="28"/>
          <w:lang w:eastAsia="ar-SA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4365"/>
      </w:tblGrid>
      <w:tr>
        <w:trPr/>
        <w:tc>
          <w:tcPr>
            <w:cnfStyle w:val="101000000000"/>
            <w:tcW w:w="4365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  <w:shd w:val="clear" w:color="auto" w:fill="auto"/>
          </w:tcPr>
          <w:p w14:paraId="0000000E">
            <w:pPr>
              <w:tabs>
                <w:tab w:val="left" w:pos="9165"/>
              </w:tabs>
              <w:spacing w:line="276" w:lineRule="auto"/>
              <w:contextualSpacing w:val="on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 утверждении Положения о муниципальном </w:t>
            </w:r>
            <w:r>
              <w:rPr>
                <w:sz w:val="28"/>
                <w:szCs w:val="28"/>
                <w:lang w:eastAsia="ar-SA"/>
              </w:rPr>
              <w:t>земельном</w:t>
            </w:r>
            <w:r>
              <w:rPr>
                <w:sz w:val="28"/>
                <w:szCs w:val="28"/>
                <w:lang w:eastAsia="ar-SA"/>
              </w:rPr>
              <w:t xml:space="preserve"> контроле </w:t>
            </w:r>
            <w:r>
              <w:rPr>
                <w:sz w:val="28"/>
                <w:szCs w:val="28"/>
              </w:rPr>
              <w:t xml:space="preserve">на территории сельского поселения </w:t>
            </w:r>
            <w:r>
              <w:rPr>
                <w:sz w:val="28"/>
                <w:szCs w:val="28"/>
              </w:rPr>
              <w:t>Селиярово</w:t>
            </w:r>
          </w:p>
        </w:tc>
      </w:tr>
    </w:tbl>
    <w:p w14:paraId="0000000F">
      <w:pPr>
        <w:tabs>
          <w:tab w:val="left" w:pos="9165"/>
        </w:tabs>
        <w:spacing w:line="276" w:lineRule="auto"/>
        <w:contextualSpacing w:val="on"/>
        <w:jc w:val="both"/>
        <w:rPr>
          <w:sz w:val="28"/>
          <w:szCs w:val="28"/>
          <w:lang w:eastAsia="ar-SA"/>
        </w:rPr>
      </w:pPr>
    </w:p>
    <w:p w14:paraId="00000010">
      <w:pPr>
        <w:pStyle w:val="Normal(Web)"/>
        <w:spacing w:before="0" w:after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Земельным кодексом Российской Федерации, </w:t>
      </w:r>
      <w:r>
        <w:rPr>
          <w:color w:val="000000"/>
          <w:sz w:val="28"/>
          <w:szCs w:val="28"/>
        </w:rPr>
        <w:t>Федеральным закон</w:t>
      </w:r>
      <w:r>
        <w:rPr>
          <w:color w:val="000000"/>
          <w:sz w:val="28"/>
          <w:szCs w:val="28"/>
        </w:rPr>
        <w:t>ом</w:t>
      </w:r>
      <w:r>
        <w:rPr>
          <w:color w:val="000000"/>
          <w:sz w:val="28"/>
          <w:szCs w:val="28"/>
        </w:rPr>
        <w:t xml:space="preserve"> от 31.07.2020 №248-ФЗ «О государственном контроле (надзоре) и муниципальном контроле в Российской Федерации», </w:t>
      </w:r>
      <w:r>
        <w:rPr>
          <w:sz w:val="28"/>
        </w:rPr>
        <w:t>Законом Ханты-Мансийского автономного округа-Югры от 26.09.2014 № 78-оз «Об отдельных вопросах организации местного самоуправления в Ханты-Мансийском автономном округе-Югре»</w:t>
      </w:r>
      <w:r>
        <w:rPr>
          <w:color w:val="000000"/>
          <w:sz w:val="28"/>
          <w:szCs w:val="28"/>
        </w:rPr>
        <w:t xml:space="preserve">, руководствуясь Уставом сельского поселения </w:t>
      </w:r>
      <w:r>
        <w:rPr>
          <w:color w:val="000000"/>
          <w:sz w:val="28"/>
          <w:szCs w:val="28"/>
        </w:rPr>
        <w:t>Селиярово</w:t>
      </w:r>
      <w:r>
        <w:rPr>
          <w:color w:val="000000"/>
          <w:sz w:val="28"/>
          <w:szCs w:val="28"/>
        </w:rPr>
        <w:t>,</w:t>
      </w:r>
    </w:p>
    <w:p w14:paraId="00000011">
      <w:pPr>
        <w:widowControl w:val="off"/>
        <w:spacing w:line="276" w:lineRule="auto"/>
        <w:jc w:val="both"/>
        <w:rPr>
          <w:sz w:val="28"/>
          <w:szCs w:val="28"/>
        </w:rPr>
      </w:pPr>
    </w:p>
    <w:p w14:paraId="00000012">
      <w:pPr>
        <w:widowControl w:val="off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сельского поселения </w:t>
      </w:r>
      <w:r>
        <w:rPr>
          <w:sz w:val="28"/>
          <w:szCs w:val="28"/>
        </w:rPr>
        <w:t>Селиярово</w:t>
      </w:r>
    </w:p>
    <w:p w14:paraId="00000013">
      <w:pPr>
        <w:widowControl w:val="off"/>
        <w:spacing w:line="276" w:lineRule="auto"/>
        <w:jc w:val="center"/>
        <w:rPr>
          <w:b/>
          <w:sz w:val="28"/>
          <w:szCs w:val="28"/>
        </w:rPr>
      </w:pPr>
    </w:p>
    <w:p w14:paraId="00000014">
      <w:pPr>
        <w:widowControl w:val="off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14:paraId="00000015">
      <w:pPr>
        <w:widowControl w:val="off"/>
        <w:spacing w:line="276" w:lineRule="auto"/>
        <w:ind w:firstLine="709"/>
        <w:jc w:val="both"/>
        <w:rPr>
          <w:b/>
          <w:sz w:val="28"/>
          <w:szCs w:val="28"/>
        </w:rPr>
      </w:pPr>
    </w:p>
    <w:p w14:paraId="00000016">
      <w:pPr>
        <w:tabs>
          <w:tab w:val="left" w:pos="9165"/>
        </w:tabs>
        <w:spacing w:line="276" w:lineRule="auto"/>
        <w:ind w:firstLine="709"/>
        <w:contextualSpacing w:val="on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</w:t>
      </w:r>
      <w:r>
        <w:rPr>
          <w:sz w:val="28"/>
          <w:szCs w:val="28"/>
          <w:lang w:eastAsia="ar-SA"/>
        </w:rPr>
        <w:t xml:space="preserve">о муниципальном </w:t>
      </w:r>
      <w:r>
        <w:rPr>
          <w:sz w:val="28"/>
          <w:szCs w:val="28"/>
          <w:lang w:eastAsia="ar-SA"/>
        </w:rPr>
        <w:t>земельном</w:t>
      </w:r>
      <w:r>
        <w:rPr>
          <w:sz w:val="28"/>
          <w:szCs w:val="28"/>
          <w:lang w:eastAsia="ar-SA"/>
        </w:rPr>
        <w:t xml:space="preserve"> контроле </w:t>
      </w: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>, согласно приложению.</w:t>
      </w:r>
    </w:p>
    <w:p w14:paraId="00000017">
      <w:pPr>
        <w:pStyle w:val="ListParagraph"/>
        <w:numPr>
          <w:ilvl w:val="0"/>
          <w:numId w:val="2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>:</w:t>
      </w:r>
    </w:p>
    <w:p w14:paraId="00000018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 </w:t>
      </w:r>
      <w:r>
        <w:rPr>
          <w:sz w:val="28"/>
          <w:szCs w:val="28"/>
        </w:rPr>
        <w:t xml:space="preserve">Селиярово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>
        <w:rPr>
          <w:sz w:val="28"/>
          <w:szCs w:val="28"/>
        </w:rPr>
        <w:t>.</w:t>
      </w:r>
      <w:r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138</w:t>
      </w:r>
      <w:r>
        <w:rPr>
          <w:sz w:val="28"/>
          <w:szCs w:val="28"/>
        </w:rPr>
        <w:t xml:space="preserve"> «Об утверждении Положения </w:t>
      </w:r>
      <w:r>
        <w:rPr>
          <w:sz w:val="28"/>
          <w:szCs w:val="28"/>
          <w:lang w:eastAsia="ar-SA"/>
        </w:rPr>
        <w:t xml:space="preserve">о муниципальном </w:t>
      </w:r>
      <w:r>
        <w:rPr>
          <w:sz w:val="28"/>
          <w:szCs w:val="28"/>
          <w:lang w:eastAsia="ar-SA"/>
        </w:rPr>
        <w:t>земельном</w:t>
      </w:r>
      <w:r>
        <w:rPr>
          <w:sz w:val="28"/>
          <w:szCs w:val="28"/>
          <w:lang w:eastAsia="ar-SA"/>
        </w:rPr>
        <w:t xml:space="preserve"> контроле </w:t>
      </w: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>»;</w:t>
      </w:r>
    </w:p>
    <w:p w14:paraId="00000019">
      <w:pPr>
        <w:pStyle w:val="ListParagraph"/>
        <w:tabs>
          <w:tab w:val="left" w:pos="709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решени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Совета депутатов сельского поселения </w:t>
      </w:r>
      <w:r>
        <w:rPr>
          <w:sz w:val="28"/>
          <w:szCs w:val="28"/>
        </w:rPr>
        <w:t xml:space="preserve">Селиярово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26.</w:t>
      </w:r>
      <w:r>
        <w:rPr>
          <w:sz w:val="28"/>
          <w:szCs w:val="28"/>
        </w:rPr>
        <w:t>0</w:t>
      </w:r>
      <w:r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161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решение Совета депутатов </w:t>
      </w:r>
      <w:r>
        <w:rPr>
          <w:sz w:val="28"/>
          <w:szCs w:val="28"/>
          <w:lang w:eastAsia="ar-SA"/>
        </w:rPr>
        <w:t xml:space="preserve">сельского поселения </w:t>
      </w:r>
      <w:r>
        <w:rPr>
          <w:sz w:val="28"/>
          <w:szCs w:val="28"/>
          <w:lang w:eastAsia="ar-SA"/>
        </w:rPr>
        <w:t>Селиярово</w:t>
      </w:r>
      <w:r>
        <w:rPr>
          <w:sz w:val="28"/>
          <w:szCs w:val="28"/>
          <w:lang w:eastAsia="ar-SA"/>
        </w:rPr>
        <w:t xml:space="preserve"> от </w:t>
      </w:r>
      <w:r>
        <w:rPr>
          <w:sz w:val="28"/>
          <w:szCs w:val="28"/>
          <w:lang w:eastAsia="ar-SA"/>
        </w:rPr>
        <w:t>29</w:t>
      </w:r>
      <w:r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12</w:t>
      </w:r>
      <w:r>
        <w:rPr>
          <w:sz w:val="28"/>
          <w:szCs w:val="28"/>
          <w:lang w:eastAsia="ar-SA"/>
        </w:rPr>
        <w:t>.202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138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Положения </w:t>
      </w:r>
      <w:r>
        <w:rPr>
          <w:sz w:val="28"/>
          <w:szCs w:val="28"/>
          <w:lang w:eastAsia="ar-SA"/>
        </w:rPr>
        <w:t xml:space="preserve">о муниципальном </w:t>
      </w:r>
      <w:r>
        <w:rPr>
          <w:sz w:val="28"/>
          <w:szCs w:val="28"/>
          <w:lang w:eastAsia="ar-SA"/>
        </w:rPr>
        <w:t>земельном</w:t>
      </w:r>
      <w:r>
        <w:rPr>
          <w:sz w:val="28"/>
          <w:szCs w:val="28"/>
          <w:lang w:eastAsia="ar-SA"/>
        </w:rPr>
        <w:t xml:space="preserve"> контроле </w:t>
      </w:r>
      <w:r>
        <w:rPr>
          <w:sz w:val="28"/>
          <w:szCs w:val="28"/>
        </w:rPr>
        <w:t xml:space="preserve">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000001A">
      <w:pPr>
        <w:ind w:firstLine="709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>3. Р</w:t>
      </w:r>
      <w:r>
        <w:rPr>
          <w:sz w:val="28"/>
          <w:szCs w:val="28"/>
        </w:rPr>
        <w:t xml:space="preserve">азместить на официальном сайте администрации сельского поселения </w:t>
      </w:r>
      <w:r>
        <w:rPr>
          <w:sz w:val="28"/>
          <w:szCs w:val="28"/>
        </w:rPr>
        <w:t>Селиярово</w:t>
      </w:r>
      <w:r>
        <w:rPr>
          <w:color w:val="auto"/>
          <w:sz w:val="28"/>
          <w:szCs w:val="28"/>
          <w:u w:val="none"/>
        </w:rPr>
        <w:t xml:space="preserve">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</w:p>
    <w:p w14:paraId="0000001B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color w:val="auto"/>
          <w:sz w:val="28"/>
          <w:szCs w:val="28"/>
          <w:u w:val="none"/>
        </w:rPr>
        <w:t>в разделе «</w:t>
      </w:r>
      <w:r>
        <w:rPr>
          <w:color w:val="auto"/>
          <w:sz w:val="28"/>
          <w:szCs w:val="28"/>
          <w:u w:val="none"/>
        </w:rPr>
        <w:t>Муниципальный Контроль</w:t>
      </w:r>
      <w:r>
        <w:rPr>
          <w:color w:val="auto"/>
          <w:sz w:val="28"/>
          <w:szCs w:val="28"/>
          <w:u w:val="none"/>
        </w:rPr>
        <w:t>» подразделе «</w:t>
      </w:r>
      <w:r>
        <w:rPr>
          <w:color w:val="auto"/>
          <w:sz w:val="28"/>
          <w:szCs w:val="28"/>
          <w:u w:val="none"/>
        </w:rPr>
        <w:t>Перечень в</w:t>
      </w:r>
      <w:r>
        <w:rPr>
          <w:sz w:val="28"/>
          <w:szCs w:val="28"/>
        </w:rPr>
        <w:t>идов муниципального контроля</w:t>
      </w:r>
      <w:r>
        <w:rPr>
          <w:sz w:val="28"/>
          <w:szCs w:val="28"/>
        </w:rPr>
        <w:t>».</w:t>
      </w:r>
    </w:p>
    <w:p w14:paraId="0000001C">
      <w:pPr>
        <w:pStyle w:val="ListParagraph"/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</w:t>
      </w:r>
    </w:p>
    <w:p w14:paraId="0000001D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обнародования.</w:t>
      </w:r>
    </w:p>
    <w:p w14:paraId="0000001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01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020">
      <w:pPr>
        <w:widowControl w:val="off"/>
        <w:rPr>
          <w:sz w:val="28"/>
          <w:szCs w:val="28"/>
        </w:rPr>
      </w:pPr>
    </w:p>
    <w:p w14:paraId="00000021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сельского поселения,</w:t>
      </w:r>
    </w:p>
    <w:p w14:paraId="00000022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председатель Совета депутатов</w:t>
      </w:r>
    </w:p>
    <w:p w14:paraId="00000023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сельского поселения Селиярово                                                  С.В. Маркова</w:t>
      </w:r>
    </w:p>
    <w:p w14:paraId="00000024">
      <w:pPr>
        <w:spacing w:line="200" w:lineRule="atLeast"/>
        <w:rPr>
          <w:lang w:eastAsia="zh-CN"/>
        </w:rPr>
      </w:pPr>
    </w:p>
    <w:p w14:paraId="00000025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</w:p>
    <w:p w14:paraId="00000026">
      <w:pPr>
        <w:jc w:val="right"/>
        <w:rPr>
          <w:rFonts w:eastAsia="Calibri"/>
          <w:sz w:val="28"/>
          <w:szCs w:val="28"/>
          <w:lang w:eastAsia="en-US"/>
        </w:rPr>
      </w:pPr>
    </w:p>
    <w:p w14:paraId="00000027">
      <w:pPr>
        <w:jc w:val="right"/>
        <w:rPr>
          <w:rFonts w:eastAsia="Calibri"/>
          <w:sz w:val="28"/>
          <w:szCs w:val="28"/>
          <w:lang w:eastAsia="en-US"/>
        </w:rPr>
      </w:pPr>
    </w:p>
    <w:p w14:paraId="00000028">
      <w:pPr>
        <w:jc w:val="right"/>
        <w:rPr>
          <w:rFonts w:eastAsia="Calibri"/>
          <w:sz w:val="28"/>
          <w:szCs w:val="28"/>
          <w:lang w:eastAsia="en-US"/>
        </w:rPr>
      </w:pPr>
    </w:p>
    <w:p w14:paraId="00000029">
      <w:pPr>
        <w:jc w:val="right"/>
        <w:rPr>
          <w:rFonts w:eastAsia="Calibri"/>
          <w:sz w:val="28"/>
          <w:szCs w:val="28"/>
          <w:lang w:eastAsia="en-US"/>
        </w:rPr>
      </w:pPr>
    </w:p>
    <w:p w14:paraId="0000002A">
      <w:pPr>
        <w:jc w:val="right"/>
        <w:rPr>
          <w:rFonts w:eastAsia="Calibri"/>
          <w:sz w:val="28"/>
          <w:szCs w:val="28"/>
          <w:lang w:eastAsia="en-US"/>
        </w:rPr>
      </w:pPr>
    </w:p>
    <w:p w14:paraId="0000002B">
      <w:pPr>
        <w:jc w:val="right"/>
        <w:rPr>
          <w:rFonts w:eastAsia="Calibri"/>
          <w:sz w:val="28"/>
          <w:szCs w:val="28"/>
          <w:lang w:eastAsia="en-US"/>
        </w:rPr>
      </w:pPr>
    </w:p>
    <w:p w14:paraId="0000002C">
      <w:pPr>
        <w:jc w:val="right"/>
        <w:rPr>
          <w:rFonts w:eastAsia="Calibri"/>
          <w:sz w:val="28"/>
          <w:szCs w:val="28"/>
          <w:lang w:eastAsia="en-US"/>
        </w:rPr>
      </w:pPr>
    </w:p>
    <w:p w14:paraId="0000002D">
      <w:pPr>
        <w:jc w:val="right"/>
        <w:rPr>
          <w:rFonts w:eastAsia="Calibri"/>
          <w:sz w:val="28"/>
          <w:szCs w:val="28"/>
          <w:lang w:eastAsia="en-US"/>
        </w:rPr>
      </w:pPr>
    </w:p>
    <w:p w14:paraId="0000002E">
      <w:pPr>
        <w:jc w:val="right"/>
        <w:rPr>
          <w:rFonts w:eastAsia="Calibri"/>
          <w:sz w:val="28"/>
          <w:szCs w:val="28"/>
          <w:lang w:eastAsia="en-US"/>
        </w:rPr>
      </w:pPr>
    </w:p>
    <w:p w14:paraId="0000002F">
      <w:pPr>
        <w:jc w:val="right"/>
        <w:rPr>
          <w:rFonts w:eastAsia="Calibri"/>
          <w:sz w:val="28"/>
          <w:szCs w:val="28"/>
          <w:lang w:eastAsia="en-US"/>
        </w:rPr>
      </w:pPr>
    </w:p>
    <w:p w14:paraId="00000030">
      <w:pPr>
        <w:jc w:val="right"/>
        <w:rPr>
          <w:rFonts w:eastAsia="Calibri"/>
          <w:sz w:val="28"/>
          <w:szCs w:val="28"/>
          <w:lang w:eastAsia="en-US"/>
        </w:rPr>
      </w:pPr>
    </w:p>
    <w:p w14:paraId="00000031">
      <w:pPr>
        <w:jc w:val="right"/>
        <w:rPr>
          <w:rFonts w:eastAsia="Calibri"/>
          <w:sz w:val="28"/>
          <w:szCs w:val="28"/>
          <w:lang w:eastAsia="en-US"/>
        </w:rPr>
      </w:pPr>
    </w:p>
    <w:p w14:paraId="00000032">
      <w:pPr>
        <w:jc w:val="right"/>
        <w:rPr>
          <w:rFonts w:eastAsia="Calibri"/>
          <w:sz w:val="28"/>
          <w:szCs w:val="28"/>
          <w:lang w:eastAsia="en-US"/>
        </w:rPr>
      </w:pPr>
    </w:p>
    <w:p w14:paraId="00000033">
      <w:pPr>
        <w:jc w:val="right"/>
        <w:rPr>
          <w:rFonts w:eastAsia="Calibri"/>
          <w:sz w:val="28"/>
          <w:szCs w:val="28"/>
          <w:lang w:eastAsia="en-US"/>
        </w:rPr>
      </w:pPr>
    </w:p>
    <w:p w14:paraId="00000034">
      <w:pPr>
        <w:jc w:val="right"/>
        <w:rPr>
          <w:rFonts w:eastAsia="Calibri"/>
          <w:sz w:val="28"/>
          <w:szCs w:val="28"/>
          <w:lang w:eastAsia="en-US"/>
        </w:rPr>
      </w:pPr>
    </w:p>
    <w:p w14:paraId="00000035">
      <w:pPr>
        <w:jc w:val="right"/>
        <w:rPr>
          <w:rFonts w:eastAsia="Calibri"/>
          <w:sz w:val="28"/>
          <w:szCs w:val="28"/>
          <w:lang w:eastAsia="en-US"/>
        </w:rPr>
      </w:pPr>
    </w:p>
    <w:p w14:paraId="00000036">
      <w:pPr>
        <w:jc w:val="right"/>
        <w:rPr>
          <w:rFonts w:eastAsia="Calibri"/>
          <w:sz w:val="28"/>
          <w:szCs w:val="28"/>
          <w:lang w:eastAsia="en-US"/>
        </w:rPr>
      </w:pPr>
    </w:p>
    <w:p w14:paraId="00000037">
      <w:pPr>
        <w:jc w:val="right"/>
        <w:rPr>
          <w:rFonts w:eastAsia="Calibri"/>
          <w:sz w:val="28"/>
          <w:szCs w:val="28"/>
          <w:lang w:eastAsia="en-US"/>
        </w:rPr>
      </w:pPr>
    </w:p>
    <w:p w14:paraId="00000038">
      <w:pPr>
        <w:jc w:val="right"/>
        <w:rPr>
          <w:rFonts w:eastAsia="Calibri"/>
          <w:sz w:val="28"/>
          <w:szCs w:val="28"/>
          <w:lang w:eastAsia="en-US"/>
        </w:rPr>
      </w:pPr>
    </w:p>
    <w:p w14:paraId="00000039">
      <w:pPr>
        <w:jc w:val="right"/>
        <w:rPr>
          <w:rFonts w:eastAsia="Calibri"/>
          <w:sz w:val="28"/>
          <w:szCs w:val="28"/>
          <w:lang w:eastAsia="en-US"/>
        </w:rPr>
      </w:pPr>
    </w:p>
    <w:p w14:paraId="0000003A">
      <w:pPr>
        <w:jc w:val="right"/>
        <w:rPr>
          <w:rFonts w:eastAsia="Calibri"/>
          <w:sz w:val="28"/>
          <w:szCs w:val="28"/>
          <w:lang w:eastAsia="en-US"/>
        </w:rPr>
      </w:pPr>
    </w:p>
    <w:p w14:paraId="0000003B">
      <w:pPr>
        <w:jc w:val="right"/>
        <w:rPr>
          <w:rFonts w:eastAsia="Calibri"/>
          <w:sz w:val="28"/>
          <w:szCs w:val="28"/>
          <w:lang w:eastAsia="en-US"/>
        </w:rPr>
      </w:pPr>
    </w:p>
    <w:p w14:paraId="0000003C">
      <w:pPr>
        <w:jc w:val="right"/>
        <w:rPr>
          <w:rFonts w:eastAsia="Calibri"/>
          <w:sz w:val="28"/>
          <w:szCs w:val="28"/>
          <w:lang w:eastAsia="en-US"/>
        </w:rPr>
      </w:pPr>
    </w:p>
    <w:p w14:paraId="0000003D">
      <w:pPr>
        <w:jc w:val="right"/>
        <w:rPr>
          <w:rFonts w:eastAsia="Calibri"/>
          <w:sz w:val="28"/>
          <w:szCs w:val="28"/>
          <w:lang w:eastAsia="en-US"/>
        </w:rPr>
      </w:pPr>
    </w:p>
    <w:p w14:paraId="0000003E">
      <w:pPr>
        <w:jc w:val="right"/>
        <w:rPr>
          <w:rFonts w:eastAsia="Calibri"/>
          <w:sz w:val="28"/>
          <w:szCs w:val="28"/>
          <w:lang w:eastAsia="en-US"/>
        </w:rPr>
      </w:pPr>
    </w:p>
    <w:p w14:paraId="0000003F">
      <w:pPr>
        <w:rPr>
          <w:rFonts w:eastAsia="Calibri"/>
          <w:sz w:val="28"/>
          <w:szCs w:val="28"/>
          <w:lang w:eastAsia="en-US"/>
        </w:rPr>
      </w:pPr>
    </w:p>
    <w:p w14:paraId="00000040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00000041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00000042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</w:t>
      </w:r>
    </w:p>
    <w:p w14:paraId="00000043">
      <w:pPr>
        <w:pStyle w:val="ConsPlusTitle"/>
        <w:spacing w:line="276" w:lineRule="auto"/>
        <w:jc w:val="right"/>
        <w:rPr>
          <w:rFonts w:ascii="Times New Roman" w:cs="Times New Roman" w:hAnsi="Times New Roman"/>
          <w:b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от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 24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.11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.2025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года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№ 105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</w:p>
    <w:p w14:paraId="0000004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045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bookmarkStart w:id="0" w:name="Par39"/>
      <w:bookmarkEnd w:id="0"/>
      <w:r>
        <w:rPr>
          <w:rFonts w:ascii="Times New Roman" w:cs="Times New Roman" w:hAnsi="Times New Roman"/>
          <w:b w:val="off"/>
          <w:bCs w:val="off"/>
          <w:sz w:val="28"/>
          <w:szCs w:val="28"/>
        </w:rPr>
        <w:t>П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ОЛОЖЕНИЕ</w:t>
      </w:r>
    </w:p>
    <w:p w14:paraId="00000046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 xml:space="preserve">о муниципальном земельном контроле </w:t>
      </w:r>
    </w:p>
    <w:p w14:paraId="00000047">
      <w:pPr>
        <w:pStyle w:val="ConsPlusTitle"/>
        <w:spacing w:line="276" w:lineRule="auto"/>
        <w:jc w:val="center"/>
        <w:rPr>
          <w:b w:val="off"/>
          <w:bCs w:val="off"/>
          <w:i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на территории сельского поселения Селиярово</w:t>
      </w:r>
      <w:r>
        <w:rPr>
          <w:rFonts w:ascii="Times New Roman" w:cs="Times New Roman" w:hAnsi="Times New Roman"/>
          <w:b w:val="off"/>
          <w:bCs w:val="off"/>
          <w:i/>
          <w:sz w:val="28"/>
          <w:szCs w:val="28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8"/>
          <w:szCs w:val="28"/>
        </w:rPr>
        <w:t>(далее – Положение)</w:t>
      </w:r>
    </w:p>
    <w:p w14:paraId="00000048">
      <w:pPr>
        <w:widowControl w:val="off"/>
        <w:spacing w:line="276" w:lineRule="auto"/>
        <w:jc w:val="both"/>
        <w:rPr>
          <w:b w:val="off"/>
          <w:bCs w:val="off"/>
          <w:sz w:val="28"/>
          <w:szCs w:val="28"/>
        </w:rPr>
      </w:pPr>
    </w:p>
    <w:p w14:paraId="00000049">
      <w:pPr>
        <w:pStyle w:val="ConsPlusTitle"/>
        <w:spacing w:line="276" w:lineRule="auto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1. Общие положения</w:t>
      </w:r>
    </w:p>
    <w:p w14:paraId="0000004A">
      <w:pPr>
        <w:pStyle w:val="ConsPlusNormal"/>
        <w:spacing w:line="276" w:lineRule="auto"/>
        <w:ind w:firstLine="540"/>
        <w:jc w:val="both"/>
        <w:rPr/>
      </w:pPr>
    </w:p>
    <w:p w14:paraId="0000004B">
      <w:pPr>
        <w:spacing w:line="276" w:lineRule="auto"/>
        <w:jc w:val="both"/>
        <w:rPr>
          <w:i/>
          <w:iCs/>
          <w:sz w:val="24"/>
          <w:szCs w:val="24"/>
        </w:rPr>
      </w:pPr>
      <w:r>
        <w:rPr>
          <w:sz w:val="28"/>
          <w:szCs w:val="28"/>
        </w:rPr>
        <w:tab/>
        <w:t xml:space="preserve">1.1. Положение устанавливает порядок организации и осуществления муниципального </w:t>
      </w:r>
      <w:r>
        <w:rPr>
          <w:sz w:val="28"/>
          <w:szCs w:val="28"/>
        </w:rPr>
        <w:t xml:space="preserve">земельного контроля на территории сельского поселения </w:t>
      </w:r>
      <w:r>
        <w:rPr>
          <w:sz w:val="28"/>
          <w:szCs w:val="28"/>
        </w:rPr>
        <w:t>Селиярово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(далее – муниципальный контроль).</w:t>
      </w:r>
    </w:p>
    <w:p w14:paraId="0000004C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1.2. 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контроля, применяются положения Федерального закона от 31 июля 2020 года № 248-ФЗ                              «О государственном контроле (надзоре) и муниципальном контроле в Российской Федерации» (далее – Федеральный закон № 248-ФЗ).</w:t>
      </w:r>
    </w:p>
    <w:p w14:paraId="0000004D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1.3. Муниципальный контроль осуществляет отдел управления Администрации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 (далее – контрольный орган).</w:t>
      </w:r>
    </w:p>
    <w:p w14:paraId="0000004E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1.4. Объектами</w:t>
      </w:r>
      <w:r>
        <w:rPr>
          <w:rFonts w:ascii="Times New Roman" w:cs="Times New Roman" w:hAnsi="Times New Roman"/>
          <w:sz w:val="28"/>
          <w:szCs w:val="28"/>
          <w:highlight w:val="white"/>
        </w:rPr>
        <w:t xml:space="preserve"> муниципального</w:t>
      </w:r>
      <w:r>
        <w:rPr>
          <w:rFonts w:ascii="Times New Roman" w:cs="Times New Roman" w:hAnsi="Times New Roman"/>
          <w:sz w:val="28"/>
          <w:szCs w:val="28"/>
        </w:rPr>
        <w:t xml:space="preserve"> контроля (далее – объект контроля) являются:</w:t>
      </w:r>
    </w:p>
    <w:p w14:paraId="0000004F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 (далее – контролируемые лица);</w:t>
      </w:r>
    </w:p>
    <w:p w14:paraId="00000050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14:paraId="00000051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  <w:highlight w:val="white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3) здания, помещения, сооружения, линейные объекты, территории, включая водные, земельные и лесные участки, оборудование, устройства, </w:t>
      </w:r>
      <w:r>
        <w:rPr>
          <w:rFonts w:ascii="Times New Roman" w:cs="Times New Roman" w:hAnsi="Times New Roman"/>
          <w:sz w:val="28"/>
          <w:szCs w:val="28"/>
          <w:highlight w:val="white"/>
        </w:rPr>
        <w:t>предметы, материалы, транспортные средства,</w:t>
      </w:r>
      <w:r>
        <w:rPr>
          <w:highlight w:val="white"/>
        </w:rPr>
        <w:t xml:space="preserve"> </w:t>
      </w:r>
      <w:r>
        <w:rPr>
          <w:rFonts w:ascii="Times New Roman" w:cs="Times New Roman" w:hAnsi="Times New Roman"/>
          <w:sz w:val="28"/>
          <w:szCs w:val="28"/>
          <w:highlight w:val="white"/>
        </w:rPr>
        <w:t>компоненты природной среды, природные и природно-антропогенные объекты, и другие объекты, которыми граждане и организации владеют и (или) пользуются,</w:t>
      </w:r>
      <w:r>
        <w:rPr>
          <w:highlight w:val="white"/>
        </w:rPr>
        <w:t xml:space="preserve"> </w:t>
      </w:r>
      <w:r>
        <w:rPr>
          <w:rFonts w:ascii="Times New Roman" w:cs="Times New Roman" w:hAnsi="Times New Roman"/>
          <w:sz w:val="28"/>
          <w:szCs w:val="28"/>
          <w:highlight w:val="white"/>
        </w:rPr>
        <w:t xml:space="preserve">компоненты природной среды, природные и природно-антропогенные объекты, не находящиеся во владении и (или) пользовании граждан или </w:t>
      </w:r>
      <w:r>
        <w:rPr>
          <w:rFonts w:ascii="Times New Roman" w:cs="Times New Roman" w:hAnsi="Times New Roman"/>
          <w:sz w:val="28"/>
          <w:szCs w:val="28"/>
          <w:highlight w:val="white"/>
        </w:rPr>
        <w:t>организаций,  к которым предъявляются обязательные требования (далее – производственные объекты).</w:t>
      </w:r>
    </w:p>
    <w:p w14:paraId="00000052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highlight w:val="white"/>
        </w:rPr>
        <w:tab/>
        <w:t xml:space="preserve">1.5. Учет объектов контроля осуществляется в соответствии </w:t>
      </w:r>
      <w:r>
        <w:rPr>
          <w:rFonts w:ascii="Times New Roman" w:cs="Times New Roman" w:hAnsi="Times New Roman"/>
          <w:sz w:val="28"/>
          <w:szCs w:val="28"/>
          <w:highlight w:val="white"/>
        </w:rPr>
        <w:br w:type="textWrapping"/>
      </w:r>
      <w:r>
        <w:rPr>
          <w:rFonts w:ascii="Times New Roman" w:cs="Times New Roman" w:hAnsi="Times New Roman"/>
          <w:sz w:val="28"/>
          <w:szCs w:val="28"/>
          <w:highlight w:val="white"/>
        </w:rPr>
        <w:t>с Федеральным законом № 248-ФЗ, П</w:t>
      </w:r>
      <w:r>
        <w:rPr>
          <w:rFonts w:ascii="Times New Roman" w:cs="Times New Roman" w:hAnsi="Times New Roman"/>
          <w:sz w:val="28"/>
          <w:szCs w:val="28"/>
        </w:rPr>
        <w:t xml:space="preserve">оложением посредством: </w:t>
      </w:r>
    </w:p>
    <w:p w14:paraId="00000053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  <w:highlight w:val="white"/>
        </w:rPr>
        <w:t xml:space="preserve">формирования перечня объектов контроля, размещенного на официальном сайте органа местного самоуправления </w:t>
      </w:r>
      <w:r>
        <w:rPr>
          <w:rFonts w:ascii="Times New Roman" w:cs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в информационно-телекоммуникационной сети «Интернет» (далее – сеть «Интернет»);</w:t>
      </w:r>
    </w:p>
    <w:p w14:paraId="00000054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иных федеральных или региональных информационных систем, </w:t>
      </w:r>
      <w:r>
        <w:rPr>
          <w:rFonts w:ascii="Times New Roman" w:cs="Times New Roman" w:hAnsi="Times New Roman"/>
          <w:sz w:val="28"/>
          <w:szCs w:val="28"/>
        </w:rPr>
        <w:br w:type="textWrapping"/>
      </w:r>
      <w:r>
        <w:rPr>
          <w:rFonts w:ascii="Times New Roman" w:cs="Times New Roman" w:hAnsi="Times New Roman"/>
          <w:sz w:val="28"/>
          <w:szCs w:val="28"/>
        </w:rPr>
        <w:t>в том числе путем получения сведений в порядке межведомственного информационного взаимодействия.</w:t>
      </w:r>
    </w:p>
    <w:p w14:paraId="00000055">
      <w:pPr>
        <w:pStyle w:val="ConsPlusNormal"/>
        <w:spacing w:line="276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>
        <w:rPr>
          <w:rFonts w:ascii="Times New Roman" w:cs="Times New Roman" w:hAnsi="Times New Roman"/>
          <w:sz w:val="28"/>
          <w:szCs w:val="28"/>
        </w:rPr>
        <w:t xml:space="preserve">1.6. Предметом муниципального контроля являются </w:t>
      </w:r>
      <w:r>
        <w:rPr>
          <w:rFonts w:ascii="Times New Roman" w:cs="Times New Roman" w:hAnsi="Times New Roman"/>
          <w:sz w:val="28"/>
          <w:szCs w:val="24"/>
        </w:rPr>
        <w:t xml:space="preserve">соблюдение юридическими лицами, индивидуальными предпринимателями, гражданами обязательных требований </w:t>
      </w:r>
      <w:r>
        <w:rPr>
          <w:rFonts w:ascii="Times New Roman" w:cs="Times New Roman" w:hAnsi="Times New Roman"/>
          <w:sz w:val="28"/>
        </w:rPr>
        <w:t>к использованию и охране земель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8"/>
          <w:szCs w:val="24"/>
        </w:rPr>
        <w:t>в отношении объектов земельных отношений, за нарушение которых законодательством предусмотрена административная ответственность, в том числе:</w:t>
      </w:r>
    </w:p>
    <w:p w14:paraId="00000056">
      <w:pPr>
        <w:pStyle w:val="ConsPlusNormal"/>
        <w:spacing w:line="276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>
        <w:rPr>
          <w:rFonts w:ascii="Times New Roman" w:cs="Times New Roman" w:hAnsi="Times New Roman"/>
          <w:sz w:val="28"/>
          <w:szCs w:val="24"/>
        </w:rPr>
        <w:t>1) использование земель;</w:t>
      </w:r>
    </w:p>
    <w:p w14:paraId="00000057">
      <w:pPr>
        <w:pStyle w:val="ConsPlusNormal"/>
        <w:spacing w:line="276" w:lineRule="auto"/>
        <w:ind w:firstLine="709"/>
        <w:jc w:val="both"/>
        <w:rPr>
          <w:rFonts w:ascii="Times New Roman" w:cs="Times New Roman" w:hAnsi="Times New Roman"/>
          <w:sz w:val="28"/>
          <w:szCs w:val="24"/>
        </w:rPr>
      </w:pPr>
      <w:r>
        <w:rPr>
          <w:rFonts w:ascii="Times New Roman" w:cs="Times New Roman" w:hAnsi="Times New Roman"/>
          <w:sz w:val="28"/>
          <w:szCs w:val="24"/>
        </w:rPr>
        <w:t>2) соблюдение требований, содержащихся в документах, исполнение которых является необходимым в соответствии с законодательством Российской Федерации;</w:t>
      </w:r>
    </w:p>
    <w:p w14:paraId="00000058">
      <w:pPr>
        <w:pStyle w:val="ConsPlusNormal"/>
        <w:spacing w:line="276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4"/>
        </w:rPr>
        <w:t>3) исполнение решений, принимаемых по результатам контрольных мероприятий.</w:t>
      </w:r>
      <w:r>
        <w:rPr>
          <w:rFonts w:ascii="Times New Roman" w:cs="Times New Roman" w:hAnsi="Times New Roman"/>
          <w:sz w:val="32"/>
          <w:szCs w:val="28"/>
        </w:rPr>
        <w:t xml:space="preserve"> </w:t>
      </w:r>
    </w:p>
    <w:p w14:paraId="00000059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1.7. Муниципальный контроль осуществляется посредством проведения:</w:t>
      </w:r>
    </w:p>
    <w:p w14:paraId="0000005A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1) профилактических мероприятий;</w:t>
      </w:r>
    </w:p>
    <w:p w14:paraId="0000005B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2) контрольных мероприятий со взаимодействием с контролируемым лицом;</w:t>
      </w:r>
    </w:p>
    <w:p w14:paraId="0000005C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3) контрольных мероприятий без взаимодействия с контролируемым лицом.  </w:t>
      </w:r>
      <w:r>
        <w:rPr>
          <w:rFonts w:ascii="Times New Roman" w:cs="Times New Roman" w:hAnsi="Times New Roman"/>
          <w:sz w:val="28"/>
          <w:szCs w:val="28"/>
        </w:rPr>
        <w:tab/>
      </w:r>
    </w:p>
    <w:p w14:paraId="0000005D">
      <w:pPr>
        <w:pStyle w:val="ConsPlusNormal"/>
        <w:spacing w:line="276" w:lineRule="auto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1.8. Муниципальный контроль осуществляют следующие должностные лица:</w:t>
      </w:r>
    </w:p>
    <w:p w14:paraId="0000005E">
      <w:pPr>
        <w:pStyle w:val="ConsPlusNormal"/>
        <w:spacing w:line="276" w:lineRule="auto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1) Глава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  <w:r>
        <w:rPr>
          <w:rFonts w:ascii="Times New Roman" w:cs="Times New Roman" w:hAnsi="Times New Roman"/>
          <w:sz w:val="28"/>
          <w:szCs w:val="28"/>
        </w:rPr>
        <w:t xml:space="preserve"> (либо лицо, его замещающее) - руководитель контрольного органа;</w:t>
      </w:r>
    </w:p>
    <w:p w14:paraId="0000005F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 xml:space="preserve">2) должностное лицо контрольного органа, в должностные обязанности которого в соответствии с Положением, должностной инструкцией входит осуществление полномочий по муниципальному контролю, в том числе проведение профилактических мероприятий и </w:t>
      </w:r>
      <w:r>
        <w:rPr>
          <w:rFonts w:ascii="Times New Roman" w:cs="Times New Roman" w:hAnsi="Times New Roman"/>
          <w:sz w:val="28"/>
          <w:szCs w:val="28"/>
        </w:rPr>
        <w:t>контрольных мероприятий (далее также – инспектор).</w:t>
      </w:r>
    </w:p>
    <w:p w14:paraId="00000060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  <w:t>1.9. Принятие решений о проведении контрольных мероприятий осуществляет руководитель контрольного органа.</w:t>
      </w:r>
    </w:p>
    <w:p w14:paraId="00000061">
      <w:pPr>
        <w:pStyle w:val="ConsPlusNormal"/>
        <w:spacing w:line="276" w:lineRule="auto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</w:p>
    <w:p w14:paraId="00000062">
      <w:pPr>
        <w:pStyle w:val="ConsPlusNormal"/>
        <w:spacing w:line="276" w:lineRule="auto"/>
        <w:ind w:firstLine="720"/>
        <w:jc w:val="center"/>
        <w:rPr>
          <w:rFonts w:ascii="Times New Roman" w:cs="Times New Roman" w:hAnsi="Times New Roman"/>
          <w:b w:val="off"/>
          <w:bCs w:val="off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14:paraId="00000063">
      <w:pPr>
        <w:pStyle w:val="ConsPlusNormal"/>
        <w:spacing w:line="276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64">
      <w:pPr>
        <w:widowControl w:val="off"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>2.1. </w:t>
      </w:r>
      <w:r>
        <w:rPr>
          <w:rFonts w:eastAsia="Calibri"/>
          <w:sz w:val="28"/>
          <w:szCs w:val="28"/>
          <w:lang w:eastAsia="en-US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00000065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2.2. </w:t>
      </w:r>
      <w:r>
        <w:rPr>
          <w:sz w:val="28"/>
          <w:szCs w:val="28"/>
        </w:rPr>
        <w:t>Учет рисков причинения вреда (ущерба) охраняемым законом ценностям, порядок отнесения объектов контроля к категориям риска причинения вреда (ущерба) (далее – категории риска) и выявления индикаторов риска нарушения обязательных требований                                    (далее – индикаторы риска) осуществляются контрольным органом в соответствии с главой 5 Федерального закона № 248-ФЗ.</w:t>
      </w:r>
    </w:p>
    <w:p w14:paraId="0000006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 Объекты контроля подлежат отнесению к категориям среднего, умеренного и низкого риска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критериями отнесения объектов контроля к категориям риска (далее – критерии риска), указанными в приложении 3 к Положению.</w:t>
      </w:r>
    </w:p>
    <w:p w14:paraId="0000006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 При отнесении объектов контроля к категориям риска, применении критериев риска и выявлении индикаторов риска контрольный орган использует сведения об объектах контроля, характеризующие уровень рисков причинения вреда (ущерба), полученные с соблюдением требований законодательства Российской Федерации, Ханты-Мансийского автономного округа – Югры из любых источников, обеспечивающих их достоверность.</w:t>
      </w:r>
    </w:p>
    <w:p w14:paraId="0000006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i/>
          <w:sz w:val="24"/>
          <w:szCs w:val="24"/>
        </w:rPr>
        <w:tab/>
      </w:r>
      <w:r>
        <w:rPr>
          <w:sz w:val="28"/>
          <w:szCs w:val="28"/>
        </w:rPr>
        <w:t>2.5. Допустимый уровень риска причинения вреда (ущерба) закреплен в ключевых показателях вида муниципального контроля в соответствии с приложением 2 к Положению.</w:t>
      </w:r>
    </w:p>
    <w:p w14:paraId="00000069">
      <w:pPr>
        <w:widowControl w:val="off"/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2.6. </w:t>
      </w:r>
      <w:r>
        <w:rPr>
          <w:color w:val="000000"/>
          <w:sz w:val="28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1 к Положению. </w:t>
      </w:r>
    </w:p>
    <w:p w14:paraId="0000006A">
      <w:pPr>
        <w:widowControl w:val="off"/>
        <w:spacing w:line="276" w:lineRule="auto"/>
        <w:jc w:val="both"/>
        <w:rPr>
          <w:bCs/>
          <w:i/>
          <w:color w:val="000000"/>
          <w:sz w:val="24"/>
          <w:szCs w:val="24"/>
        </w:rPr>
      </w:pPr>
      <w:r>
        <w:rPr>
          <w:sz w:val="28"/>
          <w:szCs w:val="28"/>
        </w:rPr>
        <w:tab/>
        <w:t xml:space="preserve">2.7. Контрольным органом обеспечивается организация постоянного мониторинга (сбора, обработки, анализа и учета) сведений, используемых </w:t>
      </w:r>
      <w:r>
        <w:rPr>
          <w:sz w:val="28"/>
          <w:szCs w:val="28"/>
        </w:rPr>
        <w:t>для оценки и управления рисками причинения вреда (ущерба).</w:t>
      </w:r>
    </w:p>
    <w:p w14:paraId="0000006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2.8. 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контроля.</w:t>
      </w:r>
    </w:p>
    <w:p w14:paraId="0000006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2.9. В случае,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14:paraId="0000006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2.10. 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(функций) подают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</w:p>
    <w:p w14:paraId="0000006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2.11. 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14:paraId="0000006F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2.12. 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 «Единый реестр видов федерального государственного контроля (надзора), регионального государственного контроля (надзора), муниципального контроля» в соответствии с критериями риска согласно приложению 3 к Положению.</w:t>
      </w:r>
      <w:r>
        <w:t xml:space="preserve"> </w:t>
      </w:r>
    </w:p>
    <w:p w14:paraId="00000070">
      <w:pPr>
        <w:widowControl w:val="off"/>
        <w:spacing w:line="276" w:lineRule="auto"/>
        <w:jc w:val="both"/>
        <w:rPr>
          <w:strike w:val="on"/>
          <w:sz w:val="28"/>
        </w:rPr>
      </w:pPr>
    </w:p>
    <w:p w14:paraId="00000071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3. Профилактика рисков причинения вреда (ущерба) </w:t>
      </w:r>
    </w:p>
    <w:p w14:paraId="00000072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охраняемым законом ценностям</w:t>
      </w:r>
    </w:p>
    <w:p w14:paraId="00000073">
      <w:pPr>
        <w:widowControl w:val="off"/>
        <w:spacing w:line="276" w:lineRule="auto"/>
        <w:jc w:val="center"/>
        <w:rPr>
          <w:b/>
          <w:sz w:val="28"/>
          <w:szCs w:val="28"/>
        </w:rPr>
      </w:pPr>
    </w:p>
    <w:p w14:paraId="00000074">
      <w:pPr>
        <w:jc w:val="both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  <w:t xml:space="preserve">3.1. 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профилактики), утвержденной решением главы сельского поселения </w:t>
      </w:r>
      <w:r>
        <w:rPr>
          <w:sz w:val="28"/>
          <w:szCs w:val="28"/>
        </w:rPr>
        <w:t xml:space="preserve">Селиярово </w:t>
      </w:r>
      <w:r>
        <w:rPr>
          <w:sz w:val="28"/>
          <w:szCs w:val="28"/>
        </w:rPr>
        <w:t xml:space="preserve">в форме постановления администрации сельского поселения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и размещенной на </w:t>
      </w:r>
      <w:r>
        <w:rPr>
          <w:color w:val="auto"/>
          <w:sz w:val="28"/>
          <w:szCs w:val="28"/>
          <w:u w:val="none"/>
        </w:rPr>
        <w:t xml:space="preserve">официальном сайте администрации сельского поселения </w:t>
      </w:r>
      <w:r>
        <w:rPr>
          <w:color w:val="auto"/>
          <w:sz w:val="28"/>
          <w:szCs w:val="28"/>
          <w:u w:val="none"/>
        </w:rPr>
        <w:t xml:space="preserve">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 xml:space="preserve"> </w:t>
      </w:r>
      <w:r>
        <w:rPr>
          <w:color w:val="auto"/>
          <w:sz w:val="28"/>
          <w:szCs w:val="28"/>
          <w:u w:val="none"/>
        </w:rPr>
        <w:t>в сети «Интернет».</w:t>
      </w:r>
    </w:p>
    <w:p w14:paraId="0000007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color w:val="auto"/>
          <w:sz w:val="28"/>
          <w:szCs w:val="28"/>
          <w:u w:val="none"/>
        </w:rPr>
        <w:t>3.2. Профилактические мероприятия, предусмотренные Программой профилактики, обязательны для проведения</w:t>
      </w:r>
      <w:r>
        <w:rPr>
          <w:sz w:val="28"/>
          <w:szCs w:val="28"/>
        </w:rPr>
        <w:t xml:space="preserve"> контрольным органом.</w:t>
      </w:r>
    </w:p>
    <w:p w14:paraId="0000007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3.3. Контрольный орган может проводить профилактические мероприятия, не предусмотренные Программой профилактики.</w:t>
      </w:r>
    </w:p>
    <w:p w14:paraId="000000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3.4. Контрольный орган в рамках осуществления муниципального земельного контроля проводит следующие профилактические мероприятия: </w:t>
      </w:r>
    </w:p>
    <w:p w14:paraId="00000078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ab/>
        <w:t>1) информирование;</w:t>
      </w:r>
    </w:p>
    <w:p w14:paraId="00000079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2) объявление предостережения;</w:t>
      </w:r>
    </w:p>
    <w:p w14:paraId="0000007A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3) консультирование;</w:t>
      </w:r>
    </w:p>
    <w:p w14:paraId="0000007B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4) профилактический визит.</w:t>
      </w:r>
    </w:p>
    <w:p w14:paraId="0000007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3.5. Информирование осуществляется инспектором посредством размещения сведений, предусмотренных частью 3 статьи 46 Федерального закона № 248-ФЗ, </w:t>
      </w:r>
      <w:r>
        <w:rPr>
          <w:color w:val="auto"/>
          <w:sz w:val="28"/>
          <w:szCs w:val="28"/>
          <w:u w:val="none"/>
        </w:rPr>
        <w:t xml:space="preserve">на официальном сайте администрации сельского поселения </w:t>
      </w:r>
      <w:r>
        <w:rPr>
          <w:color w:val="auto"/>
          <w:sz w:val="28"/>
          <w:szCs w:val="28"/>
          <w:u w:val="none"/>
        </w:rPr>
        <w:t xml:space="preserve">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>, в средствах массовой информаци</w:t>
      </w:r>
      <w:r>
        <w:rPr>
          <w:sz w:val="28"/>
          <w:szCs w:val="28"/>
        </w:rPr>
        <w:t>и, через единый портал государственных и муниципальных услуг (функций) и в иных формах</w:t>
      </w:r>
      <w:r>
        <w:rPr>
          <w:i/>
          <w:sz w:val="28"/>
          <w:szCs w:val="28"/>
        </w:rPr>
        <w:t>.</w:t>
      </w:r>
    </w:p>
    <w:p w14:paraId="0000007D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Размещенные сведения поддерживаются в актуальном состоянии и обновляются в срок не более 5 рабочих дней с момента их изменения.</w:t>
      </w:r>
      <w:r>
        <w:rPr>
          <w:sz w:val="28"/>
          <w:szCs w:val="28"/>
        </w:rPr>
        <w:tab/>
        <w:t>3.6. Предостережение о недопустимости нарушения обязательных требований (далее –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  не более 10 рабочих дней со дня их получения и предлагает принять меры по обеспечению соблюдения обязательных требований</w:t>
      </w:r>
      <w:r>
        <w:rPr>
          <w:sz w:val="24"/>
          <w:szCs w:val="24"/>
        </w:rPr>
        <w:t>.</w:t>
      </w:r>
    </w:p>
    <w:p w14:paraId="0000007E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Предостережение составляется по форме, утвержденной приказом Министерства экономического развития Российской Федерации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от 31.03.2021 № 151 «О типовых формах документов, используемых контрольным (надзорным) органом», в письменной форме или в форме электронного документа.</w:t>
      </w:r>
    </w:p>
    <w:p w14:paraId="0000007F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Объявленное предостережение контрольный орган размещает в момент вынесения в Едином реестре контрольных (надзорных) мероприятий (далее – ЕРКНМ) и в течение 3 рабочих дней с даты </w:t>
      </w:r>
      <w:r>
        <w:rPr>
          <w:sz w:val="28"/>
          <w:szCs w:val="28"/>
        </w:rPr>
        <w:t>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</w:t>
      </w:r>
    </w:p>
    <w:p w14:paraId="00000080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Инспектор регистрирует предостережение в журнале учета объявленных предостережений с присвоением регистрационного номера.</w:t>
      </w:r>
    </w:p>
    <w:p w14:paraId="00000081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Контролируемое лицо после получения предостережения подает в контрольный орган возражение в произвольной форме, включив в него следующую информацию:</w:t>
      </w:r>
    </w:p>
    <w:p w14:paraId="00000082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наименование контролируемого лица;</w:t>
      </w:r>
    </w:p>
    <w:p w14:paraId="00000083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дату и номер полученного предостережения;</w:t>
      </w:r>
    </w:p>
    <w:p w14:paraId="00000084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14:paraId="00000085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желаемый способ получения ответа по итогам рассмотрения возражения;</w:t>
      </w:r>
    </w:p>
    <w:p w14:paraId="00000086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14:paraId="00000087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дату направления возражения.</w:t>
      </w:r>
    </w:p>
    <w:p w14:paraId="00000088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Возражение направляет контролируемое лицо в контрольный орган одним из следующих способов:</w:t>
      </w:r>
    </w:p>
    <w:p w14:paraId="00000089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лично, обратившись в контрольный орган;</w:t>
      </w:r>
    </w:p>
    <w:p w14:paraId="0000008A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почтовой связью по адресу: 6285</w:t>
      </w:r>
      <w:r>
        <w:rPr>
          <w:sz w:val="28"/>
          <w:szCs w:val="28"/>
        </w:rPr>
        <w:t>06</w:t>
      </w:r>
      <w:r>
        <w:rPr>
          <w:sz w:val="28"/>
          <w:szCs w:val="28"/>
        </w:rPr>
        <w:t xml:space="preserve">, Тюменская область, Ханты-Мансийский автономный округ-Югра, Ханты-Мансийский район,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, ул. </w:t>
      </w:r>
      <w:r>
        <w:rPr>
          <w:sz w:val="28"/>
          <w:szCs w:val="28"/>
        </w:rPr>
        <w:t>Братьев-Фирсовых</w:t>
      </w:r>
      <w:r>
        <w:rPr>
          <w:sz w:val="28"/>
          <w:szCs w:val="28"/>
        </w:rPr>
        <w:t xml:space="preserve">, дом </w:t>
      </w:r>
      <w:r>
        <w:rPr>
          <w:sz w:val="28"/>
          <w:szCs w:val="28"/>
        </w:rPr>
        <w:t>24а</w:t>
      </w:r>
      <w:r>
        <w:rPr>
          <w:sz w:val="28"/>
          <w:szCs w:val="28"/>
        </w:rPr>
        <w:t>;</w:t>
      </w:r>
    </w:p>
    <w:p w14:paraId="0000008B">
      <w:pPr>
        <w:widowControl w:val="off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в электронном виде через единый портал государственных и муниципальных услуг (функций).</w:t>
      </w:r>
    </w:p>
    <w:p w14:paraId="0000008C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Возражение контрольный орган рассматривает не позднее 30 дней с даты его получения, по итогам которого принимает одно из указанных решений:</w:t>
      </w:r>
    </w:p>
    <w:p w14:paraId="0000008D">
      <w:pPr>
        <w:widowControl w:val="off"/>
        <w:spacing w:line="276" w:lineRule="auto"/>
        <w:ind w:firstLine="720"/>
        <w:jc w:val="both"/>
        <w:rPr>
          <w:i/>
        </w:rPr>
      </w:pPr>
      <w:r>
        <w:rPr>
          <w:sz w:val="28"/>
          <w:szCs w:val="28"/>
        </w:rPr>
        <w:t xml:space="preserve">в случае признания доводов контролируемого лица состоятельными – о недействительности направленного предостережения с соответствующей отметкой в журнале учета объявленных предостережений, о чем уведомляет его в срок не позднее </w:t>
      </w:r>
      <w:r>
        <w:rPr>
          <w:sz w:val="28"/>
          <w:szCs w:val="24"/>
        </w:rPr>
        <w:t>3 рабочих дней с даты принятия решения;</w:t>
      </w:r>
    </w:p>
    <w:p w14:paraId="0000008E">
      <w:pPr>
        <w:widowControl w:val="off"/>
        <w:spacing w:line="276" w:lineRule="auto"/>
        <w:ind w:firstLine="720"/>
        <w:jc w:val="both"/>
        <w:rPr>
          <w:i/>
          <w:sz w:val="24"/>
          <w:szCs w:val="24"/>
        </w:rPr>
      </w:pPr>
      <w:r>
        <w:rPr>
          <w:sz w:val="28"/>
          <w:szCs w:val="28"/>
        </w:rPr>
        <w:t xml:space="preserve">в случае признания доводов контролируемого лица несостоятельными – об оставлении возражения без удовлетворения, о чем уведомляет его в срок не позднее </w:t>
      </w:r>
      <w:r>
        <w:rPr>
          <w:sz w:val="28"/>
          <w:szCs w:val="24"/>
        </w:rPr>
        <w:t>3 рабочих дня с даты принятия решения</w:t>
      </w:r>
      <w:r>
        <w:rPr>
          <w:i/>
          <w:sz w:val="24"/>
          <w:szCs w:val="24"/>
        </w:rPr>
        <w:t>.</w:t>
      </w:r>
    </w:p>
    <w:p w14:paraId="0000008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3.7. Консультирование контролируемых лиц и их представителей </w:t>
      </w:r>
      <w:r>
        <w:rPr>
          <w:sz w:val="28"/>
          <w:szCs w:val="28"/>
        </w:rPr>
        <w:t>осуществляется инспектором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0000009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осуществляется без взимания платы.</w:t>
      </w:r>
    </w:p>
    <w:p w14:paraId="0000009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Консультирование может осуществляться инспектором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14:paraId="0000009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Время консультирования не должно превышать 15 минут.</w:t>
      </w:r>
    </w:p>
    <w:p w14:paraId="0000009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Личный прием граждан проводится руководителем контрольного органа.  </w:t>
      </w:r>
    </w:p>
    <w:p w14:paraId="00000094">
      <w:pPr>
        <w:widowControl w:val="off"/>
        <w:spacing w:line="276" w:lineRule="auto"/>
        <w:jc w:val="both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  <w:t>Информация о месте приема, а также об установленных для приема днях и часах размещае</w:t>
      </w:r>
      <w:r>
        <w:rPr>
          <w:color w:val="auto"/>
          <w:sz w:val="28"/>
          <w:szCs w:val="28"/>
          <w:u w:val="none"/>
        </w:rPr>
        <w:t>тся на официальном сайте администрации сельского поселения</w:t>
      </w:r>
      <w:r>
        <w:rPr>
          <w:color w:val="auto"/>
          <w:sz w:val="28"/>
          <w:szCs w:val="28"/>
          <w:u w:val="none"/>
        </w:rPr>
        <w:t xml:space="preserve"> 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color w:val="auto"/>
          <w:sz w:val="28"/>
          <w:szCs w:val="28"/>
          <w:u w:val="none"/>
        </w:rPr>
        <w:t>.</w:t>
      </w:r>
    </w:p>
    <w:p w14:paraId="0000009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color w:val="auto"/>
          <w:sz w:val="28"/>
          <w:szCs w:val="28"/>
          <w:u w:val="none"/>
        </w:rPr>
        <w:tab/>
        <w:t>Консультирование в письменной форме осуществляется инспектором в сроки, установленные Федеральным законом от 02.05.2006 № 59</w:t>
      </w:r>
      <w:r>
        <w:rPr>
          <w:sz w:val="28"/>
          <w:szCs w:val="28"/>
        </w:rPr>
        <w:t>-ФЗ «О порядке рассмотрения обращений граждан Российской Федерации», в следующих случаях:</w:t>
      </w:r>
    </w:p>
    <w:p w14:paraId="0000009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 контролируемым лицом представлен письменный запрос о предоставлении письменного ответа по вопросам консультирования;</w:t>
      </w:r>
    </w:p>
    <w:p w14:paraId="0000009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 за время консультирования предоставить ответ на поставленные вопросы невозможно;</w:t>
      </w:r>
    </w:p>
    <w:p w14:paraId="00000098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 ответ на поставленные вопросы требует дополнительного запроса сведений от иных органов власти или лиц.</w:t>
      </w:r>
    </w:p>
    <w:p w14:paraId="0000009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поставленные во время консультирования вопросы не относятся к осуществляемому виду муниципального контроля даются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14:paraId="0000009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000009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000009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Информация, ставшая известной должностному лицу контрольного </w:t>
      </w:r>
      <w:r>
        <w:rPr>
          <w:sz w:val="28"/>
          <w:szCs w:val="28"/>
        </w:rPr>
        <w:t>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0000009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</w:p>
    <w:p w14:paraId="0000009E">
      <w:pPr>
        <w:widowControl w:val="off"/>
        <w:spacing w:line="276" w:lineRule="auto"/>
        <w:jc w:val="both"/>
        <w:rPr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  <w:t xml:space="preserve">В случае, поступления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color w:val="auto"/>
          <w:sz w:val="28"/>
          <w:szCs w:val="28"/>
          <w:u w:val="none"/>
        </w:rPr>
        <w:t xml:space="preserve">администрации сельского поселения </w:t>
      </w:r>
      <w:r>
        <w:rPr>
          <w:color w:val="auto"/>
          <w:sz w:val="28"/>
          <w:szCs w:val="28"/>
          <w:u w:val="none"/>
        </w:rPr>
        <w:t xml:space="preserve">Селиярово </w:t>
      </w:r>
      <w:r>
        <w:fldChar w:fldCharType="begin"/>
      </w:r>
      <w:r>
        <w:instrText xml:space="preserve">HYPERLINK "http://hmrn.ru/raion/poseleniya/seliyarovo/" </w:instrText>
      </w:r>
      <w:r>
        <w:fldChar w:fldCharType="separate"/>
      </w:r>
      <w:r>
        <w:rPr>
          <w:rStyle w:val="Hyperlink"/>
          <w:rFonts w:eastAsia="Arial"/>
          <w:color w:val="auto"/>
          <w:sz w:val="28"/>
          <w:szCs w:val="28"/>
          <w:u w:val="none"/>
        </w:rPr>
        <w:t>http://hmrn.ru/raion/poseleniya/seliyarovo/</w:t>
      </w:r>
      <w:r>
        <w:fldChar w:fldCharType="end"/>
      </w:r>
      <w:r>
        <w:rPr>
          <w:rStyle w:val="Hyperlink"/>
          <w:rFonts w:eastAsia="Arial"/>
          <w:color w:val="auto"/>
          <w:sz w:val="28"/>
          <w:szCs w:val="28"/>
          <w:u w:val="none"/>
        </w:rPr>
        <w:t xml:space="preserve"> </w:t>
      </w:r>
      <w:r>
        <w:rPr>
          <w:color w:val="auto"/>
          <w:sz w:val="28"/>
          <w:szCs w:val="28"/>
          <w:u w:val="none"/>
        </w:rPr>
        <w:t>письменного разъяснения, подписанного уполномоченным должностным лицом.</w:t>
      </w:r>
    </w:p>
    <w:p w14:paraId="0000009F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color w:val="auto"/>
          <w:sz w:val="28"/>
          <w:szCs w:val="28"/>
          <w:u w:val="none"/>
        </w:rPr>
        <w:tab/>
        <w:t>3.8. Профилактиче</w:t>
      </w:r>
      <w:r>
        <w:rPr>
          <w:sz w:val="28"/>
          <w:szCs w:val="28"/>
        </w:rPr>
        <w:t xml:space="preserve">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</w:t>
      </w:r>
    </w:p>
    <w:p w14:paraId="000000A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000000A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14:paraId="000000A2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 профилактический визит проводится в </w:t>
      </w:r>
      <w:r>
        <w:rPr>
          <w:color w:val="000000"/>
          <w:sz w:val="28"/>
          <w:szCs w:val="28"/>
        </w:rPr>
        <w:t xml:space="preserve">порядке 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и случаях, предусмотренных статьями 25, 52.1</w:t>
      </w:r>
      <w:r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248-ФЗ.</w:t>
      </w:r>
    </w:p>
    <w:p w14:paraId="000000A3">
      <w:pPr>
        <w:widowControl w:val="off"/>
        <w:spacing w:line="276" w:lineRule="auto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sz w:val="28"/>
          <w:szCs w:val="28"/>
        </w:rPr>
        <w:t xml:space="preserve">Периодичность проведения обязательных профилактических визитов в отношении объектов контроля, отнесенных к определенным категориям риска, </w:t>
      </w:r>
      <w:r>
        <w:rPr>
          <w:rFonts w:ascii="Times New Roman" w:cs="Times New Roman" w:hAnsi="Times New Roman"/>
          <w:sz w:val="28"/>
          <w:szCs w:val="28"/>
        </w:rPr>
        <w:t>устанавливаются соразмерно рискам причинения вреда (ущерба).</w:t>
      </w:r>
    </w:p>
    <w:p w14:paraId="000000A4">
      <w:pPr>
        <w:widowControl w:val="off"/>
        <w:spacing w:line="276" w:lineRule="auto"/>
        <w:ind w:firstLine="72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eastAsia="TimesNewRoman" w:hAnsi="Times New Roman"/>
          <w:color w:val="000000"/>
          <w:sz w:val="28"/>
          <w:szCs w:val="28"/>
        </w:rPr>
        <w:t>Периодичность проведения обязательных профилактических визитов составляет: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 w14:paraId="000000A5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 для</w:t>
      </w:r>
      <w:r>
        <w:rPr>
          <w:sz w:val="28"/>
          <w:szCs w:val="28"/>
        </w:rPr>
        <w:t xml:space="preserve"> объектов контроля, отнесенных к категории среднего и </w:t>
      </w:r>
      <w:r>
        <w:rPr>
          <w:sz w:val="28"/>
          <w:szCs w:val="28"/>
        </w:rPr>
        <w:t xml:space="preserve">умеренного риска, периодичность устанавливается Правительством Российской Федерации; </w:t>
      </w:r>
    </w:p>
    <w:p w14:paraId="000000A6">
      <w:pPr>
        <w:widowControl w:val="off"/>
        <w:spacing w:line="276" w:lineRule="auto"/>
        <w:ind w:firstLine="720"/>
        <w:jc w:val="both"/>
        <w:rPr>
          <w:bCs/>
          <w:i/>
          <w:sz w:val="24"/>
          <w:szCs w:val="24"/>
        </w:rPr>
      </w:pPr>
      <w:r>
        <w:rPr>
          <w:sz w:val="28"/>
          <w:szCs w:val="28"/>
        </w:rPr>
        <w:t xml:space="preserve">- для объектов контроля, отнесенных к категории низкого риска – обязательные профилактические мероприятия не проводятся. </w:t>
      </w:r>
    </w:p>
    <w:p w14:paraId="000000A7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000000A8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000000A9">
      <w:pPr>
        <w:widowControl w:val="off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</w:t>
      </w:r>
      <w:r>
        <w:rPr>
          <w:sz w:val="24"/>
          <w:szCs w:val="24"/>
        </w:rPr>
        <w:t xml:space="preserve"> </w:t>
      </w:r>
    </w:p>
    <w:p w14:paraId="000000AA">
      <w:pPr>
        <w:spacing w:line="276" w:lineRule="auto"/>
        <w:ind w:firstLine="709"/>
        <w:jc w:val="both"/>
        <w:rPr>
          <w:i/>
          <w:sz w:val="24"/>
          <w:szCs w:val="24"/>
        </w:rPr>
      </w:pPr>
    </w:p>
    <w:p w14:paraId="000000AB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4. Осуществление муниципального контроля </w:t>
      </w:r>
    </w:p>
    <w:p w14:paraId="000000AC">
      <w:pPr>
        <w:widowControl w:val="off"/>
        <w:spacing w:line="276" w:lineRule="auto"/>
        <w:jc w:val="center"/>
        <w:rPr>
          <w:sz w:val="28"/>
          <w:szCs w:val="28"/>
        </w:rPr>
      </w:pPr>
    </w:p>
    <w:p w14:paraId="000000A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4.1. Муниципальный контроль со взаимодействием с контролируемым лицом осуществляется при проведении следующих контрольных мероприятий:</w:t>
      </w:r>
    </w:p>
    <w:p w14:paraId="000000A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инспекционный визит;</w:t>
      </w:r>
    </w:p>
    <w:p w14:paraId="000000A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рейдовый осмотр;</w:t>
      </w:r>
    </w:p>
    <w:p w14:paraId="000000B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14:paraId="000000B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выездная проверка.</w:t>
      </w:r>
    </w:p>
    <w:p w14:paraId="000000B2">
      <w:pPr>
        <w:widowControl w:val="off"/>
        <w:spacing w:line="276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4.2. Инспекционный визит, рейдовый осмотр, выездная проверка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B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4.3. При проведении контрольных мероприятий в рамках осуществления муниципального контроля должностное лицо контрольного органа:</w:t>
      </w:r>
    </w:p>
    <w:p w14:paraId="000000B4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совершает действия, предусмотренные частью 2 статьи 29 Федерального закона № 248-ФЗ;</w:t>
      </w:r>
    </w:p>
    <w:p w14:paraId="000000B5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принимает решения, предусмотренные частью 2 статьи 90 Федерального закона № 248-ФЗ;</w:t>
      </w:r>
    </w:p>
    <w:p w14:paraId="000000B6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использует для фиксации доказательств нарушений обязательных </w:t>
      </w:r>
      <w:r>
        <w:rPr>
          <w:sz w:val="28"/>
          <w:szCs w:val="28"/>
        </w:rPr>
        <w:t xml:space="preserve">требований фотосъемку, аудио- и (или) видеозапись, если совершение указанных действий не запрещено федеральными законами. </w:t>
      </w:r>
    </w:p>
    <w:p w14:paraId="000000B7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4.4.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использованием мобильного приложения «Инспектор».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</w:p>
    <w:p w14:paraId="000000B8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14:paraId="000000B9">
      <w:pPr>
        <w:widowControl w:val="off"/>
        <w:spacing w:line="276" w:lineRule="auto"/>
        <w:ind w:firstLine="720"/>
        <w:jc w:val="both"/>
        <w:rPr>
          <w:bCs/>
          <w:i/>
          <w:sz w:val="24"/>
          <w:szCs w:val="24"/>
        </w:rPr>
      </w:pPr>
      <w:r>
        <w:rPr>
          <w:sz w:val="28"/>
          <w:szCs w:val="28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000000BA">
      <w:pPr>
        <w:widowControl w:val="off"/>
        <w:jc w:val="both"/>
        <w:rPr>
          <w:bCs/>
          <w:sz w:val="28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4"/>
        </w:rPr>
        <w:t xml:space="preserve">4.5. При осуществлении муниципального контроля плановые контрольные мероприятия не проводятся. </w:t>
      </w:r>
    </w:p>
    <w:p w14:paraId="000000BB">
      <w:pPr>
        <w:widowControl w:val="off"/>
        <w:ind w:firstLine="720"/>
        <w:jc w:val="both"/>
        <w:rPr>
          <w:sz w:val="28"/>
          <w:szCs w:val="24"/>
        </w:rPr>
      </w:pPr>
      <w:r>
        <w:rPr>
          <w:iCs/>
          <w:sz w:val="28"/>
          <w:szCs w:val="24"/>
        </w:rPr>
        <w:t>4.6. Контрольные мероприятия осуществляются на внеплановой основе.</w:t>
      </w:r>
    </w:p>
    <w:p w14:paraId="000000BC">
      <w:pPr>
        <w:widowControl w:val="o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 Для проведения контрольного мероприятия, предусматривающего взаимодействие с контролируемым лицом, а также документарной проверки, контрольный орган принимает решение о ее проведении, в котором указывает сведения, предусмотренные частью 1 статьи 64 Федерального закона № 248-ФЗ.</w:t>
      </w:r>
    </w:p>
    <w:p w14:paraId="000000B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4.8. Инспекционный визит проводится в порядке и в сроки, </w:t>
      </w:r>
      <w:r>
        <w:rPr>
          <w:sz w:val="28"/>
          <w:szCs w:val="28"/>
        </w:rPr>
        <w:t>установленные статьей 70 Федерального закона № 248-ФЗ.</w:t>
      </w:r>
    </w:p>
    <w:p w14:paraId="000000B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инспекционного визита могут совершаться следующие контрольные действия:</w:t>
      </w:r>
    </w:p>
    <w:p w14:paraId="000000B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осмотр;</w:t>
      </w:r>
    </w:p>
    <w:p w14:paraId="000000C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опрос;</w:t>
      </w:r>
    </w:p>
    <w:p w14:paraId="000000C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получение письменных объяснений;</w:t>
      </w:r>
    </w:p>
    <w:p w14:paraId="000000C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инструментальное обследование;</w:t>
      </w:r>
    </w:p>
    <w:p w14:paraId="000000C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000000C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000000C5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4.9. Рейдовый осмотр проводится в порядке и в сроки, установленные статьей 71 Федерального закона № 248-ФЗ.</w:t>
      </w:r>
    </w:p>
    <w:p w14:paraId="000000C6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рейдового осмотра могут совершаться следующие контрольные действия:</w:t>
      </w:r>
    </w:p>
    <w:p w14:paraId="000000C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осмотр;</w:t>
      </w:r>
    </w:p>
    <w:p w14:paraId="000000C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получение письменных объяснений;</w:t>
      </w:r>
    </w:p>
    <w:p w14:paraId="000000C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истребование документов;</w:t>
      </w:r>
    </w:p>
    <w:p w14:paraId="000000CA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инструментальное обследование.</w:t>
      </w:r>
    </w:p>
    <w:p w14:paraId="000000CB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000000C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4.10. Документарная проверка проводится в порядке и в сроки, установленные статьей 72 Федерального закона № 248-ФЗ.</w:t>
      </w:r>
    </w:p>
    <w:p w14:paraId="000000C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документарной проверки могут совершаться следующие контрольные действия:</w:t>
      </w:r>
    </w:p>
    <w:p w14:paraId="000000CE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получение письменных объяснений;</w:t>
      </w:r>
    </w:p>
    <w:p w14:paraId="000000C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истребование документов;</w:t>
      </w:r>
    </w:p>
    <w:p w14:paraId="000000D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экспертиза.</w:t>
      </w:r>
    </w:p>
    <w:p w14:paraId="000000D1">
      <w:pPr>
        <w:pStyle w:val="NoSpacing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Внеплановая документарная проверка может проводиться только по согласованию с органами прокуратуры, за исключением случая ее </w:t>
      </w:r>
      <w:r>
        <w:rPr>
          <w:sz w:val="28"/>
          <w:szCs w:val="28"/>
        </w:rPr>
        <w:t>проведения в соответствии с пунктами 3, 4, 6, 8 части 1 статьи 57 Федерального закона № 248-ФЗ.</w:t>
      </w:r>
    </w:p>
    <w:p w14:paraId="000000D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540"/>
        <w:jc w:val="both"/>
        <w:rPr>
          <w:color w:val="ff0000"/>
          <w:sz w:val="24"/>
          <w:szCs w:val="24"/>
        </w:rPr>
      </w:pPr>
      <w:r>
        <w:rPr>
          <w:color w:val="ff0000"/>
          <w:sz w:val="28"/>
          <w:szCs w:val="28"/>
        </w:rPr>
        <w:tab/>
      </w:r>
      <w:r>
        <w:rPr>
          <w:sz w:val="28"/>
          <w:szCs w:val="28"/>
        </w:rPr>
        <w:t>4.11. В соответствии со статьей 73 Федерального закона № 248-ФЗ</w:t>
      </w:r>
      <w:r>
        <w:t xml:space="preserve"> </w:t>
      </w:r>
      <w:r>
        <w:rPr>
          <w:sz w:val="28"/>
          <w:szCs w:val="28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000000D3">
      <w:pPr>
        <w:spacing w:line="276" w:lineRule="auto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ab/>
        <w:t>В ходе выездной проверки могут совершаться следующие контрольные действия:</w:t>
      </w:r>
    </w:p>
    <w:p w14:paraId="000000D4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1) осмотр;</w:t>
      </w:r>
    </w:p>
    <w:p w14:paraId="000000D5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2) досмотр;</w:t>
      </w:r>
    </w:p>
    <w:p w14:paraId="000000D6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3) получение письменных объяснений;</w:t>
      </w:r>
    </w:p>
    <w:p w14:paraId="000000D7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4) истребование документов;</w:t>
      </w:r>
    </w:p>
    <w:p w14:paraId="000000D8">
      <w:pPr>
        <w:spacing w:line="276" w:lineRule="auto"/>
        <w:ind w:firstLine="72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5) инструментальное обследование.</w:t>
      </w:r>
    </w:p>
    <w:p w14:paraId="000000D9">
      <w:pPr>
        <w:widowControl w:val="off"/>
        <w:spacing w:line="276" w:lineRule="auto"/>
        <w:ind w:firstLine="720"/>
        <w:jc w:val="both"/>
        <w:rPr>
          <w:bCs/>
          <w:i/>
          <w:sz w:val="24"/>
          <w:szCs w:val="24"/>
        </w:rPr>
      </w:pPr>
      <w:r>
        <w:rPr>
          <w:sz w:val="28"/>
          <w:szCs w:val="28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</w:t>
      </w:r>
    </w:p>
    <w:p w14:paraId="000000DA">
      <w:pPr>
        <w:spacing w:line="276" w:lineRule="auto"/>
        <w:jc w:val="both"/>
        <w:rPr/>
      </w:pPr>
      <w:r>
        <w:rPr>
          <w:sz w:val="28"/>
          <w:szCs w:val="28"/>
        </w:rPr>
        <w:tab/>
        <w:t>4.12. Без взаимодействия с контролируемым лицом осуществляются следующие контрольные мероприятия</w:t>
      </w:r>
      <w:r>
        <w:rPr>
          <w:sz w:val="24"/>
          <w:szCs w:val="24"/>
        </w:rPr>
        <w:t>:</w:t>
      </w:r>
      <w:r>
        <w:rPr>
          <w:sz w:val="28"/>
          <w:szCs w:val="28"/>
        </w:rPr>
        <w:t xml:space="preserve"> </w:t>
      </w:r>
    </w:p>
    <w:p w14:paraId="000000DB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1) наблюдение за соблюдением обязательных требований;</w:t>
      </w:r>
    </w:p>
    <w:p w14:paraId="000000DC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2) выездное обследование.</w:t>
      </w:r>
    </w:p>
    <w:p w14:paraId="000000DD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</w:t>
      </w:r>
    </w:p>
    <w:p w14:paraId="000000DE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 Наблюдение за соблюдением обязательных требований (мониторинг безопасности) проводится в порядке, установленном статьей 74 Федерального закона № 248-ФЗ. </w:t>
      </w:r>
    </w:p>
    <w:p w14:paraId="000000DF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4.14. Выездное обследование проводится в порядке, установленном </w:t>
      </w:r>
      <w:r>
        <w:rPr>
          <w:sz w:val="28"/>
          <w:szCs w:val="28"/>
        </w:rPr>
        <w:t>статьей 75 Федерального закона № 248-ФЗ.</w:t>
      </w:r>
    </w:p>
    <w:p w14:paraId="000000E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14:paraId="000000E1">
      <w:pPr>
        <w:widowControl w:val="off"/>
        <w:spacing w:line="276" w:lineRule="auto"/>
        <w:jc w:val="both"/>
        <w:rPr/>
      </w:pPr>
      <w:r>
        <w:rPr>
          <w:sz w:val="28"/>
          <w:szCs w:val="28"/>
        </w:rPr>
        <w:tab/>
        <w:t>1) осмотр;</w:t>
      </w:r>
    </w:p>
    <w:p w14:paraId="000000E2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2) инструментальное обследование (с применением видеозаписи).</w:t>
      </w:r>
    </w:p>
    <w:p w14:paraId="000000E3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4.15. Случаи, при наступлении которых контролируемое лицо представляет в контрольный орган информацию о невозможности присутствия при проведении контрольного мероприятия, в связи с чем его проведение переносится на срок, необходимый для устранения обстоятельств, послуживших поводом для обращения контролируемого лица:</w:t>
      </w:r>
    </w:p>
    <w:p w14:paraId="000000E4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катастрофа природного или техногенного характера;</w:t>
      </w:r>
    </w:p>
    <w:p w14:paraId="000000E5">
      <w:pPr>
        <w:widowControl w:val="off"/>
        <w:spacing w:line="276" w:lineRule="auto"/>
        <w:ind w:firstLine="720"/>
        <w:jc w:val="both"/>
        <w:rPr/>
      </w:pPr>
      <w:r>
        <w:rPr>
          <w:sz w:val="28"/>
          <w:szCs w:val="28"/>
        </w:rPr>
        <w:t>эпидемия или эпизоотия;</w:t>
      </w:r>
    </w:p>
    <w:p w14:paraId="000000E6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введение чрезвычайного или военного положения.</w:t>
      </w:r>
    </w:p>
    <w:p w14:paraId="000000E7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4.16. Осмотр осуществляется в порядке, установленном статьей 76 Федерального закона № 248-ФЗ.</w:t>
      </w:r>
    </w:p>
    <w:p w14:paraId="000000E8">
      <w:pPr>
        <w:pStyle w:val="NoSpacing"/>
        <w:spacing w:line="276" w:lineRule="auto"/>
        <w:ind w:firstLine="720"/>
        <w:jc w:val="both"/>
        <w:rPr>
          <w:bCs/>
          <w:i/>
        </w:rPr>
      </w:pPr>
      <w:r>
        <w:rPr>
          <w:sz w:val="28"/>
          <w:szCs w:val="28"/>
        </w:rPr>
        <w:t xml:space="preserve">Осмотр может проводиться при осуществлении инспекционного визита, рейдового осмотра, выездной проверки и выездного обследования. </w:t>
      </w:r>
    </w:p>
    <w:p w14:paraId="000000E9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EA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4.17. Досмотр осуществляется в порядке, установленном статьей 77 Федерального закона № 248-ФЗ.</w:t>
      </w:r>
    </w:p>
    <w:p w14:paraId="000000EB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Досмотр </w:t>
      </w:r>
      <w:r>
        <w:rPr>
          <w:sz w:val="28"/>
          <w:szCs w:val="28"/>
        </w:rPr>
        <w:t>может проводиться при осуществлении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рейдового осмотра и выездной проверки.</w:t>
      </w:r>
      <w:r>
        <w:rPr>
          <w:bCs/>
          <w:sz w:val="28"/>
          <w:szCs w:val="28"/>
        </w:rPr>
        <w:t xml:space="preserve"> </w:t>
      </w:r>
    </w:p>
    <w:p w14:paraId="000000EC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Досмотр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ED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4.18. Получение письменных объяснений осуществляется в порядке, установленном статьей 79 Федерального закона № 248-ФЗ.</w:t>
      </w:r>
    </w:p>
    <w:p w14:paraId="000000EE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письменных объяснений может проводиться при осуществлении инспекционного визита, рейдового осмотра, документарной проверки, выездной проверки. </w:t>
      </w:r>
    </w:p>
    <w:p w14:paraId="000000EF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4.19. Истребование документов осуществляется в порядке, установленном статьей 80 Федерального закона № 248-ФЗ.</w:t>
      </w:r>
    </w:p>
    <w:p w14:paraId="000000F0">
      <w:pPr>
        <w:widowControl w:val="off"/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Истребование документов </w:t>
      </w:r>
      <w:r>
        <w:rPr>
          <w:sz w:val="28"/>
          <w:szCs w:val="28"/>
        </w:rPr>
        <w:t>может проводиться при осуществлении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инспекционного визита, рейдового осмотра, документарной проверки и выездной проверки</w:t>
      </w:r>
      <w:r>
        <w:rPr>
          <w:bCs/>
          <w:sz w:val="28"/>
          <w:szCs w:val="28"/>
        </w:rPr>
        <w:t xml:space="preserve">. </w:t>
      </w:r>
    </w:p>
    <w:p w14:paraId="000000F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jc w:val="both"/>
        <w:rPr>
          <w:sz w:val="28"/>
          <w:szCs w:val="28"/>
        </w:rPr>
      </w:pPr>
      <w:r>
        <w:rPr>
          <w:i/>
          <w:iCs/>
          <w:color w:val="000000"/>
          <w:sz w:val="24"/>
        </w:rPr>
        <w:tab/>
      </w:r>
      <w:r>
        <w:rPr>
          <w:bCs/>
          <w:sz w:val="28"/>
          <w:szCs w:val="28"/>
        </w:rPr>
        <w:t>4.20. Инструментальное обследование осуществляется в соответствии со статьей 82 Федерального закона № 248-ФЗ.</w:t>
      </w:r>
    </w:p>
    <w:p w14:paraId="000000F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Инструментальное обследование может проводиться при осуществлении инспекционного визита, рейдового осмотра, выездной проверки, выездного обследования. </w:t>
      </w:r>
    </w:p>
    <w:p w14:paraId="000000F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14:paraId="000000F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Контролируемое лицо или его представитель, присутствующие при проведении инструментального обследования, информируются должностными лицами контрольного органа о целях проведения инструментального обследования.</w:t>
      </w:r>
    </w:p>
    <w:p w14:paraId="000000F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присутствовавших при проведении инструментального обследования.</w:t>
      </w:r>
    </w:p>
    <w:p w14:paraId="000000F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Информация о проведении инструментального обследования включается в акт контрольного мероприятия.</w:t>
      </w:r>
    </w:p>
    <w:p w14:paraId="000000F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4.21. Экспертиза </w:t>
      </w:r>
      <w:r>
        <w:rPr>
          <w:bCs/>
          <w:sz w:val="28"/>
          <w:szCs w:val="28"/>
        </w:rPr>
        <w:t>осуществляется в соответствии со статьей 84 Федерального закона № 248-ФЗ.</w:t>
      </w:r>
    </w:p>
    <w:p w14:paraId="000000F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Экспертиза может проводиться при осуществлении </w:t>
      </w:r>
      <w:r>
        <w:rPr>
          <w:sz w:val="28"/>
          <w:szCs w:val="28"/>
        </w:rPr>
        <w:t>документарной проверки</w:t>
      </w:r>
      <w:r>
        <w:rPr>
          <w:bCs/>
          <w:sz w:val="28"/>
          <w:szCs w:val="28"/>
        </w:rPr>
        <w:t xml:space="preserve">. </w:t>
      </w:r>
    </w:p>
    <w:p w14:paraId="000000F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000000F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Проведение экспертизы осуществляется по поручению должностного лица контрольного органа экспертными организациями, аккредитованными в соответствии с законодательством Российской Федерации об аккредитации в национальной системе аккредитации, привлекаемыми к осуществлению экспертизы контрольными органами, либо экспертами, получившими статус эксперта в соответствии с общими требованиями, </w:t>
      </w:r>
      <w:r>
        <w:rPr>
          <w:bCs/>
          <w:sz w:val="28"/>
          <w:szCs w:val="28"/>
        </w:rPr>
        <w:t>установленными Правительством Российской Федерации, в целях привлечения контрольным органом к осуществлению экспертизы.</w:t>
      </w:r>
    </w:p>
    <w:p w14:paraId="000000F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 назначении и проведении экспертизы контролируемые лица имеют право:</w:t>
      </w:r>
    </w:p>
    <w:p w14:paraId="000000F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информировать контрольный орган о наличии конфликта интересов у лиц, привлекаемых к осуществлению экспертизы;</w:t>
      </w:r>
    </w:p>
    <w:p w14:paraId="000000F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предлагать дополнительные вопросы для получения по ним экспертного заключения, а также уточнять формулировки поставленных вопросов;</w:t>
      </w:r>
    </w:p>
    <w:p w14:paraId="000000F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присутствовать с разрешения должностного лица контрольного органа при осуществлении экспертизы и давать объяснения эксперту;</w:t>
      </w:r>
    </w:p>
    <w:p w14:paraId="000000F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знакомиться с экспертным заключением.</w:t>
      </w:r>
    </w:p>
    <w:p w14:paraId="0000010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Экспертиза осуществляется по месту осуществления деятельности контрольного органа, экспертов, экспертных организаций.</w:t>
      </w:r>
    </w:p>
    <w:p w14:paraId="0000010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Экспертиза проводится в следующем порядке:</w:t>
      </w:r>
    </w:p>
    <w:p w14:paraId="0000010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отбор проб (образцов);</w:t>
      </w:r>
    </w:p>
    <w:p w14:paraId="0000010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проведение исследования (испытаний) и измерений (необходимость их проведения устанавливается экспертом и (или) экспертной организацией);</w:t>
      </w:r>
    </w:p>
    <w:p w14:paraId="0000010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проведение экспертизы отобранной пробы (образца);</w:t>
      </w:r>
    </w:p>
    <w:p w14:paraId="0000010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оформление результатов проведения экспертизы и подписание экспертного заключения (в 3 экземплярах) экспертом и (или) экспертной организацией.</w:t>
      </w:r>
    </w:p>
    <w:p w14:paraId="0000010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Экспертное заключение приобщается к акту контрольного мероприятия.</w:t>
      </w:r>
    </w:p>
    <w:p w14:paraId="0000010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При невозможности транспортировки образца исследования к месту работы эксперта должностное лицо обеспечивает эксперту беспрепятственный доступ к образцу и необходимые условия для исследования.</w:t>
      </w:r>
    </w:p>
    <w:p w14:paraId="0000010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Место осуществления экспертизы определяется должностным лицом, которое проводит контрольное мероприятие.</w:t>
      </w:r>
    </w:p>
    <w:p w14:paraId="0000010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20"/>
        <w:jc w:val="both"/>
        <w:rPr>
          <w:sz w:val="28"/>
          <w:szCs w:val="28"/>
        </w:rPr>
      </w:pPr>
    </w:p>
    <w:p w14:paraId="0000010A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5. Результаты контрольного мероприятия</w:t>
      </w:r>
    </w:p>
    <w:p w14:paraId="0000010B">
      <w:pPr>
        <w:widowControl w:val="off"/>
        <w:spacing w:line="276" w:lineRule="auto"/>
        <w:jc w:val="center"/>
        <w:rPr>
          <w:i/>
          <w:sz w:val="28"/>
          <w:szCs w:val="28"/>
        </w:rPr>
      </w:pPr>
    </w:p>
    <w:p w14:paraId="0000010C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По результатам контрольных мероприятий контрольный орган принимает решения и оформляет их в соответствии с главой 16 Федерального закона № 248-ФЗ.</w:t>
      </w:r>
    </w:p>
    <w:p w14:paraId="0000010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5.2. По окончании проведения контрольного мероприятия,</w:t>
      </w:r>
      <w:r>
        <w:t xml:space="preserve"> </w:t>
      </w:r>
      <w:r>
        <w:rPr>
          <w:sz w:val="28"/>
          <w:szCs w:val="28"/>
        </w:rPr>
        <w:t xml:space="preserve">предусматривающего взаимодействие с контролируемым лицом, должностное лицо контрольного органа составляет соответствующий акт. </w:t>
      </w:r>
      <w:r>
        <w:rPr>
          <w:sz w:val="28"/>
          <w:szCs w:val="28"/>
        </w:rPr>
        <w:tab/>
        <w:t xml:space="preserve"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14:paraId="0000010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</w:t>
      </w:r>
    </w:p>
    <w:p w14:paraId="0000010F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 </w:t>
      </w:r>
    </w:p>
    <w:p w14:paraId="00000110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5.3. </w:t>
      </w:r>
      <w:r>
        <w:rPr>
          <w:iCs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  <w:r>
        <w:rPr>
          <w:sz w:val="28"/>
          <w:szCs w:val="28"/>
        </w:rPr>
        <w:t xml:space="preserve">  </w:t>
      </w:r>
    </w:p>
    <w:p w14:paraId="00000111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5.4. Акт 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</w:p>
    <w:p w14:paraId="00000112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5.5. 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квалифицированной электронной подписью.</w:t>
      </w:r>
    </w:p>
    <w:p w14:paraId="00000113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5.6. В случае проведения контрольных мероприятий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</w:t>
      </w:r>
      <w:r>
        <w:rPr>
          <w:sz w:val="28"/>
          <w:szCs w:val="28"/>
        </w:rPr>
        <w:t>248-ФЗ, или в иных случаях, контрольный орган направляет акт контролируемому лицу в порядке, установленном статьей 21 Федерального закона № 248-ФЗ.</w:t>
      </w:r>
    </w:p>
    <w:p w14:paraId="00000114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5.7. 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                            № 248-ФЗ контролируемое лицо не подписывает акт и считается получившим акт в случае его размещения в ЕРКНМ и получения уведомления об этом в порядке, предусмотренном пунктом 2 части 5 статьи 21 Федерального закона № 248-ФЗ.</w:t>
      </w:r>
    </w:p>
    <w:p w14:paraId="00000115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5.8. 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статьи 90 Федерального закона № 248-ФЗ.</w:t>
      </w:r>
    </w:p>
    <w:p w14:paraId="00000116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5.9. 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мероприятия, обязательного профилактического визита.</w:t>
      </w:r>
    </w:p>
    <w:p w14:paraId="00000117">
      <w:pPr>
        <w:widowControl w:val="off"/>
        <w:spacing w:line="276" w:lineRule="auto"/>
        <w:ind w:firstLine="720"/>
        <w:jc w:val="both"/>
        <w:rPr>
          <w:bCs/>
          <w:i/>
          <w:sz w:val="28"/>
          <w:szCs w:val="28"/>
        </w:rPr>
      </w:pPr>
      <w:r>
        <w:rPr>
          <w:iCs/>
          <w:sz w:val="28"/>
          <w:szCs w:val="28"/>
        </w:rPr>
        <w:t>5.10. Досудебный порядок подачи жалоб, установленный главой 9 Федерального закона № 248-ФЗ, при осуществлении муниципального контроля не применяется.</w:t>
      </w:r>
    </w:p>
    <w:p w14:paraId="00000118">
      <w:pPr>
        <w:widowControl w:val="off"/>
        <w:spacing w:line="276" w:lineRule="auto"/>
        <w:ind w:firstLine="720"/>
        <w:jc w:val="both"/>
        <w:rPr>
          <w:bCs/>
          <w:sz w:val="28"/>
          <w:szCs w:val="28"/>
        </w:rPr>
      </w:pPr>
    </w:p>
    <w:p w14:paraId="00000119">
      <w:pPr>
        <w:spacing w:line="276" w:lineRule="auto"/>
        <w:jc w:val="both"/>
        <w:rPr>
          <w:sz w:val="28"/>
          <w:szCs w:val="28"/>
        </w:rPr>
      </w:pPr>
    </w:p>
    <w:p w14:paraId="0000011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1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2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1</w:t>
      </w:r>
    </w:p>
    <w:p w14:paraId="0000012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 Положению о муниципальном земельном контроле </w:t>
      </w:r>
    </w:p>
    <w:p w14:paraId="0000012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 территории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</w:p>
    <w:p w14:paraId="0000012B">
      <w:pPr>
        <w:pStyle w:val="ConsPlusNormal"/>
        <w:spacing w:line="276" w:lineRule="auto"/>
        <w:ind w:firstLine="540"/>
        <w:jc w:val="right"/>
        <w:rPr>
          <w:rFonts w:ascii="Times New Roman" w:cs="Times New Roman" w:hAnsi="Times New Roman"/>
          <w:bCs/>
          <w:i/>
          <w:sz w:val="24"/>
          <w:szCs w:val="24"/>
        </w:rPr>
      </w:pPr>
    </w:p>
    <w:p w14:paraId="0000012C">
      <w:pPr>
        <w:widowControl w:val="off"/>
        <w:spacing w:line="276" w:lineRule="auto"/>
        <w:jc w:val="center"/>
        <w:rPr>
          <w:b/>
          <w:sz w:val="24"/>
          <w:szCs w:val="24"/>
        </w:rPr>
      </w:pPr>
    </w:p>
    <w:p w14:paraId="0000012D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ПЕРЕЧЕНЬ </w:t>
      </w:r>
    </w:p>
    <w:p w14:paraId="0000012E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ИНДИКИТОРОВ РИСКА НАРУШЕНИЯ ОБЯЗАТЕЛЬНЫХ ТРЕБОВАНИЙ (далее – индикаторы риска)</w:t>
      </w:r>
    </w:p>
    <w:p w14:paraId="0000012F">
      <w:pPr>
        <w:widowControl w:val="off"/>
        <w:spacing w:line="276" w:lineRule="auto"/>
        <w:ind w:firstLine="720"/>
        <w:jc w:val="both"/>
        <w:rPr>
          <w:color w:val="000000"/>
          <w:sz w:val="28"/>
          <w:szCs w:val="28"/>
        </w:rPr>
      </w:pPr>
    </w:p>
    <w:p w14:paraId="00000130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>
        <w:rPr>
          <w:sz w:val="28"/>
          <w:szCs w:val="28"/>
        </w:rPr>
        <w:t>:</w:t>
      </w:r>
    </w:p>
    <w:p w14:paraId="00000131">
      <w:pPr>
        <w:spacing w:line="276" w:lineRule="auto"/>
        <w:ind w:firstLine="709"/>
        <w:jc w:val="both"/>
        <w:rPr>
          <w:sz w:val="28"/>
          <w:szCs w:val="24"/>
        </w:rPr>
      </w:pPr>
      <w:r>
        <w:rPr>
          <w:rFonts w:eastAsia="Calibri"/>
          <w:sz w:val="28"/>
          <w:szCs w:val="24"/>
        </w:rPr>
        <w:t xml:space="preserve">1. </w:t>
      </w:r>
      <w:r>
        <w:rPr>
          <w:sz w:val="28"/>
          <w:szCs w:val="24"/>
        </w:rPr>
        <w:t>Выявление в Едином государственном реестре недвижимости (ЕГРН) в течение одного года двух и более фактов расхождения (несоответствия) сведений об используемой площади земельного участка или об отклонении местоположения характерной точки границы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00000132">
      <w:pPr>
        <w:spacing w:line="276" w:lineRule="auto"/>
        <w:ind w:firstLine="709"/>
        <w:jc w:val="both"/>
        <w:rPr>
          <w:rFonts w:eastAsia="Calibri"/>
          <w:sz w:val="28"/>
          <w:szCs w:val="24"/>
        </w:rPr>
      </w:pPr>
      <w:r>
        <w:rPr>
          <w:sz w:val="28"/>
          <w:szCs w:val="24"/>
        </w:rPr>
        <w:t>2. Выявление в Едином государственном реестре недвижимости (ЕГРН) в течение одного квартала двух и более фактов расхождения (несоответствия) сведений о категории принадлежности земель и (или) признаков отклонения от разрешенного использования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0000013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3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4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2</w:t>
      </w:r>
    </w:p>
    <w:p w14:paraId="0000014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 Положению о муниципальном земельном контроле </w:t>
      </w:r>
    </w:p>
    <w:p w14:paraId="0000014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 территории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</w:p>
    <w:p w14:paraId="00000143">
      <w:pPr>
        <w:widowControl w:val="off"/>
        <w:spacing w:line="276" w:lineRule="auto"/>
        <w:jc w:val="right"/>
        <w:rPr>
          <w:sz w:val="28"/>
          <w:szCs w:val="28"/>
        </w:rPr>
      </w:pPr>
    </w:p>
    <w:p w14:paraId="00000144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ПОКАЗАТЕЛИ РЕЗУЛЬТАТИВНОСТИ И ЭФФЕКТИВНОСТИ </w:t>
      </w:r>
    </w:p>
    <w:p w14:paraId="00000145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И ИХ ЦЕЛЕВЫЕ ЗНАЧЕНИЯ </w:t>
      </w:r>
    </w:p>
    <w:p w14:paraId="00000146">
      <w:pPr>
        <w:widowControl w:val="off"/>
        <w:spacing w:line="276" w:lineRule="auto"/>
        <w:jc w:val="both"/>
        <w:rPr>
          <w:i/>
          <w:sz w:val="8"/>
          <w:szCs w:val="8"/>
        </w:rPr>
      </w:pPr>
    </w:p>
    <w:p w14:paraId="00000147">
      <w:pPr>
        <w:widowControl w:val="off"/>
        <w:spacing w:line="276" w:lineRule="auto"/>
        <w:jc w:val="both"/>
        <w:rPr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</w:p>
    <w:p w14:paraId="00000148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1. Оценка результативности и эффективности деятельности контрольного органа в части осуществления муниципального земельного контроля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осуществляется на основе системы показателей результативности и эффективности.</w:t>
      </w:r>
    </w:p>
    <w:p w14:paraId="00000149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2. В систему показателей результативности и эффективности деятельности контрольного органа входят:</w:t>
      </w:r>
    </w:p>
    <w:p w14:paraId="0000014A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14:paraId="0000014B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- индикативные показатели вида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14:paraId="0000014C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3. Показателем результативности и эффективности осуществления муниципального контроля являются:</w:t>
      </w:r>
    </w:p>
    <w:p w14:paraId="0000014D">
      <w:pPr>
        <w:pStyle w:val="NoSpacing"/>
        <w:spacing w:line="276" w:lineRule="auto"/>
        <w:ind w:firstLine="708"/>
        <w:jc w:val="both"/>
        <w:rPr>
          <w:bCs/>
          <w:i/>
        </w:rPr>
      </w:pPr>
      <w:r>
        <w:rPr>
          <w:sz w:val="28"/>
          <w:szCs w:val="28"/>
        </w:rPr>
        <w:t xml:space="preserve">3.1. Ключевой показатель: </w:t>
      </w:r>
    </w:p>
    <w:p w14:paraId="0000014E">
      <w:pPr>
        <w:pStyle w:val="ListParagraph"/>
        <w:numPr>
          <w:ilvl w:val="0"/>
          <w:numId w:val="1"/>
        </w:numPr>
        <w:spacing w:line="276" w:lineRule="auto"/>
        <w:ind w:left="0" w:firstLine="709"/>
        <w:jc w:val="both"/>
        <w:rPr>
          <w:bCs/>
        </w:rPr>
      </w:pPr>
      <w:r>
        <w:rPr>
          <w:iCs/>
          <w:sz w:val="28"/>
          <w:szCs w:val="28"/>
        </w:rPr>
        <w:t>Материальный ущерб, причиненный объектам земельных отношений, в результате нарушений обязательных требований земельного законодательства, за нарушение которых законодательством предусмотрена административная ответственность;</w:t>
      </w:r>
    </w:p>
    <w:p w14:paraId="0000014F">
      <w:pPr>
        <w:pStyle w:val="ListParagraph"/>
        <w:numPr>
          <w:ilvl w:val="0"/>
          <w:numId w:val="1"/>
        </w:numPr>
        <w:spacing w:line="276" w:lineRule="auto"/>
        <w:ind w:left="0" w:firstLine="709"/>
        <w:jc w:val="both"/>
        <w:rPr>
          <w:bCs/>
        </w:rPr>
      </w:pPr>
      <w:r>
        <w:rPr>
          <w:rFonts w:eastAsia="Calibri"/>
          <w:iCs/>
          <w:sz w:val="28"/>
          <w:szCs w:val="28"/>
        </w:rPr>
        <w:t>Доля площади земельных участков, которым причинен вред (ущерб) в результате нарушения обязательных требований, установленных земельным законодательством, в процентах от общей площади земельных участков</w:t>
      </w:r>
      <w:r>
        <w:rPr>
          <w:iCs/>
          <w:sz w:val="28"/>
          <w:szCs w:val="28"/>
        </w:rPr>
        <w:t>;</w:t>
      </w:r>
    </w:p>
    <w:p w14:paraId="00000150">
      <w:pPr>
        <w:pStyle w:val="ListParagraph"/>
        <w:numPr>
          <w:ilvl w:val="0"/>
          <w:numId w:val="1"/>
        </w:numPr>
        <w:spacing w:line="276" w:lineRule="auto"/>
        <w:ind w:left="0" w:firstLine="709"/>
        <w:jc w:val="both"/>
        <w:rPr>
          <w:bCs/>
        </w:rPr>
      </w:pPr>
      <w:r>
        <w:rPr>
          <w:iCs/>
          <w:sz w:val="28"/>
          <w:szCs w:val="28"/>
        </w:rPr>
        <w:t>Материальный вред, причиненный почвам земель местного назначения, на валовый внутренний продукт Российской Федерации.</w:t>
      </w:r>
    </w:p>
    <w:p w14:paraId="00000151">
      <w:pPr>
        <w:pStyle w:val="NoSpacing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значение </w:t>
      </w:r>
      <w:r>
        <w:rPr>
          <w:color w:val="000000"/>
          <w:sz w:val="28"/>
          <w:szCs w:val="28"/>
        </w:rPr>
        <w:t>ключевого показателя КП1 отношение</w:t>
      </w:r>
      <w:r>
        <w:rPr>
          <w:sz w:val="28"/>
          <w:szCs w:val="28"/>
        </w:rPr>
        <w:t xml:space="preserve"> вреда (ущерба), причиненного в результате нарушения обязательных требований, к общему объему охраняемых законом ценностей: ______</w:t>
      </w:r>
      <w:r>
        <w:rPr>
          <w:sz w:val="28"/>
          <w:szCs w:val="28"/>
          <w:u w:val="single"/>
        </w:rPr>
        <w:t>0,1 %</w:t>
      </w:r>
      <w:r>
        <w:rPr>
          <w:sz w:val="28"/>
          <w:szCs w:val="28"/>
        </w:rPr>
        <w:t>________</w:t>
      </w:r>
    </w:p>
    <w:p w14:paraId="0000015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Значение указанного ключевого показателя рассчитывается по формуле:</w:t>
      </w:r>
      <w:r>
        <w:rPr>
          <w:sz w:val="28"/>
          <w:szCs w:val="28"/>
        </w:rPr>
        <w:t xml:space="preserve"> КП1 = (В/О) х 100%, где:</w:t>
      </w:r>
    </w:p>
    <w:p w14:paraId="0000015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– причиненный вред (ущерб), определяется как кадастровая стоимость земельных участков, которые использовались с нарушением обязательных требований и были выявлены в результате проведения мероприятий муниципального земельного контроля (рублей);</w:t>
      </w:r>
    </w:p>
    <w:p w14:paraId="0000015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– общий объём охраняемых законом ценностей, определяется как кадастровая стоимость всех земельных участков, в отношении которых осуществлены мероприятия муниципального земельного контроля за отчетный период (рублей).</w:t>
      </w:r>
    </w:p>
    <w:p w14:paraId="00000155">
      <w:pPr>
        <w:pStyle w:val="NoSpacing"/>
        <w:spacing w:line="276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Целевое значение </w:t>
      </w:r>
      <w:r>
        <w:rPr>
          <w:color w:val="000000"/>
          <w:sz w:val="28"/>
          <w:szCs w:val="28"/>
        </w:rPr>
        <w:t>ключевого показателя КП2 процент устраненных нарушений от общего числа выявленных нарушений земельного законодательства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>не менее 50 %</w:t>
      </w:r>
    </w:p>
    <w:p w14:paraId="0000015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Значение указанного ключевого показателя рассчитывается по формуле:</w:t>
      </w:r>
      <w:r>
        <w:rPr>
          <w:sz w:val="28"/>
          <w:szCs w:val="28"/>
        </w:rPr>
        <w:t xml:space="preserve"> КП2 = (У/ОМ) х 100%, где:</w:t>
      </w:r>
    </w:p>
    <w:p w14:paraId="0000015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– количество устраненных нарушений обязательных требований, определяется как количество земельных участков, в отношении которых в результате проведения мероприятий муниципального земельного контроля устранены ранее выявленные нарушения обязательных требований (единиц);</w:t>
      </w:r>
    </w:p>
    <w:p w14:paraId="00000158">
      <w:pPr>
        <w:pStyle w:val="NoSpacing"/>
        <w:spacing w:line="276" w:lineRule="auto"/>
        <w:ind w:firstLine="708"/>
        <w:jc w:val="both"/>
        <w:rPr/>
      </w:pPr>
      <w:r>
        <w:rPr>
          <w:sz w:val="28"/>
          <w:szCs w:val="28"/>
        </w:rPr>
        <w:t>ОМ – общий объём нарушения обязательных требований, определяется как количество земельных участков, в отношении которых в результате проведения мероприятий муниципального земельного контроля выявлены нарушения обязательных требований (единиц).</w:t>
      </w:r>
    </w:p>
    <w:p w14:paraId="00000159">
      <w:pPr>
        <w:pStyle w:val="NoSpacing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3.2. Индикативные показатели:</w:t>
      </w:r>
      <w:r>
        <w:rPr>
          <w:i/>
          <w:iCs/>
          <w:sz w:val="28"/>
          <w:szCs w:val="28"/>
        </w:rPr>
        <w:t xml:space="preserve"> </w:t>
      </w:r>
    </w:p>
    <w:p w14:paraId="0000015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внеплановых контрольных мероприятий, проведенных за отчетный период;</w:t>
      </w:r>
    </w:p>
    <w:p w14:paraId="0000015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0000015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общее количество контрольных мероприятий со взаимодействием, проведенных за отчетный период;</w:t>
      </w:r>
    </w:p>
    <w:p w14:paraId="0000015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 со взаимодействием по каждому виду контрольных мероприятий, проведенных за отчетный период;</w:t>
      </w:r>
    </w:p>
    <w:p w14:paraId="0000015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мероприятий, проведенных с использованием средств дистанционного взаимодействия, за отчетный период;</w:t>
      </w:r>
    </w:p>
    <w:p w14:paraId="0000015F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14:paraId="00000160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предостережений о недопустимости нарушения обязательных требований, объявленных за отчетный период;</w:t>
      </w:r>
    </w:p>
    <w:p w14:paraId="00000161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14:paraId="00000162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мероприятий, по итогам которых возбуждены дела об административных правонарушениях, за отчетный период;</w:t>
      </w:r>
    </w:p>
    <w:p w14:paraId="00000163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сумма административных штрафов, наложенных по результатам контрольных мероприятий, за отчетный период;</w:t>
      </w:r>
    </w:p>
    <w:p w14:paraId="00000164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 за отчетный период;</w:t>
      </w:r>
    </w:p>
    <w:p w14:paraId="00000165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14:paraId="00000166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общее количество учтенных объектов контроля на конец отчетного периода;</w:t>
      </w:r>
    </w:p>
    <w:p w14:paraId="00000167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учтенных объектов контроля, отнесенных к категориям риска, по каждой из категорий риска на конец отчетного периода;</w:t>
      </w:r>
    </w:p>
    <w:p w14:paraId="00000168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учтенных контролируемых лиц на конец отчетного периода;</w:t>
      </w:r>
    </w:p>
    <w:p w14:paraId="00000169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учтенных контролируемых лиц, в отношении которых проведены контрольные мероприятия, за отчетный период;</w:t>
      </w:r>
    </w:p>
    <w:p w14:paraId="0000016A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14:paraId="0000016B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14:paraId="0000016C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</w:t>
      </w:r>
      <w:r>
        <w:rPr>
          <w:color w:val="000000"/>
          <w:sz w:val="28"/>
          <w:szCs w:val="28"/>
        </w:rPr>
        <w:t>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0000016D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709"/>
        <w:jc w:val="both"/>
        <w:rPr/>
      </w:pPr>
      <w:r>
        <w:rPr>
          <w:color w:val="000000"/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0000016E">
      <w:pPr>
        <w:pBdr>
          <w:top w:val="none" w:sz="4" w:space="0"/>
          <w:left w:val="none" w:sz="4" w:space="0"/>
          <w:bottom w:val="none" w:sz="4" w:space="0"/>
          <w:right w:val="none" w:sz="4" w:space="0"/>
        </w:pBdr>
        <w:spacing w:line="276" w:lineRule="auto"/>
        <w:ind w:firstLine="540"/>
        <w:jc w:val="both"/>
        <w:rPr/>
      </w:pPr>
      <w:r>
        <w:rPr>
          <w:color w:val="000000"/>
          <w:sz w:val="24"/>
        </w:rPr>
        <w:t> </w:t>
      </w:r>
    </w:p>
    <w:p w14:paraId="0000016F">
      <w:pPr>
        <w:pStyle w:val="NoSpacing"/>
        <w:spacing w:line="276" w:lineRule="auto"/>
        <w:ind w:firstLine="708"/>
        <w:jc w:val="both"/>
        <w:rPr>
          <w:sz w:val="28"/>
          <w:szCs w:val="28"/>
          <w:u w:val="single"/>
        </w:rPr>
      </w:pPr>
    </w:p>
    <w:p w14:paraId="00000170">
      <w:pPr>
        <w:pStyle w:val="ConsPlusNormal"/>
        <w:spacing w:line="276" w:lineRule="auto"/>
        <w:jc w:val="right"/>
        <w:rPr/>
      </w:pPr>
    </w:p>
    <w:p w14:paraId="00000171">
      <w:pPr>
        <w:pStyle w:val="ConsPlusNormal"/>
        <w:spacing w:line="276" w:lineRule="auto"/>
        <w:jc w:val="right"/>
        <w:rPr/>
      </w:pPr>
    </w:p>
    <w:p w14:paraId="00000172">
      <w:pPr>
        <w:pStyle w:val="ConsPlusNormal"/>
        <w:spacing w:line="276" w:lineRule="auto"/>
        <w:jc w:val="right"/>
        <w:rPr/>
      </w:pPr>
    </w:p>
    <w:p w14:paraId="00000173">
      <w:pPr>
        <w:pStyle w:val="ConsPlusNormal"/>
        <w:spacing w:line="276" w:lineRule="auto"/>
        <w:jc w:val="right"/>
        <w:rPr/>
      </w:pPr>
    </w:p>
    <w:p w14:paraId="00000174">
      <w:pPr>
        <w:pStyle w:val="ConsPlusNormal"/>
        <w:spacing w:line="276" w:lineRule="auto"/>
        <w:jc w:val="right"/>
        <w:rPr/>
      </w:pPr>
    </w:p>
    <w:p w14:paraId="00000175">
      <w:pPr>
        <w:pStyle w:val="ConsPlusNormal"/>
        <w:spacing w:line="276" w:lineRule="auto"/>
        <w:jc w:val="right"/>
        <w:rPr/>
      </w:pPr>
    </w:p>
    <w:p w14:paraId="0000017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7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bookmarkStart w:id="1" w:name="undefined"/>
      <w:bookmarkEnd w:id="1"/>
    </w:p>
    <w:p w14:paraId="0000018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4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5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6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7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8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9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A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B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C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D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E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8F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90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</w:p>
    <w:p w14:paraId="00000191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Приложение 3</w:t>
      </w:r>
    </w:p>
    <w:p w14:paraId="00000192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 Положению о муниципальном земельном контроле </w:t>
      </w:r>
    </w:p>
    <w:p w14:paraId="00000193">
      <w:pPr>
        <w:pStyle w:val="ConsPlusNormal"/>
        <w:spacing w:line="276" w:lineRule="auto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 территории сельского поселения </w:t>
      </w:r>
      <w:r>
        <w:rPr>
          <w:rFonts w:ascii="Times New Roman" w:cs="Times New Roman" w:hAnsi="Times New Roman"/>
          <w:sz w:val="28"/>
          <w:szCs w:val="28"/>
        </w:rPr>
        <w:t>Селиярово</w:t>
      </w:r>
    </w:p>
    <w:p w14:paraId="00000194">
      <w:pPr>
        <w:pStyle w:val="ConsPlusTitle"/>
        <w:spacing w:line="276" w:lineRule="auto"/>
        <w:jc w:val="center"/>
        <w:rPr/>
      </w:pPr>
    </w:p>
    <w:p w14:paraId="00000195">
      <w:pPr>
        <w:pStyle w:val="ConsPlusTitle"/>
        <w:spacing w:line="276" w:lineRule="auto"/>
        <w:jc w:val="center"/>
        <w:rPr>
          <w:b w:val="off"/>
          <w:bCs w:val="off"/>
        </w:rPr>
      </w:pPr>
      <w:r>
        <w:rPr>
          <w:rFonts w:ascii="Times New Roman" w:cs="Times New Roman" w:hAnsi="Times New Roman"/>
          <w:b w:val="off"/>
          <w:bCs w:val="off"/>
          <w:sz w:val="28"/>
          <w:szCs w:val="28"/>
        </w:rPr>
        <w:t>КРИТЕРИИ</w:t>
      </w:r>
    </w:p>
    <w:p w14:paraId="00000196">
      <w:pPr>
        <w:widowControl w:val="off"/>
        <w:spacing w:line="276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 xml:space="preserve">ОТНЕСЕНИЯ ОБЪЕКТОВ КОНТРОЛЯ К ОПРЕДЕЛЕННОЙ КАТЕГОРИИ РИСКА </w:t>
      </w:r>
    </w:p>
    <w:p w14:paraId="00000197">
      <w:pPr>
        <w:widowControl w:val="off"/>
        <w:spacing w:line="276" w:lineRule="auto"/>
        <w:jc w:val="both"/>
        <w:rPr>
          <w:sz w:val="32"/>
        </w:rPr>
      </w:pPr>
    </w:p>
    <w:p w14:paraId="00000198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32"/>
        </w:rPr>
        <w:tab/>
      </w:r>
      <w:r>
        <w:rPr>
          <w:sz w:val="28"/>
          <w:szCs w:val="28"/>
        </w:rPr>
        <w:t>1. С учетом вероятности наступления и тяжести потенциальных негативных последствий несоблюдения обязательных требований объекты контроля в области муниципального земельного контроля подлежат отнесению к категориям среднего, умеренного и низкого риска.</w:t>
      </w:r>
    </w:p>
    <w:p w14:paraId="00000199">
      <w:pPr>
        <w:widowControl w:val="o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</w:rPr>
        <w:t>. К категории среднего риска относятся объекты контроля</w:t>
      </w:r>
      <w:r>
        <w:t xml:space="preserve"> </w:t>
      </w:r>
      <w:r>
        <w:rPr>
          <w:bCs/>
          <w:sz w:val="28"/>
          <w:szCs w:val="28"/>
        </w:rPr>
        <w:t>при наличии в течение последнего года на дату принятия (изменения) решения об отнесении объекта контроля к категории риска:</w:t>
      </w:r>
    </w:p>
    <w:p w14:paraId="0000019A">
      <w:pPr>
        <w:widowControl w:val="off"/>
        <w:spacing w:line="276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постановления (решения) по делу об административном правонарушении, связанного с нарушением обязательных требований, являющихся предметом муниципального контроля, ответственность за которое предусмотрена Кодексом Российской Федерации об административных правонарушениях;</w:t>
      </w:r>
    </w:p>
    <w:p w14:paraId="0000019B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- выданного контрольным органом предписания об устранении выявленных нарушений обязательных требований.</w:t>
      </w:r>
    </w:p>
    <w:p w14:paraId="0000019C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>3. К категории умеренного риска относятся объекты контроля при наличии в течение последнего года на дату принятия (изменения) решения об отнесении объекта контроля к категории риска выданного предостережения о недопустимости нарушения обязательных требований.</w:t>
      </w:r>
    </w:p>
    <w:p w14:paraId="0000019D">
      <w:pPr>
        <w:widowControl w:val="off"/>
        <w:spacing w:line="276" w:lineRule="auto"/>
        <w:ind w:firstLine="720"/>
        <w:jc w:val="both"/>
        <w:rPr/>
      </w:pPr>
      <w:r>
        <w:rPr>
          <w:bCs/>
          <w:sz w:val="28"/>
          <w:szCs w:val="28"/>
        </w:rPr>
        <w:t xml:space="preserve">4. К категории низкого риска относятся объекты контроля, не предусмотренные категориями </w:t>
      </w:r>
      <w:r>
        <w:rPr>
          <w:sz w:val="28"/>
          <w:szCs w:val="28"/>
        </w:rPr>
        <w:t>среднего и умеренного</w:t>
      </w:r>
      <w:r>
        <w:rPr>
          <w:bCs/>
          <w:sz w:val="28"/>
          <w:szCs w:val="28"/>
        </w:rPr>
        <w:t xml:space="preserve"> риска.</w:t>
      </w:r>
    </w:p>
    <w:p w14:paraId="0000019E">
      <w:pPr>
        <w:tabs>
          <w:tab w:val="left" w:pos="769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000019F"/>
    <w:sectPr>
      <w:headerReference w:type="default" r:id="rId14"/>
      <w:pgSz w:w="11906" w:h="16838"/>
      <w:pgMar w:top="1418" w:right="1247" w:bottom="1134" w:left="1587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Helvetica Neue">
    <w:charset w:val="00"/>
    <w:family w:val="swiss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1A0">
    <w:pPr>
      <w:pStyle w:val="Header"/>
      <w:jc w:val="center"/>
      <w:rPr>
        <w:sz w:val="24"/>
        <w:szCs w:val="24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sz w:val="24"/>
        <w:szCs w:val="24"/>
      </w:rPr>
      <w:t>26</w:t>
    </w:r>
    <w:r>
      <w:fldChar w:fldCharType="end"/>
    </w:r>
  </w:p>
  <w:p w14:paraId="000001A1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 w:tentative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 w:tentative="0">
      <w:start w:val="1"/>
      <w:numFmt w:val="bullet"/>
      <w:lvlText w:val="–"/>
      <w:lvlJc w:val="left"/>
      <w:pPr>
        <w:ind w:left="1417" w:hanging="360"/>
      </w:pPr>
      <w:rPr>
        <w:rFonts w:ascii="Arial" w:cs="Arial" w:eastAsia="Arial" w:hAnsi="Arial"/>
      </w:rPr>
    </w:lvl>
    <w:lvl w:ilvl="1" w:tentative="0">
      <w:start w:val="1"/>
      <w:numFmt w:val="bullet"/>
      <w:lvlText w:val="o"/>
      <w:lvlJc w:val="left"/>
      <w:pPr>
        <w:ind w:left="2137" w:hanging="360"/>
      </w:pPr>
      <w:rPr>
        <w:rFonts w:ascii="Courier New" w:cs="Courier New" w:eastAsia="Courier New" w:hAnsi="Courier New" w:hint="default"/>
      </w:rPr>
    </w:lvl>
    <w:lvl w:ilvl="2" w:tentative="0">
      <w:start w:val="1"/>
      <w:numFmt w:val="bullet"/>
      <w:lvlText w:val="§"/>
      <w:lvlJc w:val="left"/>
      <w:pPr>
        <w:ind w:left="2857" w:hanging="360"/>
      </w:pPr>
      <w:rPr>
        <w:rFonts w:ascii="Wingdings" w:cs="Wingdings" w:eastAsia="Wingdings" w:hAnsi="Wingdings" w:hint="default"/>
      </w:rPr>
    </w:lvl>
    <w:lvl w:ilvl="3" w:tentative="0">
      <w:start w:val="1"/>
      <w:numFmt w:val="bullet"/>
      <w:lvlText w:val="·"/>
      <w:lvlJc w:val="left"/>
      <w:pPr>
        <w:ind w:left="3577" w:hanging="360"/>
      </w:pPr>
      <w:rPr>
        <w:rFonts w:ascii="Symbol" w:cs="Symbol" w:eastAsia="Symbol" w:hAnsi="Symbol" w:hint="default"/>
      </w:rPr>
    </w:lvl>
    <w:lvl w:ilvl="4" w:tentative="0">
      <w:start w:val="1"/>
      <w:numFmt w:val="bullet"/>
      <w:lvlText w:val="o"/>
      <w:lvlJc w:val="left"/>
      <w:pPr>
        <w:ind w:left="4297" w:hanging="360"/>
      </w:pPr>
      <w:rPr>
        <w:rFonts w:ascii="Courier New" w:cs="Courier New" w:eastAsia="Courier New" w:hAnsi="Courier New" w:hint="default"/>
      </w:rPr>
    </w:lvl>
    <w:lvl w:ilvl="5" w:tentative="0">
      <w:start w:val="1"/>
      <w:numFmt w:val="bullet"/>
      <w:lvlText w:val="§"/>
      <w:lvlJc w:val="left"/>
      <w:pPr>
        <w:ind w:left="5017" w:hanging="360"/>
      </w:pPr>
      <w:rPr>
        <w:rFonts w:ascii="Wingdings" w:cs="Wingdings" w:eastAsia="Wingdings" w:hAnsi="Wingdings" w:hint="default"/>
      </w:rPr>
    </w:lvl>
    <w:lvl w:ilvl="6" w:tentative="0">
      <w:start w:val="1"/>
      <w:numFmt w:val="bullet"/>
      <w:lvlText w:val="·"/>
      <w:lvlJc w:val="left"/>
      <w:pPr>
        <w:ind w:left="5737" w:hanging="360"/>
      </w:pPr>
      <w:rPr>
        <w:rFonts w:ascii="Symbol" w:cs="Symbol" w:eastAsia="Symbol" w:hAnsi="Symbol" w:hint="default"/>
      </w:rPr>
    </w:lvl>
    <w:lvl w:ilvl="7" w:tentative="0">
      <w:start w:val="1"/>
      <w:numFmt w:val="bullet"/>
      <w:lvlText w:val="o"/>
      <w:lvlJc w:val="left"/>
      <w:pPr>
        <w:ind w:left="6457" w:hanging="360"/>
      </w:pPr>
      <w:rPr>
        <w:rFonts w:ascii="Courier New" w:cs="Courier New" w:eastAsia="Courier New" w:hAnsi="Courier New" w:hint="default"/>
      </w:rPr>
    </w:lvl>
    <w:lvl w:ilvl="8" w:tentative="0">
      <w:start w:val="1"/>
      <w:numFmt w:val="bullet"/>
      <w:lvlText w:val="§"/>
      <w:lvlJc w:val="left"/>
      <w:pPr>
        <w:ind w:left="7177" w:hanging="360"/>
      </w:pPr>
      <w:rPr>
        <w:rFonts w:ascii="Wingdings" w:cs="Wingdings" w:eastAsia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0F"/>
    <w:rsid w:val="00160E5E"/>
    <w:rsid w:val="00A03F0F"/>
    <w:rsid w:val="00A5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AEACE-DCA1-4B2C-9AFF-082999B4F7DE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after="0" w:line="240" w:lineRule="auto"/>
    </w:pPr>
    <w:rPr>
      <w:rFonts w:ascii="Times New Roman" w:cs="Times New Roman" w:eastAsia="Times New Roman" w:hAnsi="Times New Roman"/>
      <w:sz w:val="16"/>
      <w:szCs w:val="16"/>
      <w:lang w:eastAsia="ru-RU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NoSpacing">
    <w:name w:val="No Spacing"/>
    <w:uiPriority w:val="1"/>
    <w:qFormat w:val="on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type="paragraph" w:styleId="Header">
    <w:name w:val="Header"/>
    <w:basedOn w:val="Normal"/>
    <w:link w:val="ВерхнийколонтитулЗнак"/>
    <w:uiPriority w:val="99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Times New Roman" w:cs="Times New Roman" w:eastAsia="Times New Roman" w:hAnsi="Times New Roman"/>
      <w:sz w:val="16"/>
      <w:szCs w:val="16"/>
      <w:lang w:eastAsia="ru-RU"/>
    </w:rPr>
  </w:style>
  <w:style w:type="paragraph" w:customStyle="1" w:styleId="ConsPlusNormal">
    <w:name w:val="ConsPlusNormal"/>
    <w:uiPriority w:val="99"/>
    <w:pPr>
      <w:widowControl w:val="off"/>
      <w:spacing w:after="0" w:line="240" w:lineRule="auto"/>
    </w:pPr>
    <w:rPr>
      <w:rFonts w:ascii="Arial" w:cs="Arial" w:eastAsia="Times New Roman" w:hAnsi="Arial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off"/>
      <w:spacing w:after="0" w:line="240" w:lineRule="auto"/>
    </w:pPr>
    <w:rPr>
      <w:rFonts w:ascii="Arial" w:cs="Arial" w:eastAsia="Times New Roman" w:hAnsi="Arial"/>
      <w:b/>
      <w:bCs/>
      <w:sz w:val="24"/>
      <w:szCs w:val="24"/>
      <w:lang w:eastAsia="ru-RU"/>
    </w:r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paragraph" w:customStyle="1" w:styleId="Default">
    <w:name w:val="Default"/>
    <w:uiPriority w:val="99"/>
    <w:pPr>
      <w:pBdr>
        <w:top w:val="none" w:sz="4" w:space="0"/>
        <w:left w:val="none" w:sz="4" w:space="0"/>
        <w:bottom w:val="none" w:sz="4" w:space="0"/>
        <w:right w:val="none" w:sz="4" w:space="0"/>
        <w:between w:val="none" w:sz="4" w:space="0"/>
      </w:pBdr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Normal(Web)">
    <w:name w:val="Normal (Web)"/>
    <w:basedOn w:val="Normal"/>
    <w:uiPriority w:val="99"/>
    <w:unhideWhenUsed w:val="on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4" Type="http://schemas.openxmlformats.org/officeDocument/2006/relationships/header" Target="head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hmrn.ru/raion/poseleniya/seliyarovo/" TargetMode="External"/><Relationship Id="rId6" Type="http://schemas.openxmlformats.org/officeDocument/2006/relationships/hyperlink" Target="http://hmrn.ru/raion/poseleniya/seliyarovo/" TargetMode="External"/><Relationship Id="rId7" Type="http://schemas.openxmlformats.org/officeDocument/2006/relationships/hyperlink" Target="http://hmrn.ru/raion/poseleniya/seliyarovo/" TargetMode="External"/><Relationship Id="rId8" Type="http://schemas.openxmlformats.org/officeDocument/2006/relationships/hyperlink" Target="http://hmrn.ru/raion/poseleniya/seliyarovo/" TargetMode="External"/><Relationship Id="rId9" Type="http://schemas.openxmlformats.org/officeDocument/2006/relationships/hyperlink" Target="http://hmrn.ru/raion/poseleniya/seliyarovo/" TargetMode="External"/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6580</Words>
  <Characters>37508</Characters>
  <Application>Microsoft Office Word</Application>
  <DocSecurity>0</DocSecurity>
  <Lines>312</Lines>
  <Paragraphs>87</Paragraphs>
  <ScaleCrop>false</ScaleCrop>
  <Company/>
  <LinksUpToDate>false</LinksUpToDate>
  <CharactersWithSpaces>44001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Slr</cp:lastModifiedBy>
</cp:coreProperties>
</file>