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ХАНТЫ-МАНСИЙСКИЙ АВТОНОМНЫЙ ОКРУГ- ЮГРА</w:t>
      </w:r>
    </w:p>
    <w:p w14:paraId="00000002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ТЮМЕНСКАЯ ОБЛАСТЬ</w:t>
      </w:r>
    </w:p>
    <w:p w14:paraId="00000003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ХАНТЫ-МАНСИЙСКИЙ РАЙОН</w:t>
      </w:r>
    </w:p>
    <w:p w14:paraId="00000004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СЕЛЬСКОЕ ПОСЕЛЕНИЕ </w:t>
      </w:r>
      <w:r>
        <w:rPr>
          <w:b/>
          <w:bCs/>
          <w:spacing w:val="-11"/>
          <w:sz w:val="28"/>
          <w:szCs w:val="28"/>
        </w:rPr>
        <w:t>СЕЛИЯРОВО</w:t>
      </w:r>
    </w:p>
    <w:p w14:paraId="00000005">
      <w:pPr>
        <w:spacing w:line="276" w:lineRule="auto"/>
        <w:jc w:val="center"/>
        <w:rPr>
          <w:b/>
          <w:bCs/>
          <w:spacing w:val="-11"/>
          <w:sz w:val="28"/>
          <w:szCs w:val="28"/>
        </w:rPr>
      </w:pPr>
    </w:p>
    <w:p w14:paraId="00000006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>СОВЕТ ДЕПУТАТОВ</w:t>
      </w:r>
    </w:p>
    <w:p w14:paraId="00000007">
      <w:pPr>
        <w:spacing w:line="276" w:lineRule="auto"/>
        <w:jc w:val="center"/>
        <w:rPr>
          <w:b/>
          <w:bCs/>
          <w:spacing w:val="-12"/>
          <w:sz w:val="28"/>
          <w:szCs w:val="28"/>
        </w:rPr>
      </w:pPr>
    </w:p>
    <w:p w14:paraId="00000008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РЕШЕНИЕ</w:t>
      </w:r>
    </w:p>
    <w:p w14:paraId="00000009">
      <w:pPr>
        <w:spacing w:line="276" w:lineRule="auto"/>
        <w:rPr>
          <w:sz w:val="28"/>
          <w:szCs w:val="28"/>
        </w:rPr>
      </w:pPr>
    </w:p>
    <w:p w14:paraId="0000000A">
      <w:pPr>
        <w:spacing w:line="276" w:lineRule="auto"/>
        <w:rPr>
          <w:sz w:val="28"/>
          <w:szCs w:val="28"/>
        </w:rPr>
      </w:pPr>
    </w:p>
    <w:p w14:paraId="0000000B">
      <w:pPr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от 24</w:t>
      </w:r>
      <w:r>
        <w:rPr>
          <w:b w:val="off"/>
          <w:bCs w:val="off"/>
          <w:sz w:val="28"/>
          <w:szCs w:val="28"/>
        </w:rPr>
        <w:t>.11</w:t>
      </w:r>
      <w:r>
        <w:rPr>
          <w:b w:val="off"/>
          <w:bCs w:val="off"/>
          <w:sz w:val="28"/>
          <w:szCs w:val="28"/>
        </w:rPr>
        <w:t>.202</w:t>
      </w:r>
      <w:r>
        <w:rPr>
          <w:b w:val="off"/>
          <w:bCs w:val="off"/>
          <w:sz w:val="28"/>
          <w:szCs w:val="28"/>
        </w:rPr>
        <w:t>5</w:t>
      </w:r>
      <w:r>
        <w:rPr>
          <w:b w:val="off"/>
          <w:bCs w:val="off"/>
          <w:sz w:val="28"/>
          <w:szCs w:val="28"/>
        </w:rPr>
        <w:t xml:space="preserve">                                                                                                № 104 </w:t>
      </w:r>
    </w:p>
    <w:p w14:paraId="0000000C">
      <w:pPr>
        <w:spacing w:line="276" w:lineRule="auto"/>
        <w:rPr>
          <w:sz w:val="28"/>
          <w:szCs w:val="28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/>
      </w:tblPr>
      <w:tblGrid>
        <w:gridCol w:w="5329"/>
      </w:tblGrid>
      <w:tr>
        <w:trPr/>
        <w:tc>
          <w:tcPr>
            <w:cnfStyle w:val="101000000000"/>
            <w:tcW w:w="5329" w:type="dxa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  <w:shd w:val="clear" w:color="auto" w:fill="auto"/>
          </w:tcPr>
          <w:p w14:paraId="0000000D">
            <w:pPr>
              <w:tabs>
                <w:tab w:val="left" w:pos="9165"/>
              </w:tabs>
              <w:spacing w:line="276" w:lineRule="auto"/>
              <w:contextualSpacing w:val="on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Об утверждении Положения об осуществлении муниципального контроля </w:t>
            </w:r>
            <w:r>
              <w:rPr>
                <w:sz w:val="28"/>
                <w:szCs w:val="28"/>
              </w:rPr>
      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      </w:r>
            <w:r>
              <w:rPr>
                <w:bCs/>
                <w:sz w:val="28"/>
                <w:szCs w:val="28"/>
              </w:rPr>
              <w:t xml:space="preserve">сельского поселения </w:t>
            </w:r>
            <w:r>
              <w:rPr>
                <w:bCs/>
                <w:sz w:val="28"/>
                <w:szCs w:val="28"/>
              </w:rPr>
              <w:t>Селиярово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14:paraId="0000000E">
      <w:pPr>
        <w:tabs>
          <w:tab w:val="left" w:pos="9165"/>
        </w:tabs>
        <w:spacing w:line="276" w:lineRule="auto"/>
        <w:contextualSpacing w:val="on"/>
        <w:jc w:val="both"/>
        <w:rPr>
          <w:sz w:val="28"/>
          <w:szCs w:val="28"/>
          <w:lang w:eastAsia="ar-SA"/>
        </w:rPr>
      </w:pPr>
    </w:p>
    <w:p w14:paraId="0000000F">
      <w:pPr>
        <w:widowControl w:val="off"/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</w:t>
      </w:r>
      <w:r>
        <w:rPr>
          <w:color w:val="000000"/>
          <w:sz w:val="28"/>
          <w:szCs w:val="28"/>
        </w:rPr>
        <w:t>ыми</w:t>
      </w:r>
      <w:r>
        <w:rPr>
          <w:color w:val="000000"/>
          <w:sz w:val="28"/>
          <w:szCs w:val="28"/>
        </w:rPr>
        <w:t xml:space="preserve"> закона</w:t>
      </w:r>
      <w:r>
        <w:rPr>
          <w:color w:val="000000"/>
          <w:sz w:val="28"/>
          <w:szCs w:val="28"/>
        </w:rPr>
        <w:t xml:space="preserve">ми </w:t>
      </w:r>
      <w:r>
        <w:rPr>
          <w:color w:val="000000"/>
          <w:sz w:val="28"/>
          <w:szCs w:val="28"/>
        </w:rPr>
        <w:t xml:space="preserve">от 31.07.2020 №248-ФЗ «О государственном контроле (надзоре) и муниципальном контроле в Российской Федерации», </w:t>
      </w:r>
      <w:r>
        <w:rPr>
          <w:sz w:val="28"/>
          <w:szCs w:val="28"/>
        </w:rPr>
        <w:t xml:space="preserve">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>,</w:t>
      </w:r>
    </w:p>
    <w:p w14:paraId="00000010">
      <w:pPr>
        <w:widowControl w:val="off"/>
        <w:spacing w:line="276" w:lineRule="auto"/>
        <w:jc w:val="center"/>
        <w:rPr>
          <w:sz w:val="28"/>
          <w:szCs w:val="28"/>
        </w:rPr>
      </w:pPr>
    </w:p>
    <w:p w14:paraId="0000001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Совет депутатов сельского поселения </w:t>
      </w:r>
      <w:r>
        <w:rPr>
          <w:rFonts w:eastAsia="Calibri"/>
          <w:sz w:val="28"/>
          <w:szCs w:val="28"/>
          <w:lang w:eastAsia="en-US"/>
        </w:rPr>
        <w:t>Селиярово</w:t>
      </w:r>
    </w:p>
    <w:p w14:paraId="00000012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00000013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РЕШИЛ:</w:t>
      </w:r>
    </w:p>
    <w:p w14:paraId="00000014">
      <w:pPr>
        <w:spacing w:line="276" w:lineRule="auto"/>
        <w:ind w:firstLine="567"/>
        <w:jc w:val="center"/>
        <w:rPr>
          <w:rFonts w:eastAsia="Calibri"/>
          <w:sz w:val="28"/>
          <w:szCs w:val="28"/>
          <w:lang w:eastAsia="en-US"/>
        </w:rPr>
      </w:pPr>
    </w:p>
    <w:p w14:paraId="00000015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Утвердить Положение об осуществлении муниципального контроля </w:t>
      </w:r>
      <w:r>
        <w:rPr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bCs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Селиярово</w:t>
      </w:r>
      <w:r>
        <w:rPr>
          <w:rFonts w:eastAsia="Calibri"/>
          <w:sz w:val="28"/>
          <w:szCs w:val="28"/>
          <w:lang w:eastAsia="en-US"/>
        </w:rPr>
        <w:t>, согласно приложению.</w:t>
      </w:r>
    </w:p>
    <w:p w14:paraId="00000016">
      <w:pPr>
        <w:pStyle w:val="ListParagraph"/>
        <w:numPr>
          <w:ilvl w:val="0"/>
          <w:numId w:val="1"/>
        </w:numPr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</w:p>
    <w:p w14:paraId="00000017">
      <w:pPr>
        <w:pStyle w:val="ListParagraph"/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решени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Совета депутатов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26</w:t>
      </w:r>
      <w:r>
        <w:rPr>
          <w:sz w:val="28"/>
          <w:szCs w:val="28"/>
        </w:rPr>
        <w:t>.0</w:t>
      </w:r>
      <w:r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164</w:t>
      </w:r>
      <w:r>
        <w:rPr>
          <w:sz w:val="28"/>
          <w:szCs w:val="28"/>
        </w:rPr>
        <w:t xml:space="preserve"> «Об утверждении Положения </w:t>
      </w:r>
      <w:r>
        <w:rPr>
          <w:rFonts w:eastAsia="Calibri"/>
          <w:sz w:val="28"/>
          <w:szCs w:val="28"/>
          <w:lang w:eastAsia="en-US"/>
        </w:rPr>
        <w:t xml:space="preserve">об осуществлении </w:t>
      </w:r>
      <w:r>
        <w:rPr>
          <w:rFonts w:eastAsia="Calibri"/>
          <w:sz w:val="28"/>
          <w:szCs w:val="28"/>
          <w:lang w:eastAsia="en-US"/>
        </w:rPr>
        <w:t xml:space="preserve">муниципального контроля </w:t>
      </w:r>
      <w:r>
        <w:rPr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bCs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Селиярово</w:t>
      </w:r>
      <w:r>
        <w:rPr>
          <w:sz w:val="28"/>
          <w:szCs w:val="28"/>
        </w:rPr>
        <w:t>»;</w:t>
      </w:r>
    </w:p>
    <w:p w14:paraId="00000018">
      <w:pPr>
        <w:pStyle w:val="ListParagraph"/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решени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Совета депутатов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06.12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177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решение Совета депутатов сельского поселения </w:t>
      </w:r>
      <w:r>
        <w:rPr>
          <w:sz w:val="28"/>
          <w:szCs w:val="28"/>
          <w:lang w:eastAsia="ar-SA"/>
        </w:rPr>
        <w:t xml:space="preserve">Селиярово </w:t>
      </w:r>
      <w:r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26</w:t>
      </w:r>
      <w:r>
        <w:rPr>
          <w:sz w:val="28"/>
          <w:szCs w:val="28"/>
          <w:lang w:eastAsia="ar-SA"/>
        </w:rPr>
        <w:t>.0</w:t>
      </w:r>
      <w:r>
        <w:rPr>
          <w:sz w:val="28"/>
          <w:szCs w:val="28"/>
          <w:lang w:eastAsia="ar-SA"/>
        </w:rPr>
        <w:t>7</w:t>
      </w:r>
      <w:r>
        <w:rPr>
          <w:sz w:val="28"/>
          <w:szCs w:val="28"/>
          <w:lang w:eastAsia="ar-SA"/>
        </w:rPr>
        <w:t>.202</w:t>
      </w:r>
      <w:r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 xml:space="preserve"> № </w:t>
      </w:r>
      <w:r>
        <w:rPr>
          <w:sz w:val="28"/>
          <w:szCs w:val="28"/>
          <w:lang w:eastAsia="ar-SA"/>
        </w:rPr>
        <w:t>164</w:t>
      </w:r>
      <w:r>
        <w:rPr>
          <w:sz w:val="28"/>
          <w:szCs w:val="28"/>
          <w:lang w:eastAsia="ar-SA"/>
        </w:rPr>
        <w:t xml:space="preserve"> «Об утверждении Положения </w:t>
      </w:r>
      <w:r>
        <w:rPr>
          <w:rFonts w:eastAsia="Calibri"/>
          <w:sz w:val="28"/>
          <w:szCs w:val="28"/>
          <w:lang w:eastAsia="en-US"/>
        </w:rPr>
        <w:t xml:space="preserve">об осуществлении муниципального контроля </w:t>
      </w:r>
      <w:r>
        <w:rPr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bCs/>
          <w:sz w:val="28"/>
          <w:szCs w:val="28"/>
        </w:rPr>
        <w:t>сельского поселения</w:t>
      </w:r>
      <w:r>
        <w:rPr>
          <w:bCs/>
          <w:sz w:val="28"/>
          <w:szCs w:val="28"/>
        </w:rPr>
        <w:t xml:space="preserve"> Селиярово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;</w:t>
      </w:r>
    </w:p>
    <w:p w14:paraId="00000019">
      <w:pPr>
        <w:pStyle w:val="ListParagraph"/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Совета депутатов сельского поселения </w:t>
      </w:r>
      <w:r>
        <w:rPr>
          <w:sz w:val="28"/>
          <w:szCs w:val="28"/>
        </w:rPr>
        <w:t xml:space="preserve">Селиярово </w:t>
      </w:r>
      <w:r>
        <w:rPr>
          <w:bCs/>
          <w:sz w:val="28"/>
          <w:szCs w:val="28"/>
        </w:rPr>
        <w:t>от 22.05.2023 № 204 «</w:t>
      </w:r>
      <w:r>
        <w:rPr>
          <w:sz w:val="28"/>
          <w:szCs w:val="28"/>
          <w:lang w:eastAsia="ar-SA"/>
        </w:rPr>
        <w:t xml:space="preserve">О внесении изменений в решение Совета депутатов сельского поселения </w:t>
      </w:r>
      <w:r>
        <w:rPr>
          <w:sz w:val="28"/>
          <w:szCs w:val="28"/>
          <w:lang w:eastAsia="ar-SA"/>
        </w:rPr>
        <w:t xml:space="preserve">Селиярово </w:t>
      </w:r>
      <w:r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26</w:t>
      </w:r>
      <w:r>
        <w:rPr>
          <w:sz w:val="28"/>
          <w:szCs w:val="28"/>
          <w:lang w:eastAsia="ar-SA"/>
        </w:rPr>
        <w:t>.0</w:t>
      </w:r>
      <w:r>
        <w:rPr>
          <w:sz w:val="28"/>
          <w:szCs w:val="28"/>
          <w:lang w:eastAsia="ar-SA"/>
        </w:rPr>
        <w:t>7</w:t>
      </w:r>
      <w:r>
        <w:rPr>
          <w:sz w:val="28"/>
          <w:szCs w:val="28"/>
          <w:lang w:eastAsia="ar-SA"/>
        </w:rPr>
        <w:t>.202</w:t>
      </w:r>
      <w:r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 xml:space="preserve"> № </w:t>
      </w:r>
      <w:r>
        <w:rPr>
          <w:sz w:val="28"/>
          <w:szCs w:val="28"/>
          <w:lang w:eastAsia="ar-SA"/>
        </w:rPr>
        <w:t>164</w:t>
      </w:r>
      <w:r>
        <w:rPr>
          <w:sz w:val="28"/>
          <w:szCs w:val="28"/>
          <w:lang w:eastAsia="ar-SA"/>
        </w:rPr>
        <w:t xml:space="preserve"> «Об утверждении Положения </w:t>
      </w:r>
      <w:r>
        <w:rPr>
          <w:rFonts w:eastAsia="Calibri"/>
          <w:sz w:val="28"/>
          <w:szCs w:val="28"/>
          <w:lang w:eastAsia="en-US"/>
        </w:rPr>
        <w:t xml:space="preserve">об осуществлении муниципального контроля </w:t>
      </w:r>
      <w:r>
        <w:rPr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bCs/>
          <w:sz w:val="28"/>
          <w:szCs w:val="28"/>
        </w:rPr>
        <w:t>сельского поселения</w:t>
      </w:r>
      <w:r>
        <w:rPr>
          <w:bCs/>
          <w:sz w:val="28"/>
          <w:szCs w:val="28"/>
        </w:rPr>
        <w:t xml:space="preserve"> Селиярово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(с изменениями на 06.12.2022 года)</w:t>
      </w:r>
      <w:r>
        <w:rPr>
          <w:bCs/>
          <w:sz w:val="28"/>
          <w:szCs w:val="28"/>
        </w:rPr>
        <w:t>;</w:t>
      </w:r>
    </w:p>
    <w:p w14:paraId="0000001A">
      <w:pPr>
        <w:pStyle w:val="ListParagraph"/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Совета депутатов сельского поселения </w:t>
      </w:r>
      <w:r>
        <w:rPr>
          <w:sz w:val="28"/>
          <w:szCs w:val="28"/>
        </w:rPr>
        <w:t xml:space="preserve">Селиярово </w:t>
      </w:r>
      <w:r>
        <w:rPr>
          <w:bCs/>
          <w:sz w:val="28"/>
          <w:szCs w:val="28"/>
        </w:rPr>
        <w:t>от 24.04.2025 № 1</w:t>
      </w:r>
      <w:r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решение Совета депутатов сельского поселения </w:t>
      </w:r>
      <w:r>
        <w:rPr>
          <w:sz w:val="28"/>
          <w:szCs w:val="28"/>
          <w:lang w:eastAsia="ar-SA"/>
        </w:rPr>
        <w:t xml:space="preserve">Селиярово </w:t>
      </w:r>
      <w:r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26</w:t>
      </w:r>
      <w:r>
        <w:rPr>
          <w:sz w:val="28"/>
          <w:szCs w:val="28"/>
          <w:lang w:eastAsia="ar-SA"/>
        </w:rPr>
        <w:t>.0</w:t>
      </w:r>
      <w:r>
        <w:rPr>
          <w:sz w:val="28"/>
          <w:szCs w:val="28"/>
          <w:lang w:eastAsia="ar-SA"/>
        </w:rPr>
        <w:t>7</w:t>
      </w:r>
      <w:r>
        <w:rPr>
          <w:sz w:val="28"/>
          <w:szCs w:val="28"/>
          <w:lang w:eastAsia="ar-SA"/>
        </w:rPr>
        <w:t>.202</w:t>
      </w:r>
      <w:r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 xml:space="preserve"> № </w:t>
      </w:r>
      <w:r>
        <w:rPr>
          <w:sz w:val="28"/>
          <w:szCs w:val="28"/>
          <w:lang w:eastAsia="ar-SA"/>
        </w:rPr>
        <w:t>164</w:t>
      </w:r>
      <w:r>
        <w:rPr>
          <w:sz w:val="28"/>
          <w:szCs w:val="28"/>
          <w:lang w:eastAsia="ar-SA"/>
        </w:rPr>
        <w:t xml:space="preserve"> «Об утверждении Положения </w:t>
      </w:r>
      <w:r>
        <w:rPr>
          <w:rFonts w:eastAsia="Calibri"/>
          <w:sz w:val="28"/>
          <w:szCs w:val="28"/>
          <w:lang w:eastAsia="en-US"/>
        </w:rPr>
        <w:t xml:space="preserve">об осуществлении муниципального контроля </w:t>
      </w:r>
      <w:r>
        <w:rPr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bCs/>
          <w:sz w:val="28"/>
          <w:szCs w:val="28"/>
        </w:rPr>
        <w:t>сельского поселения</w:t>
      </w:r>
      <w:r>
        <w:rPr>
          <w:bCs/>
          <w:sz w:val="28"/>
          <w:szCs w:val="28"/>
        </w:rPr>
        <w:t xml:space="preserve"> Селиярово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14:paraId="0000001B">
      <w:pPr>
        <w:pStyle w:val="ListParagraph"/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</w:t>
      </w:r>
      <w:r>
        <w:rPr>
          <w:sz w:val="28"/>
          <w:szCs w:val="28"/>
        </w:rPr>
        <w:t xml:space="preserve">азместить настоящее решение на официальном сайте администрации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Селиярово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rStyle w:val="Hyperlink"/>
          <w:rFonts w:eastAsia="Arial"/>
          <w:color w:val="auto"/>
          <w:sz w:val="28"/>
          <w:szCs w:val="28"/>
          <w:u w:val="none"/>
        </w:rPr>
        <w:t xml:space="preserve"> </w:t>
      </w:r>
      <w:r>
        <w:rPr>
          <w:color w:val="auto"/>
          <w:sz w:val="28"/>
          <w:szCs w:val="28"/>
          <w:u w:val="none"/>
        </w:rPr>
        <w:t>в</w:t>
      </w:r>
      <w:r>
        <w:rPr>
          <w:sz w:val="28"/>
          <w:szCs w:val="28"/>
        </w:rPr>
        <w:t xml:space="preserve"> разделе «</w:t>
      </w:r>
      <w:r>
        <w:rPr>
          <w:sz w:val="28"/>
          <w:szCs w:val="28"/>
        </w:rPr>
        <w:t>Муниципальный Контроль</w:t>
      </w:r>
      <w:r>
        <w:rPr>
          <w:sz w:val="28"/>
          <w:szCs w:val="28"/>
        </w:rPr>
        <w:t>» подразделе «</w:t>
      </w:r>
      <w:r>
        <w:rPr>
          <w:sz w:val="28"/>
          <w:szCs w:val="28"/>
        </w:rPr>
        <w:t>Перечень видов муниципального контроля</w:t>
      </w:r>
      <w:r>
        <w:rPr>
          <w:sz w:val="28"/>
          <w:szCs w:val="28"/>
        </w:rPr>
        <w:t>».</w:t>
      </w:r>
    </w:p>
    <w:p w14:paraId="0000001C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19" w:firstLine="6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после его официального </w:t>
      </w:r>
      <w:r>
        <w:rPr>
          <w:sz w:val="28"/>
          <w:szCs w:val="28"/>
        </w:rPr>
        <w:t>обнародования.</w:t>
      </w:r>
    </w:p>
    <w:p w14:paraId="0000001D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1E">
      <w:pPr>
        <w:widowControl w:val="off"/>
        <w:rPr>
          <w:sz w:val="28"/>
          <w:szCs w:val="28"/>
        </w:rPr>
      </w:pPr>
    </w:p>
    <w:p w14:paraId="0000001F">
      <w:pPr>
        <w:widowControl w:val="off"/>
        <w:rPr>
          <w:sz w:val="28"/>
          <w:szCs w:val="28"/>
        </w:rPr>
      </w:pPr>
    </w:p>
    <w:p w14:paraId="00000020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Глава сельского поселения,</w:t>
      </w:r>
    </w:p>
    <w:p w14:paraId="00000021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председатель Совета депутатов</w:t>
      </w:r>
    </w:p>
    <w:p w14:paraId="00000022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сельского поселения Селиярово                                               С.В. Маркова </w:t>
      </w:r>
    </w:p>
    <w:p w14:paraId="00000023">
      <w:pPr>
        <w:spacing w:line="200" w:lineRule="atLeast"/>
        <w:rPr>
          <w:lang w:eastAsia="zh-CN"/>
        </w:rPr>
      </w:pPr>
    </w:p>
    <w:p w14:paraId="00000024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</w:p>
    <w:p w14:paraId="00000025">
      <w:pPr>
        <w:tabs>
          <w:tab w:val="left" w:pos="10080"/>
        </w:tabs>
        <w:spacing w:line="276" w:lineRule="auto"/>
        <w:jc w:val="both"/>
        <w:rPr>
          <w:b/>
          <w:sz w:val="28"/>
          <w:szCs w:val="28"/>
          <w:lang w:eastAsia="ar-SA"/>
        </w:rPr>
      </w:pPr>
    </w:p>
    <w:p w14:paraId="00000026">
      <w:pPr>
        <w:tabs>
          <w:tab w:val="left" w:pos="10080"/>
        </w:tabs>
        <w:spacing w:line="276" w:lineRule="auto"/>
        <w:jc w:val="center"/>
        <w:rPr>
          <w:b/>
          <w:sz w:val="28"/>
          <w:szCs w:val="28"/>
          <w:lang w:eastAsia="ar-SA"/>
        </w:rPr>
      </w:pPr>
    </w:p>
    <w:p w14:paraId="00000027">
      <w:pPr>
        <w:spacing w:line="276" w:lineRule="auto"/>
        <w:ind w:left="5664" w:firstLine="432"/>
        <w:contextualSpacing w:val="on"/>
        <w:jc w:val="right"/>
        <w:rPr>
          <w:sz w:val="28"/>
          <w:szCs w:val="28"/>
        </w:rPr>
      </w:pPr>
    </w:p>
    <w:p w14:paraId="00000028">
      <w:pPr>
        <w:spacing w:line="276" w:lineRule="auto"/>
        <w:ind w:left="5664" w:firstLine="432"/>
        <w:contextualSpacing w:val="on"/>
        <w:jc w:val="right"/>
        <w:rPr>
          <w:sz w:val="28"/>
          <w:szCs w:val="28"/>
        </w:rPr>
      </w:pPr>
    </w:p>
    <w:p w14:paraId="00000029">
      <w:pPr>
        <w:spacing w:line="276" w:lineRule="auto"/>
        <w:ind w:left="5664" w:firstLine="432"/>
        <w:contextualSpacing w:val="on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0000002A">
      <w:pPr>
        <w:spacing w:line="276" w:lineRule="auto"/>
        <w:ind w:left="4395" w:right="-1"/>
        <w:contextualSpacing w:val="on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0000002B">
      <w:pPr>
        <w:spacing w:line="276" w:lineRule="auto"/>
        <w:ind w:left="4395" w:right="-1"/>
        <w:contextualSpacing w:val="on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Селиярово</w:t>
      </w:r>
    </w:p>
    <w:p w14:paraId="0000002C">
      <w:pPr>
        <w:spacing w:line="276" w:lineRule="auto"/>
        <w:ind w:left="4820"/>
        <w:contextualSpacing w:val="on"/>
        <w:jc w:val="right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от 24</w:t>
      </w:r>
      <w:r>
        <w:rPr>
          <w:b w:val="off"/>
          <w:bCs w:val="off"/>
          <w:sz w:val="28"/>
          <w:szCs w:val="28"/>
        </w:rPr>
        <w:t>.11</w:t>
      </w:r>
      <w:r>
        <w:rPr>
          <w:b w:val="off"/>
          <w:bCs w:val="off"/>
          <w:sz w:val="28"/>
          <w:szCs w:val="28"/>
        </w:rPr>
        <w:t>.202</w:t>
      </w:r>
      <w:r>
        <w:rPr>
          <w:b w:val="off"/>
          <w:bCs w:val="off"/>
          <w:sz w:val="28"/>
          <w:szCs w:val="28"/>
        </w:rPr>
        <w:t>5</w:t>
      </w:r>
      <w:r>
        <w:rPr>
          <w:b w:val="off"/>
          <w:bCs w:val="off"/>
          <w:sz w:val="28"/>
          <w:szCs w:val="28"/>
        </w:rPr>
        <w:t xml:space="preserve"> года № 104</w:t>
      </w:r>
    </w:p>
    <w:p w14:paraId="0000002D">
      <w:pPr>
        <w:pStyle w:val="ConsPlusNormal"/>
        <w:spacing w:line="276" w:lineRule="auto"/>
        <w:ind w:firstLine="540"/>
        <w:jc w:val="both"/>
        <w:rPr>
          <w:rFonts w:ascii="Times New Roman" w:cs="Times New Roman" w:hAnsi="Times New Roman"/>
          <w:sz w:val="28"/>
          <w:szCs w:val="28"/>
        </w:rPr>
      </w:pPr>
    </w:p>
    <w:p w14:paraId="0000002E">
      <w:pPr>
        <w:pStyle w:val="ConsPlusTitle"/>
        <w:spacing w:line="276" w:lineRule="auto"/>
        <w:jc w:val="center"/>
        <w:rPr>
          <w:rFonts w:ascii="Times New Roman" w:cs="Times New Roman" w:hAnsi="Times New Roman"/>
          <w:b w:val="off"/>
          <w:bCs w:val="off"/>
          <w:sz w:val="28"/>
          <w:szCs w:val="28"/>
        </w:rPr>
      </w:pPr>
      <w:bookmarkStart w:id="0" w:name="Par39"/>
      <w:bookmarkEnd w:id="0"/>
      <w:r>
        <w:rPr>
          <w:rFonts w:ascii="Times New Roman" w:cs="Times New Roman" w:hAnsi="Times New Roman"/>
          <w:b w:val="off"/>
          <w:bCs w:val="off"/>
          <w:sz w:val="28"/>
          <w:szCs w:val="28"/>
        </w:rPr>
        <w:t>П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ОЛОЖЕНИЕ</w:t>
      </w:r>
    </w:p>
    <w:p w14:paraId="0000002F">
      <w:pPr>
        <w:pStyle w:val="ConsPlusTitle"/>
        <w:spacing w:line="276" w:lineRule="auto"/>
        <w:jc w:val="center"/>
        <w:rPr>
          <w:b w:val="off"/>
          <w:bCs w:val="off"/>
          <w:i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об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Селиярово (далее – Положение)</w:t>
      </w:r>
    </w:p>
    <w:p w14:paraId="00000030">
      <w:pPr>
        <w:widowControl w:val="off"/>
        <w:spacing w:line="276" w:lineRule="auto"/>
        <w:jc w:val="both"/>
        <w:rPr>
          <w:b w:val="off"/>
          <w:bCs w:val="off"/>
          <w:sz w:val="28"/>
          <w:szCs w:val="28"/>
        </w:rPr>
      </w:pPr>
    </w:p>
    <w:p w14:paraId="00000031">
      <w:pPr>
        <w:pStyle w:val="ConsPlusTitle"/>
        <w:spacing w:line="276" w:lineRule="auto"/>
        <w:jc w:val="center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1. Общие положения</w:t>
      </w:r>
    </w:p>
    <w:p w14:paraId="00000032">
      <w:pPr>
        <w:pStyle w:val="ConsPlusNormal"/>
        <w:spacing w:line="276" w:lineRule="auto"/>
        <w:ind w:firstLine="540"/>
        <w:jc w:val="both"/>
        <w:rPr/>
      </w:pPr>
    </w:p>
    <w:p w14:paraId="00000033">
      <w:pPr>
        <w:spacing w:line="276" w:lineRule="auto"/>
        <w:jc w:val="both"/>
        <w:rPr>
          <w:i/>
          <w:iCs/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1.1. Положение устанавливает порядок организации и осуществления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(далее – муниципальный контроль).</w:t>
      </w:r>
    </w:p>
    <w:p w14:paraId="00000034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1.2. К отношениям, связанным с осуществлением муниципального контроля, организацией и проведением профилактических мероприятий и контрольных мероприятий в отношении объектов контроля, применяются положения Федерального закона от 31.07.2020 № 248-ФЗ «О государственном контроле (надзоре) и муниципальном контроле в Российской Федерации» (далее – Федеральный закон № 248-ФЗ).</w:t>
      </w:r>
    </w:p>
    <w:p w14:paraId="00000035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1.3. Муниципальный контроль осуществляет отдел управления Администрации сельского поселения </w:t>
      </w:r>
      <w:r>
        <w:rPr>
          <w:rFonts w:ascii="Times New Roman" w:cs="Times New Roman" w:hAnsi="Times New Roman"/>
          <w:sz w:val="28"/>
          <w:szCs w:val="28"/>
        </w:rPr>
        <w:t>Селиярово</w:t>
      </w:r>
      <w:r>
        <w:rPr>
          <w:rFonts w:ascii="Times New Roman" w:cs="Times New Roman" w:hAnsi="Times New Roman"/>
          <w:sz w:val="28"/>
          <w:szCs w:val="28"/>
        </w:rPr>
        <w:t xml:space="preserve"> (далее – контрольный орган).</w:t>
      </w:r>
    </w:p>
    <w:p w14:paraId="00000036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1.4. Объектами муниципального контроля (далее – объект контроля) являются:</w:t>
      </w:r>
    </w:p>
    <w:p w14:paraId="00000037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 (далее – контролируемые лица);</w:t>
      </w:r>
    </w:p>
    <w:p w14:paraId="00000038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14:paraId="00000039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</w:t>
      </w:r>
      <w: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компоненты природной среды, природные и природно-антропогенные объекты, и другие объекты, которыми </w:t>
      </w:r>
      <w:r>
        <w:rPr>
          <w:rFonts w:ascii="Times New Roman" w:cs="Times New Roman" w:hAnsi="Times New Roman"/>
          <w:sz w:val="28"/>
          <w:szCs w:val="28"/>
        </w:rPr>
        <w:t>граждане и организации владеют и (или) пользуются,</w:t>
      </w:r>
      <w:r>
        <w:t xml:space="preserve"> </w:t>
      </w:r>
      <w:r>
        <w:rPr>
          <w:rFonts w:ascii="Times New Roman" w:cs="Times New Roman" w:hAnsi="Times New Roman"/>
          <w:sz w:val="28"/>
          <w:szCs w:val="28"/>
        </w:rPr>
        <w:t>компоненты природной среды, природные и природно-антропогенные объекты, не находящиеся во владении и (или) пользовании граждан или организаций,  к которым предъявляются обязательные требования                           (далее – производственные объекты).</w:t>
      </w:r>
    </w:p>
    <w:p w14:paraId="0000003A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1.5. Учет объектов контроля осуществляется в соответствии </w:t>
      </w:r>
      <w:r>
        <w:rPr>
          <w:rFonts w:ascii="Times New Roman" w:cs="Times New Roman" w:hAnsi="Times New Roman"/>
          <w:sz w:val="28"/>
          <w:szCs w:val="28"/>
        </w:rPr>
        <w:br w:type="textWrapping"/>
      </w:r>
      <w:r>
        <w:rPr>
          <w:rFonts w:ascii="Times New Roman" w:cs="Times New Roman" w:hAnsi="Times New Roman"/>
          <w:sz w:val="28"/>
          <w:szCs w:val="28"/>
        </w:rPr>
        <w:t xml:space="preserve">с Федеральным законом № 248-ФЗ, Положением посредством: </w:t>
      </w:r>
    </w:p>
    <w:p w14:paraId="0000003B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формирования перечня объектов контроля, размещенного на официальном сайте органа местного самоуправления сельского поселения </w:t>
      </w:r>
    </w:p>
    <w:p w14:paraId="0000003C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Селиярово </w:t>
      </w:r>
      <w:r>
        <w:rPr>
          <w:rFonts w:ascii="Times New Roman" w:cs="Times New Roman" w:hAnsi="Times New Roman"/>
          <w:sz w:val="28"/>
          <w:szCs w:val="28"/>
        </w:rPr>
        <w:t>в информационно-телекоммуникационной сети «Интернет» (далее – сеть «Интернет»);</w:t>
      </w:r>
    </w:p>
    <w:p w14:paraId="0000003D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иных федеральных или региональных информационных систем, </w:t>
      </w:r>
      <w:r>
        <w:rPr>
          <w:rFonts w:ascii="Times New Roman" w:cs="Times New Roman" w:hAnsi="Times New Roman"/>
          <w:sz w:val="28"/>
          <w:szCs w:val="28"/>
        </w:rPr>
        <w:br w:type="textWrapping"/>
      </w:r>
      <w:r>
        <w:rPr>
          <w:rFonts w:ascii="Times New Roman" w:cs="Times New Roman" w:hAnsi="Times New Roman"/>
          <w:sz w:val="28"/>
          <w:szCs w:val="28"/>
        </w:rPr>
        <w:t>в том числе путем получения сведений в порядке межведомственного информационного взаимодействия.</w:t>
      </w:r>
    </w:p>
    <w:p w14:paraId="0000003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 Предметом муниципального контроля являются: </w:t>
      </w:r>
    </w:p>
    <w:p w14:paraId="0000003F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значения: </w:t>
      </w:r>
    </w:p>
    <w:p w14:paraId="00000040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а) к эксплуатации объектов дорожного сервиса, размещенных в полосах отвода и (или) придорожных полосах автомобильных дорог общего пользования; </w:t>
      </w:r>
    </w:p>
    <w:p w14:paraId="00000041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 </w:t>
      </w:r>
    </w:p>
    <w:p w14:paraId="00000042">
      <w:pPr>
        <w:widowControl w:val="off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2) установленных в отношении перевозок по муниципальным маршрутам регулярных перевозок (за исключением муниципальных маршрутов регулярных перевозок в границах субъектов Российской Федерации – городов федерального значения Москвы, Санкт-Петербурга и Севастополя),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 </w:t>
      </w:r>
    </w:p>
    <w:p w14:paraId="00000043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1.7. Муниципальный контроль осуществляется посредством проведения:</w:t>
      </w:r>
    </w:p>
    <w:p w14:paraId="00000044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1) профилактических мероприятий;</w:t>
      </w:r>
    </w:p>
    <w:p w14:paraId="00000045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2) контрольных мероприятий со взаимодействием с контролируемым лицом;</w:t>
      </w:r>
    </w:p>
    <w:p w14:paraId="00000046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3) контрольных мероприятий без взаимодействия с контролируемым </w:t>
      </w:r>
      <w:r>
        <w:rPr>
          <w:rFonts w:ascii="Times New Roman" w:cs="Times New Roman" w:hAnsi="Times New Roman"/>
          <w:sz w:val="28"/>
          <w:szCs w:val="28"/>
        </w:rPr>
        <w:t xml:space="preserve">лицом.  </w:t>
      </w:r>
      <w:r>
        <w:rPr>
          <w:rFonts w:ascii="Times New Roman" w:cs="Times New Roman" w:hAnsi="Times New Roman"/>
          <w:sz w:val="28"/>
          <w:szCs w:val="28"/>
        </w:rPr>
        <w:tab/>
      </w:r>
    </w:p>
    <w:p w14:paraId="00000047">
      <w:pPr>
        <w:pStyle w:val="ConsPlusNormal"/>
        <w:spacing w:line="276" w:lineRule="auto"/>
        <w:ind w:firstLine="720"/>
        <w:jc w:val="both"/>
        <w:rPr>
          <w:rFonts w:ascii="Times New Roman" w:cs="Times New Roman" w:hAnsi="Times New Roman"/>
          <w:i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1.8. Муниципальный контроль осуществляют следующие должностные лица:</w:t>
      </w:r>
      <w:r>
        <w:rPr>
          <w:rFonts w:ascii="Times New Roman" w:cs="Times New Roman" w:hAnsi="Times New Roman"/>
          <w:i/>
          <w:sz w:val="28"/>
          <w:szCs w:val="28"/>
        </w:rPr>
        <w:tab/>
      </w:r>
    </w:p>
    <w:p w14:paraId="00000048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/>
          <w:sz w:val="28"/>
          <w:szCs w:val="28"/>
        </w:rPr>
        <w:t xml:space="preserve">          </w:t>
      </w:r>
      <w:r>
        <w:rPr>
          <w:rFonts w:ascii="Times New Roman" w:cs="Times New Roman" w:hAnsi="Times New Roman"/>
          <w:sz w:val="28"/>
          <w:szCs w:val="28"/>
        </w:rPr>
        <w:t xml:space="preserve">1) Глава сельского поселения </w:t>
      </w:r>
      <w:r>
        <w:rPr>
          <w:rFonts w:ascii="Times New Roman" w:cs="Times New Roman" w:hAnsi="Times New Roman"/>
          <w:sz w:val="28"/>
          <w:szCs w:val="28"/>
        </w:rPr>
        <w:t>Селиярово</w:t>
      </w:r>
      <w:r>
        <w:rPr>
          <w:rFonts w:ascii="Times New Roman" w:cs="Times New Roman" w:hAnsi="Times New Roman"/>
          <w:sz w:val="28"/>
          <w:szCs w:val="28"/>
        </w:rPr>
        <w:t xml:space="preserve"> (либо лицо, его замещающее) - руководитель контрольного органа;</w:t>
      </w:r>
    </w:p>
    <w:p w14:paraId="00000049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2) должностное лицо контрольного органа, в должностные обязанности которого в соответствии с Положением, должностной инструкцией входит осуществление полномочий по муниципальному контролю, в том числе проведение профилактических мероприятий и контрольных мероприятий (далее также – инспектор).</w:t>
      </w:r>
    </w:p>
    <w:p w14:paraId="0000004A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1.9. Принятие решений о проведении контрольных мероприятий осуществляет руководитель</w:t>
      </w:r>
      <w:r>
        <w:rPr>
          <w:rFonts w:ascii="Times New Roman" w:cs="Times New Roman" w:hAnsi="Times New Roman"/>
          <w:i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контрольного органа.</w:t>
      </w:r>
    </w:p>
    <w:p w14:paraId="0000004B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</w:p>
    <w:p w14:paraId="0000004C">
      <w:pPr>
        <w:pStyle w:val="ConsPlusNormal"/>
        <w:spacing w:line="276" w:lineRule="auto"/>
        <w:ind w:firstLine="720"/>
        <w:jc w:val="center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2. Управление рисками причинения вреда (ущерба) охраняемым законом ценностям при осуществлении муниципального контроля</w:t>
      </w:r>
    </w:p>
    <w:p w14:paraId="0000004D">
      <w:pPr>
        <w:pStyle w:val="ConsPlusNormal"/>
        <w:spacing w:line="276" w:lineRule="auto"/>
        <w:jc w:val="center"/>
        <w:rPr>
          <w:rFonts w:ascii="Times New Roman" w:cs="Times New Roman" w:hAnsi="Times New Roman"/>
          <w:b/>
          <w:sz w:val="28"/>
          <w:szCs w:val="28"/>
        </w:rPr>
      </w:pPr>
    </w:p>
    <w:p w14:paraId="0000004E">
      <w:pPr>
        <w:widowControl w:val="off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  <w:t>2.1. </w:t>
      </w:r>
      <w:r>
        <w:rPr>
          <w:rFonts w:eastAsia="Calibri"/>
          <w:sz w:val="28"/>
          <w:szCs w:val="28"/>
          <w:lang w:eastAsia="en-US"/>
        </w:rPr>
        <w:t>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14:paraId="0000004F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2.2. </w:t>
      </w:r>
      <w:r>
        <w:rPr>
          <w:sz w:val="28"/>
          <w:szCs w:val="28"/>
        </w:rPr>
        <w:t>Учет рисков причинения вреда (ущерба) охраняемым законом ценностям, порядок отнесения объектов контроля к категориям риска причинения вреда (ущерба) (далее – категории риска) и выявления индикаторов риска нарушения обязательных требований                                    (далее – индикаторы риска) осуществляются контрольным органом в соответствии с главой 5 Федерального закона № 248-ФЗ.</w:t>
      </w:r>
    </w:p>
    <w:p w14:paraId="0000005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 Объекты контроля подлежат отнесению к категориям среднего, умеренного и низкого риска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критериями отнесения объектов контроля к категориям риска (далее – критерии риска), указанными в приложении 3 к Положению.</w:t>
      </w:r>
    </w:p>
    <w:p w14:paraId="00000051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 При отнесении объектов контроля к категориям риска, применении критериев риска и выявлении индикаторов риска контрольный орган использует сведения об объектах контроля, характеризующие уровень рисков причинения вреда (ущерба), полученные с соблюдением требований законодательства Российской Федерации, Ханты-Мансийского автономного округа – Югры из любых источников, обеспечивающих их достоверность.</w:t>
      </w:r>
    </w:p>
    <w:p w14:paraId="00000052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i/>
          <w:sz w:val="24"/>
          <w:szCs w:val="24"/>
        </w:rPr>
        <w:tab/>
      </w:r>
      <w:r>
        <w:rPr>
          <w:sz w:val="28"/>
          <w:szCs w:val="28"/>
        </w:rPr>
        <w:t xml:space="preserve">2.5. Допустимый уровень риска причинения вреда (ущерба) закреплен в ключевых показателях вида муниципального контроля в соответствии с </w:t>
      </w:r>
      <w:r>
        <w:rPr>
          <w:sz w:val="28"/>
          <w:szCs w:val="28"/>
        </w:rPr>
        <w:t>приложением 2 к Положению.</w:t>
      </w:r>
    </w:p>
    <w:p w14:paraId="00000053">
      <w:pPr>
        <w:widowControl w:val="off"/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2.6. </w:t>
      </w:r>
      <w:r>
        <w:rPr>
          <w:color w:val="000000"/>
          <w:sz w:val="28"/>
          <w:szCs w:val="28"/>
        </w:rPr>
        <w:t xml:space="preserve"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в соответствии с приложением 1 к Положению. </w:t>
      </w:r>
    </w:p>
    <w:p w14:paraId="00000054">
      <w:pPr>
        <w:widowControl w:val="off"/>
        <w:spacing w:line="276" w:lineRule="auto"/>
        <w:jc w:val="both"/>
        <w:rPr>
          <w:bCs/>
          <w:i/>
          <w:color w:val="000000"/>
          <w:sz w:val="24"/>
          <w:szCs w:val="24"/>
        </w:rPr>
      </w:pPr>
      <w:r>
        <w:rPr>
          <w:sz w:val="28"/>
          <w:szCs w:val="28"/>
        </w:rPr>
        <w:tab/>
        <w:t>2.7. Контрольным органом обеспечивается организация постоянного мониторинга (сбора, обработки, анализа и учета) сведений, используемых для оценки и управления рисками причинения вреда (ущерба).</w:t>
      </w:r>
    </w:p>
    <w:p w14:paraId="00000055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2.8. В случае поступления в контрольный орган сведений о соответствии объекта контроля критериям риска иной категории риска либо об изменении критериев риска контрольный орган в течение пяти рабочих дней со дня поступления указанных сведений принимает решение об изменении категории риска указанного объекта контроля.</w:t>
      </w:r>
    </w:p>
    <w:p w14:paraId="0000005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2.9. В случае, если объект контроля не отнесен контрольным органом к определенной категории риска, он считается отнесенным к категории низкого риска.</w:t>
      </w:r>
    </w:p>
    <w:p w14:paraId="0000005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2.10. Контролируемые лица,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 (функций) подают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риска.</w:t>
      </w:r>
    </w:p>
    <w:p w14:paraId="0000005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2.11. По запросу контролируемого лица контрольный орган в установленном порядке предоставляет информацию о присвоенной категории риска, а также сведения, на основании которых принято решение об отнесении к категории риска.</w:t>
      </w:r>
    </w:p>
    <w:p w14:paraId="00000059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2.12. 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  «Единый реестр видов федерального государственного контроля (надзора), регионального государственного контроля (надзора), муниципального контроля» в соответствии с критериями риска согласно приложению 3 к Положению.</w:t>
      </w:r>
      <w:r>
        <w:t xml:space="preserve"> </w:t>
      </w:r>
    </w:p>
    <w:p w14:paraId="0000005A">
      <w:pPr>
        <w:widowControl w:val="off"/>
        <w:spacing w:line="276" w:lineRule="auto"/>
        <w:jc w:val="both"/>
        <w:rPr>
          <w:strike w:val="on"/>
          <w:sz w:val="28"/>
        </w:rPr>
      </w:pPr>
    </w:p>
    <w:p w14:paraId="0000005B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3. Профилактика рисков причинения вреда (ущерба) охраняемым законом ценностям</w:t>
      </w:r>
    </w:p>
    <w:p w14:paraId="0000005C">
      <w:pPr>
        <w:widowControl w:val="off"/>
        <w:spacing w:line="276" w:lineRule="auto"/>
        <w:jc w:val="center"/>
        <w:rPr>
          <w:b/>
          <w:sz w:val="28"/>
          <w:szCs w:val="28"/>
        </w:rPr>
      </w:pPr>
    </w:p>
    <w:p w14:paraId="0000005D">
      <w:pPr>
        <w:pStyle w:val="ListParagraph"/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Профилактические мероприятия осуществляются на основании программы профилактики рисков причинения вреда (ущерба) охраняемым законом ценностям (далее – Программа профилактики), утвержденной решением главы сельского поселения </w:t>
      </w:r>
      <w:r>
        <w:rPr>
          <w:sz w:val="28"/>
          <w:szCs w:val="28"/>
        </w:rPr>
        <w:t xml:space="preserve">Селиярово </w:t>
      </w:r>
      <w:r>
        <w:rPr>
          <w:sz w:val="28"/>
          <w:szCs w:val="28"/>
        </w:rPr>
        <w:t xml:space="preserve">в форме постановления администрации сельского поселения </w:t>
      </w:r>
      <w:r>
        <w:rPr>
          <w:sz w:val="28"/>
          <w:szCs w:val="28"/>
        </w:rPr>
        <w:t xml:space="preserve">Селиярово </w:t>
      </w:r>
      <w:r>
        <w:rPr>
          <w:sz w:val="28"/>
          <w:szCs w:val="28"/>
        </w:rPr>
        <w:t xml:space="preserve">и размещенной на </w:t>
      </w:r>
      <w:r>
        <w:rPr>
          <w:color w:val="auto"/>
          <w:sz w:val="28"/>
          <w:szCs w:val="28"/>
          <w:u w:val="none"/>
        </w:rPr>
        <w:t xml:space="preserve">официальном сайте администрации сельского поселения </w:t>
      </w:r>
      <w:r>
        <w:rPr>
          <w:color w:val="auto"/>
          <w:sz w:val="28"/>
          <w:szCs w:val="28"/>
          <w:u w:val="none"/>
        </w:rPr>
        <w:t>Селиярово</w:t>
      </w:r>
      <w:r>
        <w:rPr>
          <w:color w:val="auto"/>
          <w:sz w:val="28"/>
          <w:szCs w:val="28"/>
          <w:u w:val="none"/>
        </w:rPr>
        <w:t xml:space="preserve"> </w:t>
      </w:r>
      <w:r>
        <w:fldChar w:fldCharType="begin"/>
      </w:r>
      <w:r>
        <w:instrText xml:space="preserve"> HYPERLINK "http://hmrn.ru/raion/poseleniya/seliyarovo/" </w:instrText>
      </w:r>
      <w:r>
        <w:fldChar w:fldCharType="separate"/>
      </w:r>
      <w:bookmarkStart w:id="1" w:name="_Hlk212708673"/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bookmarkEnd w:id="1"/>
      <w:r>
        <w:rPr>
          <w:rStyle w:val="Hyperlink"/>
          <w:rFonts w:eastAsia="Arial"/>
          <w:color w:val="auto"/>
          <w:sz w:val="28"/>
          <w:szCs w:val="28"/>
          <w:u w:val="none"/>
        </w:rPr>
        <w:t xml:space="preserve"> </w:t>
      </w:r>
      <w:r>
        <w:rPr>
          <w:color w:val="auto"/>
          <w:sz w:val="28"/>
          <w:szCs w:val="28"/>
          <w:u w:val="none"/>
        </w:rPr>
        <w:t xml:space="preserve">в </w:t>
      </w:r>
      <w:r>
        <w:rPr>
          <w:sz w:val="28"/>
          <w:szCs w:val="28"/>
        </w:rPr>
        <w:t>сети «Интернет».</w:t>
      </w:r>
    </w:p>
    <w:p w14:paraId="0000005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 Профилактические мероприятия, предусмотренные Программой профилактики, обязательны для проведения контрольным органом.</w:t>
      </w:r>
    </w:p>
    <w:p w14:paraId="0000005F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3.3. Контрольный орган может проводить профилактические мероприятия, не предусмотренные Программой профилактики.</w:t>
      </w:r>
    </w:p>
    <w:p w14:paraId="0000006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3.4. Контрольный орган в рамках осуществления муниципального контроля проводит следующие профилактические мероприятия: </w:t>
      </w:r>
    </w:p>
    <w:p w14:paraId="00000061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ab/>
        <w:t>1) информирование;</w:t>
      </w:r>
    </w:p>
    <w:p w14:paraId="00000062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2) объявление предостережения;</w:t>
      </w:r>
    </w:p>
    <w:p w14:paraId="00000063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3) консультирование;</w:t>
      </w:r>
    </w:p>
    <w:p w14:paraId="00000064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4) профилактический визит.</w:t>
      </w:r>
    </w:p>
    <w:p w14:paraId="00000065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3.5. Информирование осуществляется должностными лицами контрольного органа посредством размещения сведений, предусмотренных частью 3 статьи 46 Федерального закона № 248-ФЗ, на официальном сайте </w:t>
      </w:r>
      <w:r>
        <w:rPr>
          <w:color w:val="auto"/>
          <w:sz w:val="28"/>
          <w:szCs w:val="28"/>
          <w:u w:val="none"/>
        </w:rPr>
        <w:t xml:space="preserve">администрации сельского поселения </w:t>
      </w:r>
      <w:r>
        <w:rPr>
          <w:color w:val="auto"/>
          <w:sz w:val="28"/>
          <w:szCs w:val="28"/>
          <w:u w:val="none"/>
        </w:rPr>
        <w:t xml:space="preserve">Селиярово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color w:val="auto"/>
          <w:sz w:val="28"/>
          <w:szCs w:val="28"/>
          <w:u w:val="none"/>
        </w:rPr>
        <w:t xml:space="preserve">, в средствах массовой </w:t>
      </w:r>
      <w:r>
        <w:rPr>
          <w:sz w:val="28"/>
          <w:szCs w:val="28"/>
        </w:rPr>
        <w:t>информации, через единый портал государственных и муниципальных услуг (функций) и в иных формах.</w:t>
      </w:r>
    </w:p>
    <w:p w14:paraId="0000006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Размещенные сведения поддерживаются в актуальном состоянии и обновляются в срок </w:t>
      </w:r>
      <w:r>
        <w:rPr>
          <w:sz w:val="28"/>
          <w:szCs w:val="24"/>
        </w:rPr>
        <w:t>не более 5 рабочих дней</w:t>
      </w:r>
      <w:r>
        <w:rPr>
          <w:sz w:val="28"/>
          <w:szCs w:val="28"/>
        </w:rPr>
        <w:t xml:space="preserve"> с момента их изменения.</w:t>
      </w:r>
    </w:p>
    <w:p w14:paraId="00000067">
      <w:pPr>
        <w:widowControl w:val="off"/>
        <w:spacing w:line="276" w:lineRule="auto"/>
        <w:jc w:val="both"/>
        <w:rPr>
          <w:sz w:val="24"/>
          <w:szCs w:val="24"/>
        </w:rPr>
      </w:pPr>
      <w:r>
        <w:rPr>
          <w:sz w:val="28"/>
          <w:szCs w:val="28"/>
        </w:rPr>
        <w:tab/>
        <w:t xml:space="preserve">3.6. Предостережение о недопустимости нарушения обязательных требований (далее – предостережение) контрольный орган объявляет контролируемому лицу в случае получения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в срок </w:t>
      </w:r>
      <w:r>
        <w:rPr>
          <w:sz w:val="28"/>
          <w:szCs w:val="24"/>
        </w:rPr>
        <w:t>не более 10 рабочих дней со дня их получения</w:t>
      </w:r>
      <w:r>
        <w:rPr>
          <w:sz w:val="18"/>
        </w:rPr>
        <w:t xml:space="preserve"> </w:t>
      </w:r>
      <w:r>
        <w:rPr>
          <w:sz w:val="28"/>
          <w:szCs w:val="28"/>
        </w:rPr>
        <w:t>и предлагает принять меры по обеспечению соблюдения обязательных требований.</w:t>
      </w:r>
    </w:p>
    <w:p w14:paraId="00000068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 xml:space="preserve">Предостережение составляется по форме, утвержденной приказом Министерства экономического развития Российской Федерации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от 31 марта 2021 года № 151 «О типовых формах документов, используемых </w:t>
      </w:r>
      <w:r>
        <w:rPr>
          <w:sz w:val="28"/>
          <w:szCs w:val="28"/>
        </w:rPr>
        <w:t>контрольным (надзорным) органом», в письменной форме или в форме электронного документа.</w:t>
      </w:r>
    </w:p>
    <w:p w14:paraId="00000069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Объявленное предостережение контрольный орган размещает в момент вынесения в Едином реестре контрольных (надзорных) мероприятий (далее – ЕРКНМ) и в течение 3 рабочих дней с даты объявления направляет в адрес контролируемого лица через единый портал государственных и муниципальных услуг (функций), а также по адресу электронной почты или почтовым отправлением (в случае направления на бумажном носителе).</w:t>
      </w:r>
    </w:p>
    <w:p w14:paraId="0000006A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Инспектор регистрирует предостережение в журнале учета объявленных предостережений с присвоением регистрационного номера.</w:t>
      </w:r>
    </w:p>
    <w:p w14:paraId="0000006B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Контролируемое лицо после получения предостережения подает в контрольный орган возражение в произвольной форме, включив в него следующую информацию:</w:t>
      </w:r>
    </w:p>
    <w:p w14:paraId="0000006C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наименование контролируемого лица;</w:t>
      </w:r>
    </w:p>
    <w:p w14:paraId="0000006D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дату и номер полученного предостережения;</w:t>
      </w:r>
    </w:p>
    <w:p w14:paraId="0000006E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обоснование позиции, возражения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требований;</w:t>
      </w:r>
    </w:p>
    <w:p w14:paraId="0000006F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желаемый способ получения ответа по итогам рассмотрения возражения;</w:t>
      </w:r>
    </w:p>
    <w:p w14:paraId="00000070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фамилию, имя, отчество (при наличии) уполномоченного действовать от имени контролируемого лица, направившего возражение;</w:t>
      </w:r>
    </w:p>
    <w:p w14:paraId="00000071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дату направления возражения.</w:t>
      </w:r>
    </w:p>
    <w:p w14:paraId="00000072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Возражение направляет контролируемое лицо в контрольный орган одним из следующих способов:</w:t>
      </w:r>
    </w:p>
    <w:p w14:paraId="00000073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лично, обратившись в контрольный орган;</w:t>
      </w:r>
    </w:p>
    <w:p w14:paraId="00000074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почтовой связью по адресу: 6285</w:t>
      </w:r>
      <w:r>
        <w:rPr>
          <w:sz w:val="28"/>
          <w:szCs w:val="28"/>
        </w:rPr>
        <w:t>06</w:t>
      </w:r>
      <w:r>
        <w:rPr>
          <w:sz w:val="28"/>
          <w:szCs w:val="28"/>
        </w:rPr>
        <w:t xml:space="preserve">, Тюменская область, Ханты-Мансийский автономный округ-Югра, Ханты-Мансийский район, 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, ул. </w:t>
      </w:r>
      <w:r>
        <w:rPr>
          <w:sz w:val="28"/>
          <w:szCs w:val="28"/>
        </w:rPr>
        <w:t>Братьев-Фирсовых</w:t>
      </w:r>
      <w:r>
        <w:rPr>
          <w:sz w:val="28"/>
          <w:szCs w:val="28"/>
        </w:rPr>
        <w:t xml:space="preserve">, дом </w:t>
      </w:r>
      <w:r>
        <w:rPr>
          <w:sz w:val="28"/>
          <w:szCs w:val="28"/>
        </w:rPr>
        <w:t>24 а</w:t>
      </w:r>
      <w:r>
        <w:rPr>
          <w:sz w:val="28"/>
          <w:szCs w:val="28"/>
        </w:rPr>
        <w:t>;</w:t>
      </w:r>
    </w:p>
    <w:p w14:paraId="00000075">
      <w:pPr>
        <w:widowControl w:val="off"/>
        <w:spacing w:line="276" w:lineRule="auto"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в электронном виде через </w:t>
      </w:r>
      <w:r>
        <w:rPr>
          <w:iCs/>
          <w:sz w:val="28"/>
          <w:szCs w:val="24"/>
        </w:rPr>
        <w:t>единый портал государственных и муниципальных услуг (функций).</w:t>
      </w:r>
    </w:p>
    <w:p w14:paraId="00000076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Возражение контрольный орган рассматривает не позднее 30 дней с даты его получения, по итогам которого принимает одно из указанных решений:</w:t>
      </w:r>
    </w:p>
    <w:p w14:paraId="00000077">
      <w:pPr>
        <w:widowControl w:val="off"/>
        <w:spacing w:line="276" w:lineRule="auto"/>
        <w:ind w:firstLine="720"/>
        <w:jc w:val="both"/>
        <w:rPr>
          <w:i/>
        </w:rPr>
      </w:pPr>
      <w:r>
        <w:rPr>
          <w:sz w:val="28"/>
          <w:szCs w:val="28"/>
        </w:rPr>
        <w:t xml:space="preserve">в случае признания доводов контролируемого лица состоятельными – о недействительности направленного предостережения с соответствующей отметкой в журнале учета объявленных предостережений, о чем уведомляет его в срок не позднее </w:t>
      </w:r>
      <w:r>
        <w:rPr>
          <w:sz w:val="28"/>
          <w:szCs w:val="24"/>
        </w:rPr>
        <w:t>3 рабочих дней с даты принятия решения;</w:t>
      </w:r>
    </w:p>
    <w:p w14:paraId="00000078">
      <w:pPr>
        <w:widowControl w:val="off"/>
        <w:spacing w:line="276" w:lineRule="auto"/>
        <w:ind w:firstLine="720"/>
        <w:jc w:val="both"/>
        <w:rPr>
          <w:sz w:val="28"/>
          <w:szCs w:val="24"/>
        </w:rPr>
      </w:pPr>
      <w:r>
        <w:rPr>
          <w:sz w:val="28"/>
          <w:szCs w:val="28"/>
        </w:rPr>
        <w:t xml:space="preserve">в случае признания доводов контролируемого лица несостоятельными – </w:t>
      </w:r>
      <w:r>
        <w:rPr>
          <w:sz w:val="28"/>
          <w:szCs w:val="28"/>
        </w:rPr>
        <w:t xml:space="preserve">об оставлении возражения без удовлетворения, о чем уведомляет его в срок не позднее </w:t>
      </w:r>
      <w:r>
        <w:rPr>
          <w:sz w:val="28"/>
          <w:szCs w:val="24"/>
        </w:rPr>
        <w:t>3 рабочих дня с даты принятия решения.</w:t>
      </w:r>
    </w:p>
    <w:p w14:paraId="0000007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3.7. Консультирование контролируемых лиц и их представителей осуществляется инспектором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0000007A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Консультирование осуществляется без взимания платы.</w:t>
      </w:r>
    </w:p>
    <w:p w14:paraId="0000007B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Консультирование может осуществляться инспектором по телефону, посредством видео-конференц-связи, на личном приеме, либо в ходе проведения профилактических мероприятий, контрольных мероприятий.</w:t>
      </w:r>
    </w:p>
    <w:p w14:paraId="0000007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Время консультирования не должно превышать 15 минут.</w:t>
      </w:r>
    </w:p>
    <w:p w14:paraId="0000007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Личный прием граждан проводится руководителем контрольного органа.  </w:t>
      </w:r>
    </w:p>
    <w:p w14:paraId="0000007E">
      <w:pPr>
        <w:widowControl w:val="off"/>
        <w:spacing w:line="276" w:lineRule="auto"/>
        <w:jc w:val="both"/>
        <w:rPr>
          <w:color w:val="auto"/>
          <w:sz w:val="28"/>
          <w:szCs w:val="28"/>
          <w:u w:val="none"/>
        </w:rPr>
      </w:pPr>
      <w:r>
        <w:rPr>
          <w:sz w:val="28"/>
          <w:szCs w:val="28"/>
        </w:rPr>
        <w:tab/>
        <w:t>Информация о месте приема, а также об установленных для приема днях и часах размеща</w:t>
      </w:r>
      <w:r>
        <w:rPr>
          <w:color w:val="auto"/>
          <w:sz w:val="28"/>
          <w:szCs w:val="28"/>
          <w:u w:val="none"/>
        </w:rPr>
        <w:t xml:space="preserve">ется на официальном сайте администрации сельского поселения </w:t>
      </w:r>
      <w:r>
        <w:rPr>
          <w:color w:val="auto"/>
          <w:sz w:val="28"/>
          <w:szCs w:val="28"/>
          <w:u w:val="none"/>
        </w:rPr>
        <w:t>Селиярово</w:t>
      </w:r>
      <w:r>
        <w:rPr>
          <w:color w:val="auto"/>
          <w:sz w:val="28"/>
          <w:szCs w:val="28"/>
          <w:u w:val="none"/>
        </w:rPr>
        <w:t xml:space="preserve">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color w:val="auto"/>
          <w:sz w:val="28"/>
          <w:szCs w:val="28"/>
          <w:u w:val="none"/>
        </w:rPr>
        <w:t>.</w:t>
      </w:r>
    </w:p>
    <w:p w14:paraId="0000007F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color w:val="auto"/>
          <w:sz w:val="28"/>
          <w:szCs w:val="28"/>
          <w:u w:val="none"/>
        </w:rPr>
        <w:tab/>
        <w:t>Консультирование в письменной форме осуществляется инспектором в сроки, установленны</w:t>
      </w:r>
      <w:r>
        <w:rPr>
          <w:sz w:val="28"/>
          <w:szCs w:val="28"/>
        </w:rPr>
        <w:t>е Федеральным законом от 2 мая 2006 года № 59-ФЗ «О порядке рассмотрения обращений граждан Российской Федерации», в следующих случаях:</w:t>
      </w:r>
    </w:p>
    <w:p w14:paraId="00000080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 контролируемым лицом представлен письменный запрос о предоставлении письменного ответа по вопросам консультирования;</w:t>
      </w:r>
    </w:p>
    <w:p w14:paraId="00000081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 за время консультирования предоставить ответ на поставленные вопросы невозможно;</w:t>
      </w:r>
    </w:p>
    <w:p w14:paraId="00000082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 ответ на поставленные вопросы требует дополнительного запроса сведений от иных органов власти или лиц.</w:t>
      </w:r>
    </w:p>
    <w:p w14:paraId="00000083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Если поставленные во время консультирования вопросы не относятся к осуществляемому виду муниципального контроля даются необходимые разъяснения по обращению в соответствующие органы государственной власти, органы местного самоуправления или к соответствующим должностным лицам.</w:t>
      </w:r>
    </w:p>
    <w:p w14:paraId="00000084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00000085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мероприятия, а также результаты проведенных в рамках </w:t>
      </w:r>
      <w:r>
        <w:rPr>
          <w:sz w:val="28"/>
          <w:szCs w:val="28"/>
        </w:rPr>
        <w:t>контрольного мероприятия экспертизы, испытаний.</w:t>
      </w:r>
    </w:p>
    <w:p w14:paraId="0000008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14:paraId="0000008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Контрольный орган осуществляет учет консультирований, который проводится посредством внесения соответствующей записи в журнал консультирования.</w:t>
      </w:r>
    </w:p>
    <w:p w14:paraId="00000088">
      <w:pPr>
        <w:widowControl w:val="off"/>
        <w:spacing w:line="276" w:lineRule="auto"/>
        <w:jc w:val="both"/>
        <w:rPr>
          <w:color w:val="auto"/>
          <w:sz w:val="28"/>
          <w:szCs w:val="28"/>
          <w:u w:val="none"/>
        </w:rPr>
      </w:pPr>
      <w:r>
        <w:rPr>
          <w:sz w:val="28"/>
          <w:szCs w:val="28"/>
        </w:rPr>
        <w:tab/>
        <w:t xml:space="preserve">В случае, поступления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>
        <w:rPr>
          <w:color w:val="auto"/>
          <w:sz w:val="28"/>
          <w:szCs w:val="28"/>
          <w:u w:val="none"/>
        </w:rPr>
        <w:t xml:space="preserve">администрации сельского поселения </w:t>
      </w:r>
      <w:r>
        <w:rPr>
          <w:color w:val="auto"/>
          <w:sz w:val="28"/>
          <w:szCs w:val="28"/>
          <w:u w:val="none"/>
        </w:rPr>
        <w:t>Селиярово</w:t>
      </w:r>
      <w:r>
        <w:rPr>
          <w:color w:val="auto"/>
          <w:sz w:val="28"/>
          <w:szCs w:val="28"/>
          <w:u w:val="none"/>
        </w:rPr>
        <w:t xml:space="preserve">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color w:val="auto"/>
          <w:sz w:val="28"/>
          <w:szCs w:val="28"/>
          <w:u w:val="none"/>
        </w:rPr>
        <w:t>. письменного разъяснения, подписанного уполномоченным должностным лицом.</w:t>
      </w:r>
    </w:p>
    <w:p w14:paraId="00000089">
      <w:pPr>
        <w:widowControl w:val="off"/>
        <w:spacing w:line="276" w:lineRule="auto"/>
        <w:jc w:val="both"/>
        <w:rPr>
          <w:sz w:val="24"/>
          <w:szCs w:val="24"/>
        </w:rPr>
      </w:pPr>
      <w:r>
        <w:rPr>
          <w:color w:val="auto"/>
          <w:sz w:val="28"/>
          <w:szCs w:val="28"/>
          <w:u w:val="none"/>
        </w:rPr>
        <w:tab/>
        <w:t>3.8. Профилактич</w:t>
      </w:r>
      <w:r>
        <w:rPr>
          <w:sz w:val="28"/>
          <w:szCs w:val="28"/>
        </w:rPr>
        <w:t>еский визит проводится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0000008A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0000008B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0000008C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Обязательный профилактический визит проводится в </w:t>
      </w:r>
      <w:r>
        <w:rPr>
          <w:color w:val="000000"/>
          <w:sz w:val="28"/>
          <w:szCs w:val="28"/>
        </w:rPr>
        <w:t xml:space="preserve">порядке 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и случаях, предусмотренных статьями 25, 52.1</w:t>
      </w:r>
      <w:r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№ 248-ФЗ.</w:t>
      </w:r>
    </w:p>
    <w:p w14:paraId="0000008D">
      <w:pPr>
        <w:widowControl w:val="off"/>
        <w:spacing w:line="276" w:lineRule="auto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sz w:val="28"/>
          <w:szCs w:val="28"/>
        </w:rPr>
        <w:t>Периодичность проведения обязательных профилактических визитов в отн</w:t>
      </w:r>
      <w:r>
        <w:rPr>
          <w:rFonts w:ascii="Times New Roman" w:cs="Times New Roman" w:hAnsi="Times New Roman"/>
          <w:sz w:val="28"/>
          <w:szCs w:val="28"/>
        </w:rPr>
        <w:t>ошении объектов контроля, отнесенных к определенным категориям риска, устанавливаются соразмерно рискам причинения вреда (ущерба).</w:t>
      </w:r>
    </w:p>
    <w:p w14:paraId="0000008E">
      <w:pPr>
        <w:widowControl w:val="off"/>
        <w:spacing w:line="276" w:lineRule="auto"/>
        <w:ind w:firstLine="720"/>
        <w:jc w:val="both"/>
        <w:rPr>
          <w:rFonts w:ascii="Times New Roman" w:cs="Times New Roman" w:hAnsi="Times New Roman"/>
          <w:i/>
          <w:iCs/>
          <w:sz w:val="24"/>
          <w:szCs w:val="24"/>
        </w:rPr>
      </w:pPr>
      <w:r>
        <w:rPr>
          <w:rFonts w:ascii="Times New Roman" w:cs="Times New Roman" w:eastAsia="TimesNewRoman" w:hAnsi="Times New Roman"/>
          <w:color w:val="000000"/>
          <w:sz w:val="28"/>
          <w:szCs w:val="28"/>
        </w:rPr>
        <w:t>Периодичность проведения обязательных профилактических визитов составляет: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 w14:paraId="0000008F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 для объектов контроля, отнесенных к категории среднего и умеренного </w:t>
      </w:r>
      <w:r>
        <w:rPr>
          <w:rFonts w:ascii="Times New Roman" w:cs="Times New Roman" w:hAnsi="Times New Roman"/>
          <w:sz w:val="28"/>
          <w:szCs w:val="28"/>
        </w:rPr>
        <w:t>риска, периодичность устанавливается Правительством Российск</w:t>
      </w:r>
      <w:r>
        <w:rPr>
          <w:sz w:val="28"/>
          <w:szCs w:val="28"/>
        </w:rPr>
        <w:t xml:space="preserve">ой Федерации; </w:t>
      </w:r>
    </w:p>
    <w:p w14:paraId="00000090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для объектов контроля, отнесенных к категории низкого риска – обязательные профилактические мероприятия не проводятся.</w:t>
      </w:r>
    </w:p>
    <w:p w14:paraId="00000091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14:paraId="00000092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14:paraId="00000093">
      <w:pPr>
        <w:widowControl w:val="off"/>
        <w:spacing w:line="276" w:lineRule="auto"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>Профилактический визит по инициативе контролируемого лица проводится в соответствии с требованиями статьи 52.2 Федерального закона № 248-ФЗ.</w:t>
      </w:r>
      <w:r>
        <w:rPr>
          <w:sz w:val="24"/>
          <w:szCs w:val="24"/>
        </w:rPr>
        <w:t xml:space="preserve"> </w:t>
      </w:r>
    </w:p>
    <w:p w14:paraId="00000094">
      <w:pPr>
        <w:spacing w:line="276" w:lineRule="auto"/>
        <w:ind w:firstLine="709"/>
        <w:jc w:val="both"/>
        <w:rPr>
          <w:i/>
          <w:sz w:val="28"/>
          <w:szCs w:val="24"/>
        </w:rPr>
      </w:pPr>
    </w:p>
    <w:p w14:paraId="00000095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4. Осуществление муниципального контроля </w:t>
      </w:r>
    </w:p>
    <w:p w14:paraId="00000096">
      <w:pPr>
        <w:widowControl w:val="off"/>
        <w:spacing w:line="276" w:lineRule="auto"/>
        <w:jc w:val="center"/>
        <w:rPr>
          <w:sz w:val="28"/>
          <w:szCs w:val="28"/>
        </w:rPr>
      </w:pPr>
    </w:p>
    <w:p w14:paraId="0000009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4.1. Муниципальный контроль со взаимодействием с контролируемым лицом осуществляется при проведении следующих контрольных мероприятий:</w:t>
      </w:r>
    </w:p>
    <w:p w14:paraId="0000009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инспекционный визит;</w:t>
      </w:r>
    </w:p>
    <w:p w14:paraId="0000009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рейдовый осмотр;</w:t>
      </w:r>
    </w:p>
    <w:p w14:paraId="0000009A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документарная проверка;</w:t>
      </w:r>
    </w:p>
    <w:p w14:paraId="0000009B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выездная проверка.</w:t>
      </w:r>
    </w:p>
    <w:p w14:paraId="0000009C">
      <w:pPr>
        <w:widowControl w:val="off"/>
        <w:spacing w:line="276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4.2. Инспекционный визит, рейдовый осмотр, выездная проверка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9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4.3. При проведении контрольных мероприятий в рамках осуществления муниципального контроля должностное лицо контрольного органа:</w:t>
      </w:r>
    </w:p>
    <w:p w14:paraId="0000009E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ab/>
        <w:t>совершает действия, предусмотренные частью 2 статьи 29 Федерального закона № 248-ФЗ;</w:t>
      </w:r>
    </w:p>
    <w:p w14:paraId="0000009F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принимает решения, предусмотренные частью 2 статьи 90 Федерального закона № 248-ФЗ;</w:t>
      </w:r>
    </w:p>
    <w:p w14:paraId="000000A0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использует для фиксации доказательств нарушений обязательных требований фотосъемку, аудио- и (или) видеозапись, если совершение указанных действий не запрещено федеральными законами. </w:t>
      </w:r>
    </w:p>
    <w:p w14:paraId="000000A1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4.4. В целях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видеозаписи, в том числе с использованием мобильного приложения «Инспектор». 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инспекторами самостоятельно.</w:t>
      </w:r>
    </w:p>
    <w:p w14:paraId="000000A2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Информация о проведении фотосъемки, аудио- и видеозаписи и использованных для этих целей технических средствах отражается в акте контрольного мероприятия.</w:t>
      </w:r>
    </w:p>
    <w:p w14:paraId="000000A3">
      <w:pPr>
        <w:widowControl w:val="off"/>
        <w:spacing w:line="276" w:lineRule="auto"/>
        <w:ind w:firstLine="720"/>
        <w:jc w:val="both"/>
        <w:rPr>
          <w:bCs/>
          <w:i/>
          <w:sz w:val="24"/>
          <w:szCs w:val="24"/>
        </w:rPr>
      </w:pPr>
      <w:r>
        <w:rPr>
          <w:sz w:val="28"/>
          <w:szCs w:val="28"/>
        </w:rPr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000000A4">
      <w:pPr>
        <w:widowControl w:val="off"/>
        <w:spacing w:line="276" w:lineRule="auto"/>
        <w:jc w:val="both"/>
        <w:rPr>
          <w:bCs/>
          <w:sz w:val="28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4"/>
        </w:rPr>
        <w:t xml:space="preserve">4.5. При осуществлении муниципального контроля плановые контрольные мероприятия не проводятся. </w:t>
      </w:r>
    </w:p>
    <w:p w14:paraId="000000A5">
      <w:pPr>
        <w:widowControl w:val="off"/>
        <w:spacing w:line="276" w:lineRule="auto"/>
        <w:ind w:firstLine="720"/>
        <w:jc w:val="both"/>
        <w:rPr>
          <w:sz w:val="28"/>
          <w:szCs w:val="24"/>
        </w:rPr>
      </w:pPr>
      <w:r>
        <w:rPr>
          <w:iCs/>
          <w:sz w:val="28"/>
          <w:szCs w:val="24"/>
        </w:rPr>
        <w:t>4.6. Контрольные мероприятия осуществляются на внеплановой основе.</w:t>
      </w:r>
    </w:p>
    <w:p w14:paraId="000000A6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4.7. Для проведения контрольного мероприятия, предусматривающего взаимодействие с контролируемым лицом, а также документарной проверки, контрольный орган принимает решение о ее проведении, в котором указывает сведения, предусмотренные частью 1 статьи 64 Федерального закона № 248-ФЗ.</w:t>
      </w:r>
    </w:p>
    <w:p w14:paraId="000000A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4.8. Инспекционный визит проводится в порядке и в сроки, установленные статьей 70 Федерального закона № 248-ФЗ.</w:t>
      </w:r>
    </w:p>
    <w:p w14:paraId="000000A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инспекционного визита могут совершаться следующие контрольные действия:</w:t>
      </w:r>
    </w:p>
    <w:p w14:paraId="000000A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осмотр;</w:t>
      </w:r>
    </w:p>
    <w:p w14:paraId="000000AA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опрос;</w:t>
      </w:r>
    </w:p>
    <w:p w14:paraId="000000AB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получение письменных объяснений;</w:t>
      </w:r>
    </w:p>
    <w:p w14:paraId="000000A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инструментальное обследование;</w:t>
      </w:r>
    </w:p>
    <w:p w14:paraId="000000A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000000AE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14:paraId="000000AF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4.9. Рейдовый осмотр проводится в порядке и в сроки, установленные статьей 71 Федерального закона № 248-ФЗ.</w:t>
      </w:r>
    </w:p>
    <w:p w14:paraId="000000B0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рейдового осмотра могут совершаться следующие контрольные действия:</w:t>
      </w:r>
    </w:p>
    <w:p w14:paraId="000000B1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осмотр;</w:t>
      </w:r>
    </w:p>
    <w:p w14:paraId="000000B2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получение письменных объяснений;</w:t>
      </w:r>
    </w:p>
    <w:p w14:paraId="000000B3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истребование документов;</w:t>
      </w:r>
    </w:p>
    <w:p w14:paraId="000000B4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инструментальное обследование.</w:t>
      </w:r>
    </w:p>
    <w:p w14:paraId="000000B5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14:paraId="000000B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4.10. Документарная проверка проводится в порядке и в сроки, установленные статьей 72 Федерального закона № 248-ФЗ.</w:t>
      </w:r>
    </w:p>
    <w:p w14:paraId="000000B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документарной проверки могут совершаться следующие контрольные действия:</w:t>
      </w:r>
    </w:p>
    <w:p w14:paraId="000000B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получение письменных объяснений;</w:t>
      </w:r>
    </w:p>
    <w:p w14:paraId="000000B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истребование документов;</w:t>
      </w:r>
    </w:p>
    <w:p w14:paraId="000000BA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экспертиза.</w:t>
      </w:r>
    </w:p>
    <w:p w14:paraId="000000BB">
      <w:pPr>
        <w:pStyle w:val="NoSpacing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</w:t>
      </w:r>
    </w:p>
    <w:p w14:paraId="000000BC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540"/>
        <w:jc w:val="both"/>
        <w:rPr>
          <w:color w:val="ff0000"/>
          <w:sz w:val="24"/>
          <w:szCs w:val="24"/>
        </w:rPr>
      </w:pPr>
      <w:r>
        <w:rPr>
          <w:color w:val="ff0000"/>
          <w:sz w:val="28"/>
          <w:szCs w:val="28"/>
        </w:rPr>
        <w:tab/>
      </w:r>
      <w:r>
        <w:rPr>
          <w:sz w:val="28"/>
          <w:szCs w:val="28"/>
        </w:rPr>
        <w:t>4.11. В соответствии со статьей 73 Федерального закона № 248-ФЗ</w:t>
      </w:r>
      <w:r>
        <w:t xml:space="preserve"> </w:t>
      </w:r>
      <w:r>
        <w:rPr>
          <w:sz w:val="28"/>
          <w:szCs w:val="28"/>
        </w:rPr>
        <w:t xml:space="preserve"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</w:t>
      </w:r>
      <w:r>
        <w:rPr>
          <w:sz w:val="28"/>
          <w:szCs w:val="28"/>
        </w:rPr>
        <w:t xml:space="preserve">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сорока часов.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000000BD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ab/>
        <w:t>В ходе выездной проверки могут совершаться следующие контрольные действия:</w:t>
      </w:r>
    </w:p>
    <w:p w14:paraId="000000BE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1) осмотр;</w:t>
      </w:r>
    </w:p>
    <w:p w14:paraId="000000BF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2) досмотр;</w:t>
      </w:r>
    </w:p>
    <w:p w14:paraId="000000C0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3) получение письменных объяснений;</w:t>
      </w:r>
    </w:p>
    <w:p w14:paraId="000000C1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4) истребование документов;</w:t>
      </w:r>
    </w:p>
    <w:p w14:paraId="000000C2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5) инструментальное обследование.</w:t>
      </w:r>
    </w:p>
    <w:p w14:paraId="000000C3">
      <w:pPr>
        <w:widowControl w:val="off"/>
        <w:spacing w:line="276" w:lineRule="auto"/>
        <w:ind w:firstLine="720"/>
        <w:jc w:val="both"/>
        <w:rPr>
          <w:bCs/>
          <w:i/>
          <w:sz w:val="24"/>
          <w:szCs w:val="24"/>
        </w:rPr>
      </w:pPr>
      <w:r>
        <w:rPr>
          <w:sz w:val="28"/>
          <w:szCs w:val="28"/>
        </w:rPr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частью 12 и 12.1 статьи 66 Федерального закона № 248-ФЗ.</w:t>
      </w:r>
    </w:p>
    <w:p w14:paraId="000000C4">
      <w:pPr>
        <w:spacing w:line="276" w:lineRule="auto"/>
        <w:jc w:val="both"/>
        <w:rPr/>
      </w:pPr>
      <w:r>
        <w:rPr>
          <w:sz w:val="28"/>
          <w:szCs w:val="28"/>
        </w:rPr>
        <w:tab/>
        <w:t>4.12. Без взаимодействия с контролируемым лицом осуществляются следующие контрольные мероприятия</w:t>
      </w:r>
      <w:r>
        <w:rPr>
          <w:sz w:val="24"/>
          <w:szCs w:val="24"/>
        </w:rPr>
        <w:t>:</w:t>
      </w:r>
      <w:r>
        <w:rPr>
          <w:sz w:val="28"/>
          <w:szCs w:val="28"/>
        </w:rPr>
        <w:t xml:space="preserve"> </w:t>
      </w:r>
    </w:p>
    <w:p w14:paraId="000000C5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1) наблюдение за соблюдением обязательных требований;</w:t>
      </w:r>
    </w:p>
    <w:p w14:paraId="000000C6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2) выездное обследование.</w:t>
      </w:r>
    </w:p>
    <w:p w14:paraId="000000C7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ab/>
        <w:t>Контрольные мероприятия без взаимодействия проводятся на основании заданий уполномоченных должностных лиц контрольного органа, включая задания, содержащиеся в планах работы контрольного органа.</w:t>
      </w:r>
    </w:p>
    <w:p w14:paraId="000000C8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4.13. Наблюдение за соблюдением обязательных требований (мониторинг безопасности) проводится в порядке, установленном статьей 74 Федерального закона № 248-ФЗ. </w:t>
      </w:r>
    </w:p>
    <w:p w14:paraId="000000C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4.14. Выездное обследование проводится в порядке, установленном статьей 75 Федерального закона № 248-ФЗ.</w:t>
      </w:r>
    </w:p>
    <w:p w14:paraId="000000CA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ходе выездного обследования на общедоступных (открытых для посещения неограниченным кругом лиц) производственных объектах могут совершаться следующие контрольные действия:</w:t>
      </w:r>
    </w:p>
    <w:p w14:paraId="000000CB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ab/>
        <w:t>1) осмотр;</w:t>
      </w:r>
    </w:p>
    <w:p w14:paraId="000000CC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2) инструментальное обследование (с применением видеозаписи).</w:t>
      </w:r>
    </w:p>
    <w:p w14:paraId="000000CD">
      <w:pPr>
        <w:widowControl w:val="off"/>
        <w:spacing w:line="276" w:lineRule="auto"/>
        <w:ind w:firstLine="720"/>
        <w:jc w:val="both"/>
        <w:rPr>
          <w:i/>
          <w:iCs/>
          <w:sz w:val="24"/>
          <w:szCs w:val="24"/>
        </w:rPr>
      </w:pPr>
      <w:r>
        <w:rPr>
          <w:sz w:val="28"/>
          <w:szCs w:val="28"/>
        </w:rPr>
        <w:t xml:space="preserve">4.15. Случаи, при наступлении которых контролируемое лицо представляет в контрольный орган информацию о невозможности </w:t>
      </w:r>
      <w:r>
        <w:rPr>
          <w:sz w:val="28"/>
          <w:szCs w:val="28"/>
        </w:rPr>
        <w:t>присутствия при проведении контрольного мероприятия, в связи с чем его проведение переносится на срок, необходимый для устранения обстоятельств, послуживших поводом для обращения контролируемого лица:</w:t>
      </w:r>
      <w:r>
        <w:rPr>
          <w:i/>
          <w:iCs/>
          <w:sz w:val="24"/>
          <w:szCs w:val="24"/>
        </w:rPr>
        <w:t xml:space="preserve"> </w:t>
      </w:r>
    </w:p>
    <w:p w14:paraId="000000CE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катастрофа природного или техногенного характера;</w:t>
      </w:r>
    </w:p>
    <w:p w14:paraId="000000CF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эпидемия или эпизоотия;</w:t>
      </w:r>
    </w:p>
    <w:p w14:paraId="000000D0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введение чрезвычайного или военного положения.</w:t>
      </w:r>
    </w:p>
    <w:p w14:paraId="000000D1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4.16. Осмотр осуществляется в порядке, установленном статьей 76 Федерального закона № 248-ФЗ.</w:t>
      </w:r>
    </w:p>
    <w:p w14:paraId="000000D2">
      <w:pPr>
        <w:pStyle w:val="NoSpacing"/>
        <w:spacing w:line="276" w:lineRule="auto"/>
        <w:ind w:firstLine="720"/>
        <w:jc w:val="both"/>
        <w:rPr>
          <w:bCs/>
          <w:i/>
        </w:rPr>
      </w:pPr>
      <w:r>
        <w:rPr>
          <w:sz w:val="28"/>
          <w:szCs w:val="28"/>
        </w:rPr>
        <w:t xml:space="preserve">Осмотр может проводиться при осуществлении инспекционного визита, рейдового осмотра, выездной проверки и выездного обследования. </w:t>
      </w:r>
    </w:p>
    <w:p w14:paraId="000000D3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D4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4.17. Досмотр осуществляется в порядке, установленном статьей 77 Федерального закона № 248-ФЗ.</w:t>
      </w:r>
    </w:p>
    <w:p w14:paraId="000000D5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Досмотр </w:t>
      </w:r>
      <w:r>
        <w:rPr>
          <w:sz w:val="28"/>
          <w:szCs w:val="28"/>
        </w:rPr>
        <w:t>может проводиться при осуществлении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рейдового осмотра и выездной проверки.</w:t>
      </w:r>
      <w:r>
        <w:rPr>
          <w:bCs/>
          <w:sz w:val="28"/>
          <w:szCs w:val="28"/>
        </w:rPr>
        <w:t xml:space="preserve"> </w:t>
      </w:r>
    </w:p>
    <w:p w14:paraId="000000D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Досмотр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D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4.18. Получение письменных объяснений осуществляется в порядке, установленном статьей 79 Федерального закона № 248-ФЗ.</w:t>
      </w:r>
    </w:p>
    <w:p w14:paraId="000000D8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 письменных объяснений может проводиться при осуществлении инспекционного визита, рейдового осмотра, документарной проверки, выездной проверки. </w:t>
      </w:r>
    </w:p>
    <w:p w14:paraId="000000D9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4.19. Истребование документов осуществляется в порядке, установленном статьей 80 Федерального закона № 248-ФЗ.</w:t>
      </w:r>
    </w:p>
    <w:p w14:paraId="000000DA">
      <w:pPr>
        <w:widowControl w:val="off"/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Истребование документов </w:t>
      </w:r>
      <w:r>
        <w:rPr>
          <w:sz w:val="28"/>
          <w:szCs w:val="28"/>
        </w:rPr>
        <w:t>может проводиться при осуществлении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инспекционного визита, рейдового осмотра, документарной проверки и выездной проверки</w:t>
      </w:r>
      <w:r>
        <w:rPr>
          <w:bCs/>
          <w:sz w:val="28"/>
          <w:szCs w:val="28"/>
        </w:rPr>
        <w:t xml:space="preserve">. </w:t>
      </w:r>
    </w:p>
    <w:p w14:paraId="000000DB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4.20. Инструментальное обследование осуществляется в соответствии со статьей 82 Федерального закона № 248-ФЗ.</w:t>
      </w:r>
    </w:p>
    <w:p w14:paraId="000000DC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Инструментальное обследование может проводиться при осуществлении инспекционного визита, рейдового осмотра, выездной проверки, выездного обследования. </w:t>
      </w:r>
    </w:p>
    <w:p w14:paraId="000000DD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Инструментальное обследование осуществляется инспектором или специалистом, имеющими допуск к работе на специальном оборудовании, использованию технических приборов.</w:t>
      </w:r>
    </w:p>
    <w:p w14:paraId="000000DE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Контролируемое лицо или его представитель, присутствующие при проведении инструментального обследования, информируются должностными лицами контрольного органа о целях проведения инструментального обследования.</w:t>
      </w:r>
    </w:p>
    <w:p w14:paraId="000000DF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По результатам инструментального обследования инспектором или специалистом составляется протокол инструментального обследования, в котором указываются дата и место его составления, должность, фамилия и инициалы должностного лица контрольного органа, специалиста, составивших протокол, сведения о контролируемом лице или его представителе, присутствовавших при проведении инструментального обследования.</w:t>
      </w:r>
    </w:p>
    <w:p w14:paraId="000000E0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Информация о проведении инструментального обследования включается в акт контрольного мероприятия.</w:t>
      </w:r>
    </w:p>
    <w:p w14:paraId="000000E1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4.21. Экспертиза </w:t>
      </w:r>
      <w:r>
        <w:rPr>
          <w:bCs/>
          <w:sz w:val="28"/>
          <w:szCs w:val="28"/>
        </w:rPr>
        <w:t>осуществляется в соответствии со статьей 84 Федерального закона № 248-ФЗ.</w:t>
      </w:r>
    </w:p>
    <w:p w14:paraId="000000E2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Экспертиза может проводиться при осуществлении </w:t>
      </w:r>
      <w:r>
        <w:rPr>
          <w:sz w:val="28"/>
          <w:szCs w:val="28"/>
        </w:rPr>
        <w:t>документарной проверки</w:t>
      </w:r>
      <w:r>
        <w:rPr>
          <w:bCs/>
          <w:sz w:val="28"/>
          <w:szCs w:val="28"/>
        </w:rPr>
        <w:t xml:space="preserve">. </w:t>
      </w:r>
    </w:p>
    <w:p w14:paraId="000000E3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Экспертиза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E4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Проведение экспертизы осуществляется по поручению должностного лица контрольного органа экспертными организациями, аккредитованными в соответствии с законодательством Российской Федерации об аккредитации в национальной системе аккредитации, привлекаемыми к осуществлению экспертизы контрольными органами, либо экспертами, получившими статус эксперта в соответствии с общими требованиями, установленными Правительством Российской Федерации, в целях привлечения контрольным органом к осуществлению экспертизы.</w:t>
      </w:r>
    </w:p>
    <w:p w14:paraId="000000E5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При назначении и проведении экспертизы контролируемые лица имеют право:</w:t>
      </w:r>
    </w:p>
    <w:p w14:paraId="000000E6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информировать контрольный орган о наличии конфликта интересов у лиц, привлекаемых к осуществлению экспертизы;</w:t>
      </w:r>
    </w:p>
    <w:p w14:paraId="000000E7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предлагать дополнительные вопросы для получения по ним экспертного заключения, а также уточнять формулировки поставленных вопросов;</w:t>
      </w:r>
    </w:p>
    <w:p w14:paraId="000000E8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присутствовать с разрешения должностного лица контрольного органа при осуществлении экспертизы и давать объяснения эксперту;</w:t>
      </w:r>
    </w:p>
    <w:p w14:paraId="000000E9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знакомиться с экспертным заключением.</w:t>
      </w:r>
    </w:p>
    <w:p w14:paraId="000000EA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Экспертиза осуществляется по месту осуществления деятельности контрольного органа, экспертов, экспертных организаций.</w:t>
      </w:r>
    </w:p>
    <w:p w14:paraId="000000EB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Экспертиза проводится в следующем порядке:</w:t>
      </w:r>
    </w:p>
    <w:p w14:paraId="000000EC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отбор проб (образцов);</w:t>
      </w:r>
    </w:p>
    <w:p w14:paraId="000000ED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проведение исследования (испытаний) и измерений (необходимость их проведения устанавливается экспертом и (или) экспертной организацией);</w:t>
      </w:r>
    </w:p>
    <w:p w14:paraId="000000EE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проведение экспертизы отобранной пробы (образца);</w:t>
      </w:r>
    </w:p>
    <w:p w14:paraId="000000EF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оформление результатов проведения экспертизы и подписание экспертного заключения (в 3 экземплярах) экспертом и (или) экспертной организацией.</w:t>
      </w:r>
    </w:p>
    <w:p w14:paraId="000000F0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Экспертное заключение приобщается к акту контрольного мероприятия.</w:t>
      </w:r>
    </w:p>
    <w:p w14:paraId="000000F1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При невозможности транспортировки образца исследования к месту работы эксперта должностное лицо обеспечивает эксперту беспрепятственный доступ к образцу и необходимые условия для исследования.</w:t>
      </w:r>
    </w:p>
    <w:p w14:paraId="000000F2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Место осуществления экспертизы определяется должностным лицом, которое проводит контрольное мероприятие.</w:t>
      </w:r>
    </w:p>
    <w:p w14:paraId="000000F3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</w:p>
    <w:p w14:paraId="000000F4">
      <w:pPr>
        <w:pStyle w:val="ListParagraph"/>
        <w:widowControl w:val="off"/>
        <w:spacing w:line="276" w:lineRule="auto"/>
        <w:ind w:left="27" w:right="0" w:hanging="13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5. Результаты контрольного мероприятия</w:t>
      </w:r>
    </w:p>
    <w:p w14:paraId="000000F5">
      <w:pPr>
        <w:pStyle w:val="ListParagraph"/>
        <w:widowControl w:val="off"/>
        <w:spacing w:line="276" w:lineRule="auto"/>
        <w:ind w:left="1159"/>
        <w:rPr>
          <w:b/>
          <w:bCs/>
          <w:sz w:val="28"/>
          <w:szCs w:val="28"/>
        </w:rPr>
      </w:pPr>
    </w:p>
    <w:p w14:paraId="000000F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По результатам контрольных мероприятий контрольный орган принимает решения и оформляет их в соответствии с главой 16 Федерального закона № 248-ФЗ.</w:t>
      </w:r>
    </w:p>
    <w:p w14:paraId="000000F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5.2. По окончании проведения контрольного мероприятия,</w:t>
      </w:r>
      <w:r>
        <w:t xml:space="preserve"> </w:t>
      </w:r>
      <w:r>
        <w:rPr>
          <w:sz w:val="28"/>
          <w:szCs w:val="28"/>
        </w:rPr>
        <w:t xml:space="preserve">предусматривающего взаимодействие с контролируемым лицом, должностное лицо контрольного органа составляет соответствующий акт. </w:t>
      </w:r>
      <w:r>
        <w:rPr>
          <w:sz w:val="28"/>
          <w:szCs w:val="28"/>
        </w:rPr>
        <w:tab/>
        <w:t xml:space="preserve"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</w:t>
      </w:r>
    </w:p>
    <w:p w14:paraId="000000F8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</w:t>
      </w:r>
    </w:p>
    <w:p w14:paraId="000000F9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иные материалы, являющиеся доказательствами нарушения обязательных требований, в том числе заполненные при проведении контрольного мероприятия проверочные листы, приобщаются к акту. </w:t>
      </w:r>
    </w:p>
    <w:p w14:paraId="000000FA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5.3. </w:t>
      </w:r>
      <w:r>
        <w:rPr>
          <w:iCs/>
          <w:sz w:val="28"/>
          <w:szCs w:val="28"/>
        </w:rPr>
        <w:t xml:space="preserve">Оформление акта производится на месте проведения контрольного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№ 248-ФЗ, если иной </w:t>
      </w:r>
      <w:r>
        <w:rPr>
          <w:iCs/>
          <w:sz w:val="28"/>
          <w:szCs w:val="28"/>
        </w:rPr>
        <w:t>порядок оформления акта не установлен Федеральным законом № 248-ФЗ или Правительством Российской Федерации.</w:t>
      </w:r>
      <w:r>
        <w:rPr>
          <w:sz w:val="28"/>
          <w:szCs w:val="28"/>
        </w:rPr>
        <w:t xml:space="preserve"> </w:t>
      </w:r>
    </w:p>
    <w:p w14:paraId="000000FB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5.4. Акт контрольного мероприятия, проведение которого было согласовано органами прокуратуры, направляется в органы прокуратуры посредством ЕРКНМ непосредственно после его оформления.</w:t>
      </w:r>
    </w:p>
    <w:p w14:paraId="000000F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5.5. Документы, оформляемые контрольным органом при осуществлении муниципального контроля, а также специалистами, экспертами, привлекаемыми к проведению контрольных мероприятий, составляются в форме электронного документа и подписываются усиленной квалифицированной электронной подписью.</w:t>
      </w:r>
    </w:p>
    <w:p w14:paraId="000000F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5.6. В случае проведения контрольных мероприятий с использованием мобильного приложения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– 9 части 1 статьи 65 Федерального закона № 248-ФЗ, или в иных случаях,  контрольный орган направляет акт контролируемому лицу в порядке, установленном статьей 21 Федерального закона № 248-ФЗ.</w:t>
      </w:r>
    </w:p>
    <w:p w14:paraId="000000FE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5.7. 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                            № 248-ФЗ контролируемое лицо не подписывает акт и считается получившим акт в случае его размещения в ЕРКНМ и получения уведомления об этом в порядке, предусмотренном пунктом 2 части 5 статьи 21 Федерального закона № 248-ФЗ.</w:t>
      </w:r>
    </w:p>
    <w:p w14:paraId="000000FF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5.8. В случае выявления при проведении контрольного мероприятия нарушений обязательных требований контролируемым лицом контрольный орган принимает решения в соответствии с частью 2 статьи 90 Федерального закона № 248-ФЗ.</w:t>
      </w:r>
    </w:p>
    <w:p w14:paraId="00000100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5.9. 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проведения контрольного мероприятия, обязательного профилактического визита.</w:t>
      </w:r>
    </w:p>
    <w:p w14:paraId="00000101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iCs/>
          <w:sz w:val="28"/>
          <w:szCs w:val="28"/>
        </w:rPr>
        <w:t>5.10. Досудебный порядок подачи жалоб, установленный главой 9 Федерального закона № 248-ФЗ, при осуществлении муниципального контроля не применяется.</w:t>
      </w:r>
    </w:p>
    <w:p w14:paraId="00000102">
      <w:pPr>
        <w:widowControl w:val="off"/>
        <w:spacing w:line="276" w:lineRule="auto"/>
        <w:ind w:firstLine="720"/>
        <w:jc w:val="both"/>
        <w:rPr>
          <w:bCs/>
          <w:i/>
          <w:sz w:val="28"/>
          <w:szCs w:val="28"/>
        </w:rPr>
      </w:pPr>
    </w:p>
    <w:p w14:paraId="00000103">
      <w:pPr>
        <w:spacing w:line="276" w:lineRule="auto"/>
        <w:jc w:val="both"/>
        <w:rPr>
          <w:sz w:val="28"/>
          <w:szCs w:val="28"/>
        </w:rPr>
      </w:pPr>
    </w:p>
    <w:p w14:paraId="0000010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05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06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Приложение 1</w:t>
      </w:r>
    </w:p>
    <w:p w14:paraId="00000107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к Положению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Times New Roman" w:cs="Times New Roman" w:hAnsi="Times New Roman"/>
          <w:bCs/>
          <w:sz w:val="28"/>
          <w:szCs w:val="28"/>
        </w:rPr>
        <w:t xml:space="preserve">сельского поселения </w:t>
      </w:r>
      <w:r>
        <w:rPr>
          <w:rFonts w:ascii="Times New Roman" w:cs="Times New Roman" w:hAnsi="Times New Roman"/>
          <w:bCs/>
          <w:sz w:val="28"/>
          <w:szCs w:val="28"/>
        </w:rPr>
        <w:t>Селиярово</w:t>
      </w:r>
    </w:p>
    <w:p w14:paraId="00000108">
      <w:pPr>
        <w:widowControl w:val="off"/>
        <w:spacing w:line="276" w:lineRule="auto"/>
        <w:jc w:val="center"/>
        <w:rPr>
          <w:b/>
          <w:sz w:val="24"/>
          <w:szCs w:val="24"/>
        </w:rPr>
      </w:pPr>
    </w:p>
    <w:p w14:paraId="00000109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ПЕРЕЧЕНЬ </w:t>
      </w:r>
    </w:p>
    <w:p w14:paraId="0000010A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ИНДИКИТОРОВ РИСКА НАРУШЕНИЯ ОБЯЗАТЕЛЬНЫХ ТРЕБОВАНИЙ (далее – индикаторы риска)</w:t>
      </w:r>
    </w:p>
    <w:p w14:paraId="0000010B">
      <w:pPr>
        <w:widowControl w:val="off"/>
        <w:spacing w:line="276" w:lineRule="auto"/>
        <w:ind w:firstLine="720"/>
        <w:jc w:val="both"/>
        <w:rPr>
          <w:color w:val="000000"/>
          <w:sz w:val="28"/>
          <w:szCs w:val="28"/>
        </w:rPr>
      </w:pPr>
    </w:p>
    <w:p w14:paraId="0000010C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следующие индикаторы риска</w:t>
      </w:r>
      <w:r>
        <w:rPr>
          <w:sz w:val="28"/>
          <w:szCs w:val="28"/>
        </w:rPr>
        <w:t>:</w:t>
      </w:r>
    </w:p>
    <w:p w14:paraId="0000010D">
      <w:pPr>
        <w:shd w:val="clear" w:color="auto" w:fill="ffffff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Выявление по результатам анализа открытых данных и (или) поступление в порядке межведомственного информационного взаимодействия сведений в течение одного года о двух и более случаях дорожно-транспортных происшествий, произошедших на одном отрезке автомобильной дороги общего пользования местного значения.</w:t>
      </w:r>
    </w:p>
    <w:p w14:paraId="0000010E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0F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0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1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2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3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5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6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7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8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9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A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B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C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D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E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F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0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1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2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3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Приложение 2</w:t>
      </w:r>
    </w:p>
    <w:p w14:paraId="0000012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к Положению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Times New Roman" w:cs="Times New Roman" w:hAnsi="Times New Roman"/>
          <w:bCs/>
          <w:sz w:val="28"/>
          <w:szCs w:val="28"/>
        </w:rPr>
        <w:t xml:space="preserve">сельского поселения </w:t>
      </w:r>
      <w:r>
        <w:rPr>
          <w:rFonts w:ascii="Times New Roman" w:cs="Times New Roman" w:hAnsi="Times New Roman"/>
          <w:bCs/>
          <w:sz w:val="28"/>
          <w:szCs w:val="28"/>
        </w:rPr>
        <w:t>Селиярово</w:t>
      </w:r>
    </w:p>
    <w:p w14:paraId="00000125">
      <w:pPr>
        <w:widowControl w:val="off"/>
        <w:spacing w:line="276" w:lineRule="auto"/>
        <w:jc w:val="right"/>
        <w:rPr>
          <w:sz w:val="28"/>
          <w:szCs w:val="28"/>
        </w:rPr>
      </w:pPr>
    </w:p>
    <w:p w14:paraId="00000126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ПОКАЗАТЕЛИ РЕЗУЛЬТАТИВНОСТИ И ЭФФЕКТИВНОСТИ </w:t>
      </w:r>
    </w:p>
    <w:p w14:paraId="00000127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И ИХ ЦЕЛЕВЫЕ ЗНАЧЕНИЯ </w:t>
      </w:r>
    </w:p>
    <w:p w14:paraId="00000128">
      <w:pPr>
        <w:widowControl w:val="off"/>
        <w:spacing w:line="276" w:lineRule="auto"/>
        <w:jc w:val="both"/>
        <w:rPr>
          <w:i/>
          <w:sz w:val="8"/>
          <w:szCs w:val="8"/>
        </w:rPr>
      </w:pPr>
    </w:p>
    <w:p w14:paraId="00000129">
      <w:pPr>
        <w:widowControl w:val="off"/>
        <w:spacing w:line="276" w:lineRule="auto"/>
        <w:jc w:val="both"/>
        <w:rPr>
          <w:sz w:val="24"/>
          <w:szCs w:val="24"/>
        </w:rPr>
      </w:pP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ab/>
      </w:r>
    </w:p>
    <w:p w14:paraId="0000012A">
      <w:pPr>
        <w:pStyle w:val="ConsPlusNormal"/>
        <w:spacing w:line="276" w:lineRule="auto"/>
        <w:ind w:firstLine="709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Оценка результативности и эффективности деятельности контрольного органа в части осуществления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Times New Roman" w:cs="Times New Roman" w:hAnsi="Times New Roman"/>
          <w:bCs/>
          <w:sz w:val="28"/>
          <w:szCs w:val="28"/>
        </w:rPr>
        <w:t xml:space="preserve">сельского поселения Луговской </w:t>
      </w:r>
      <w:r>
        <w:rPr>
          <w:rFonts w:ascii="Times New Roman" w:cs="Times New Roman" w:hAnsi="Times New Roman"/>
          <w:sz w:val="28"/>
          <w:szCs w:val="28"/>
        </w:rPr>
        <w:t>осуществляется на основе системы показателей результативности и эффективности.</w:t>
      </w:r>
    </w:p>
    <w:p w14:paraId="0000012B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2. В систему показателей результативности и эффективности деятельности контрольного органа входят:</w:t>
      </w:r>
    </w:p>
    <w:p w14:paraId="0000012C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- ключевые показатели вида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орган;</w:t>
      </w:r>
    </w:p>
    <w:p w14:paraId="0000012D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- индикативные показатели вида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14:paraId="0000012E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3. Показателем результативности и эффективности осуществления муниципального контроля являются:</w:t>
      </w:r>
    </w:p>
    <w:p w14:paraId="0000012F">
      <w:pPr>
        <w:pStyle w:val="NoSpacing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Ключевой показатель: </w:t>
      </w:r>
    </w:p>
    <w:p w14:paraId="0000013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iCs/>
          <w:sz w:val="28"/>
          <w:szCs w:val="28"/>
        </w:rPr>
        <w:t>- Доля ущерба, причиненного муниципальному образованию в результате несоблюдения требований законодательства Российской Федерации в области сохранности автомобильных дорог, по отношению к валовому региональному продукту, в процентах.</w:t>
      </w:r>
    </w:p>
    <w:p w14:paraId="00000131">
      <w:pPr>
        <w:pStyle w:val="NoSpacing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Целевое значение </w:t>
      </w:r>
      <w:r>
        <w:rPr>
          <w:color w:val="000000"/>
          <w:sz w:val="28"/>
          <w:szCs w:val="28"/>
        </w:rPr>
        <w:t>ключевого показателя</w:t>
      </w:r>
      <w:r>
        <w:rPr>
          <w:sz w:val="28"/>
          <w:szCs w:val="28"/>
        </w:rPr>
        <w:t>: _____</w:t>
      </w:r>
      <w:r>
        <w:rPr>
          <w:sz w:val="28"/>
          <w:szCs w:val="28"/>
          <w:u w:val="single"/>
        </w:rPr>
        <w:t>0%</w:t>
      </w:r>
      <w:r>
        <w:rPr>
          <w:sz w:val="28"/>
          <w:szCs w:val="28"/>
        </w:rPr>
        <w:t>_________</w:t>
      </w:r>
    </w:p>
    <w:p w14:paraId="00000132">
      <w:pPr>
        <w:pStyle w:val="NoSpacing"/>
        <w:spacing w:line="276" w:lineRule="auto"/>
        <w:ind w:firstLine="708"/>
        <w:jc w:val="both"/>
        <w:rPr/>
      </w:pPr>
    </w:p>
    <w:p w14:paraId="00000133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Значение указанного ключевого показателя рассчитывается по формуле: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Кн / Окм х 100,</w:t>
      </w:r>
      <w:r>
        <w:rPr>
          <w:sz w:val="28"/>
          <w:szCs w:val="28"/>
        </w:rPr>
        <w:t xml:space="preserve"> где:</w:t>
      </w:r>
    </w:p>
    <w:p w14:paraId="00000134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Кн – количество мероприятий, в ходе которых выявлены нарушения;</w:t>
      </w:r>
    </w:p>
    <w:p w14:paraId="00000135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sz w:val="28"/>
          <w:szCs w:val="28"/>
        </w:rPr>
        <w:t>Окм – общее количество мероприятий.</w:t>
      </w:r>
    </w:p>
    <w:p w14:paraId="00000136">
      <w:pPr>
        <w:pStyle w:val="NoSpacing"/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3.2. Индикативные показатели:</w:t>
      </w:r>
    </w:p>
    <w:p w14:paraId="00000137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внеплановых контрольных мероприятий, проведенных за отчетный период;</w:t>
      </w:r>
    </w:p>
    <w:p w14:paraId="00000138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14:paraId="00000139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общее количество контрольных мероприятий со взаимодействием, проведенных за отчетный период;</w:t>
      </w:r>
    </w:p>
    <w:p w14:paraId="0000013A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контрольных мероприятий со взаимодействием по каждому виду контрольных мероприятий, проведенных за отчетный период;</w:t>
      </w:r>
    </w:p>
    <w:p w14:paraId="0000013B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контрольных мероприятий, проведенных с использованием средств дистанционного взаимодействия, за отчетный период;</w:t>
      </w:r>
    </w:p>
    <w:p w14:paraId="0000013C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обязательных профилактических визитов, проведенных за отчетный период;</w:t>
      </w:r>
    </w:p>
    <w:p w14:paraId="0000013D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предостережений о недопустимости нарушения обязательных требований, объявленных за отчетный период;</w:t>
      </w:r>
    </w:p>
    <w:p w14:paraId="0000013E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контрольных мероприятий, по результатам которых выявлены нарушения обязательных требований, за отчетный период;</w:t>
      </w:r>
    </w:p>
    <w:p w14:paraId="0000013F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контрольных мероприятий, по итогам которых возбуждены дела об административных правонарушениях, за отчетный период;</w:t>
      </w:r>
    </w:p>
    <w:p w14:paraId="00000140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сумма административных штрафов, наложенных по результатам контрольных мероприятий, за отчетный период;</w:t>
      </w:r>
    </w:p>
    <w:p w14:paraId="00000141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направленных в органы прокуратуры заявлений о согласовании проведения контрольных мероприятий за отчетный период;</w:t>
      </w:r>
    </w:p>
    <w:p w14:paraId="00000142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14:paraId="00000143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общее количество учтенных объектов контроля на конец отчетного периода;</w:t>
      </w:r>
    </w:p>
    <w:p w14:paraId="00000144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учтенных объектов контроля, отнесенных к категориям риска, по каждой из категорий риска на конец отчетного периода;</w:t>
      </w:r>
    </w:p>
    <w:p w14:paraId="00000145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учтенных контролируемых лиц на конец отчетного периода;</w:t>
      </w:r>
    </w:p>
    <w:p w14:paraId="00000146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учтенных контролируемых лиц, в отношении которых проведены контрольные мероприятия, за отчетный период;</w:t>
      </w:r>
    </w:p>
    <w:p w14:paraId="00000147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жалоб, в отношении которых контрольным органом был нарушен срок рассмотрения, за отчетный период;</w:t>
      </w:r>
    </w:p>
    <w:p w14:paraId="00000148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</w:t>
      </w:r>
    </w:p>
    <w:p w14:paraId="00000149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0000014A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0000014B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540"/>
        <w:jc w:val="both"/>
        <w:rPr/>
      </w:pPr>
      <w:r>
        <w:rPr>
          <w:color w:val="000000"/>
          <w:sz w:val="24"/>
        </w:rPr>
        <w:t> </w:t>
      </w:r>
    </w:p>
    <w:p w14:paraId="0000014C">
      <w:pPr>
        <w:pStyle w:val="NoSpacing"/>
        <w:spacing w:line="276" w:lineRule="auto"/>
        <w:ind w:firstLine="708"/>
        <w:jc w:val="both"/>
        <w:rPr>
          <w:sz w:val="28"/>
          <w:szCs w:val="28"/>
          <w:u w:val="single"/>
        </w:rPr>
      </w:pPr>
    </w:p>
    <w:p w14:paraId="0000014D">
      <w:pPr>
        <w:pStyle w:val="ConsPlusNormal"/>
        <w:spacing w:line="276" w:lineRule="auto"/>
        <w:jc w:val="right"/>
        <w:rPr/>
      </w:pPr>
    </w:p>
    <w:p w14:paraId="0000014E">
      <w:pPr>
        <w:pStyle w:val="ConsPlusNormal"/>
        <w:spacing w:line="276" w:lineRule="auto"/>
        <w:jc w:val="right"/>
        <w:rPr/>
      </w:pPr>
    </w:p>
    <w:p w14:paraId="0000014F">
      <w:pPr>
        <w:pStyle w:val="ConsPlusNormal"/>
        <w:spacing w:line="276" w:lineRule="auto"/>
        <w:jc w:val="right"/>
        <w:rPr/>
      </w:pPr>
    </w:p>
    <w:p w14:paraId="00000150">
      <w:pPr>
        <w:pStyle w:val="ConsPlusNormal"/>
        <w:spacing w:line="276" w:lineRule="auto"/>
        <w:jc w:val="right"/>
        <w:rPr/>
      </w:pPr>
    </w:p>
    <w:p w14:paraId="00000151">
      <w:pPr>
        <w:pStyle w:val="ConsPlusNormal"/>
        <w:spacing w:line="276" w:lineRule="auto"/>
        <w:jc w:val="right"/>
        <w:rPr/>
      </w:pPr>
    </w:p>
    <w:p w14:paraId="00000152">
      <w:pPr>
        <w:pStyle w:val="ConsPlusNormal"/>
        <w:spacing w:line="276" w:lineRule="auto"/>
        <w:jc w:val="right"/>
        <w:rPr/>
      </w:pPr>
    </w:p>
    <w:p w14:paraId="00000153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5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6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7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8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9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A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B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C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D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E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5F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60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61">
      <w:pPr>
        <w:pStyle w:val="ConsPlusNormal"/>
        <w:spacing w:line="276" w:lineRule="auto"/>
        <w:jc w:val="right"/>
        <w:rPr/>
      </w:pPr>
      <w:r>
        <w:rPr>
          <w:rFonts w:ascii="Times New Roman" w:cs="Times New Roman" w:hAnsi="Times New Roman"/>
          <w:sz w:val="28"/>
          <w:szCs w:val="28"/>
        </w:rPr>
        <w:t>Приложение 3</w:t>
      </w:r>
    </w:p>
    <w:p w14:paraId="00000162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bookmarkStart w:id="2" w:name="undefined"/>
      <w:bookmarkEnd w:id="2"/>
      <w:r>
        <w:rPr>
          <w:rFonts w:ascii="Times New Roman" w:cs="Times New Roman" w:hAnsi="Times New Roman"/>
          <w:sz w:val="28"/>
          <w:szCs w:val="28"/>
        </w:rPr>
        <w:t>к</w:t>
      </w:r>
      <w:r>
        <w:rPr>
          <w:rFonts w:ascii="Times New Roman" w:cs="Times New Roman" w:hAnsi="Times New Roman"/>
          <w:sz w:val="28"/>
          <w:szCs w:val="28"/>
        </w:rPr>
        <w:t xml:space="preserve"> Положению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Times New Roman" w:cs="Times New Roman" w:hAnsi="Times New Roman"/>
          <w:bCs/>
          <w:sz w:val="28"/>
          <w:szCs w:val="28"/>
        </w:rPr>
        <w:t xml:space="preserve">сельского поселения </w:t>
      </w:r>
      <w:r>
        <w:rPr>
          <w:rFonts w:ascii="Times New Roman" w:cs="Times New Roman" w:hAnsi="Times New Roman"/>
          <w:bCs/>
          <w:sz w:val="28"/>
          <w:szCs w:val="28"/>
        </w:rPr>
        <w:t>Селиярово</w:t>
      </w:r>
    </w:p>
    <w:p w14:paraId="00000163">
      <w:pPr>
        <w:pStyle w:val="ConsPlusTitle"/>
        <w:spacing w:line="276" w:lineRule="auto"/>
        <w:jc w:val="center"/>
        <w:rPr/>
      </w:pPr>
    </w:p>
    <w:p w14:paraId="00000164">
      <w:pPr>
        <w:pStyle w:val="ConsPlusTitle"/>
        <w:spacing w:line="276" w:lineRule="auto"/>
        <w:jc w:val="center"/>
        <w:rPr>
          <w:b w:val="off"/>
          <w:bCs w:val="off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КРИТЕРИИ</w:t>
      </w:r>
    </w:p>
    <w:p w14:paraId="00000165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ОТНЕСЕНИЯ ОБЪЕКТОВ КОНТРОЛЯ К ОПРЕДЕЛЕННОЙ КАТЕГОРИИ РИСКА </w:t>
      </w:r>
    </w:p>
    <w:p w14:paraId="00000166">
      <w:pPr>
        <w:widowControl w:val="off"/>
        <w:spacing w:line="276" w:lineRule="auto"/>
        <w:jc w:val="center"/>
        <w:rPr>
          <w:b/>
          <w:bCs/>
          <w:sz w:val="28"/>
          <w:szCs w:val="28"/>
        </w:rPr>
      </w:pPr>
    </w:p>
    <w:p w14:paraId="0000016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32"/>
        </w:rPr>
        <w:tab/>
      </w:r>
      <w:r>
        <w:rPr>
          <w:sz w:val="28"/>
          <w:szCs w:val="28"/>
        </w:rPr>
        <w:t xml:space="preserve">1. С учетом вероятности наступления и тяжести потенциальных негативных последствий несоблюдения обязательных требований объекты контроля в области </w:t>
      </w:r>
      <w:r>
        <w:rPr>
          <w:rFonts w:eastAsia="Calibri"/>
          <w:sz w:val="28"/>
          <w:lang w:eastAsia="en-US"/>
        </w:rPr>
        <w:t xml:space="preserve">муниципального контроля </w:t>
      </w:r>
      <w:r>
        <w:rPr>
          <w:sz w:val="28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bCs/>
          <w:sz w:val="28"/>
        </w:rPr>
        <w:t xml:space="preserve">сельского поселения </w:t>
      </w:r>
      <w:r>
        <w:rPr>
          <w:bCs/>
          <w:sz w:val="28"/>
        </w:rPr>
        <w:t xml:space="preserve">Селиярово </w:t>
      </w:r>
      <w:r>
        <w:rPr>
          <w:sz w:val="28"/>
          <w:szCs w:val="28"/>
        </w:rPr>
        <w:t>подлежат отнесению к категориям.</w:t>
      </w:r>
    </w:p>
    <w:p w14:paraId="0000016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>
        <w:rPr>
          <w:bCs/>
          <w:sz w:val="28"/>
          <w:szCs w:val="28"/>
        </w:rPr>
        <w:t>. К категории среднего риска относятся объекты контроля</w:t>
      </w:r>
      <w:r>
        <w:t xml:space="preserve"> </w:t>
      </w:r>
      <w:r>
        <w:rPr>
          <w:bCs/>
          <w:sz w:val="28"/>
          <w:szCs w:val="28"/>
        </w:rPr>
        <w:t>при наличии в течение последнего года на дату принятия (изменения) решения об отнесении объекта контроля к категории риска:</w:t>
      </w:r>
    </w:p>
    <w:p w14:paraId="00000169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- постановления (решения) по делу об административном правонарушении, связанного с нарушением обязательных требований, являющихся предметом муниципального контроля, ответственность за которое предусмотрена Кодексом Российской Федерации об административных правонарушениях;</w:t>
      </w:r>
    </w:p>
    <w:p w14:paraId="0000016A">
      <w:pPr>
        <w:widowControl w:val="off"/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- выданного контрольным органом предписания об устранении выявленных нарушений обязательных требований.</w:t>
      </w:r>
    </w:p>
    <w:p w14:paraId="0000016B">
      <w:pPr>
        <w:widowControl w:val="off"/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3. К категории умеренного риска относятся объекты контроля при наличии в течение последнего года на дату принятия (изменения) решения об отнесении объекта контроля к категории риска выданного предостережения о недопустимости нарушения обязательных требований.</w:t>
      </w:r>
    </w:p>
    <w:p w14:paraId="0000016C">
      <w:pPr>
        <w:widowControl w:val="off"/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 xml:space="preserve">4. К категории низкого риска относятся объекты контроля, не предусмотренные категориями </w:t>
      </w:r>
      <w:r>
        <w:rPr>
          <w:sz w:val="28"/>
          <w:szCs w:val="28"/>
        </w:rPr>
        <w:t>среднего и умеренного</w:t>
      </w:r>
      <w:r>
        <w:rPr>
          <w:bCs/>
          <w:sz w:val="28"/>
          <w:szCs w:val="28"/>
        </w:rPr>
        <w:t xml:space="preserve"> риска.</w:t>
      </w:r>
    </w:p>
    <w:p w14:paraId="0000016D">
      <w:r>
        <w:rPr>
          <w:sz w:val="28"/>
          <w:szCs w:val="28"/>
        </w:rPr>
        <w:tab/>
      </w:r>
    </w:p>
    <w:sectPr>
      <w:pgSz w:w="11906" w:h="16838"/>
      <w:pgMar w:top="1417" w:right="1247" w:bottom="1134" w:left="158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Verdana">
    <w:panose1 w:val="020b0604030504040204"/>
    <w:charset w:val="cc"/>
    <w:family w:val="swiss"/>
    <w:pitch w:val="variable"/>
    <w:sig w:usb0="00000000" w:usb1="4000205b" w:usb2="00000010" w:usb3="00000000" w:csb0="0000019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pPr>
        <w:ind w:left="1159" w:hanging="450"/>
      </w:pPr>
      <w:rPr>
        <w:rFonts w:eastAsia="Calibri" w:hint="default"/>
      </w:rPr>
    </w:lvl>
    <w:lvl w:ilvl="1" w:tentative="0">
      <w:start w:val="1"/>
      <w:numFmt w:val="decimal"/>
      <w:isLgl w:val="on"/>
      <w:lvlText w:val="%1.%2."/>
      <w:lvlJc w:val="left"/>
      <w:pPr>
        <w:ind w:left="1879" w:hanging="720"/>
      </w:pPr>
      <w:rPr>
        <w:rFonts w:hint="default"/>
      </w:rPr>
    </w:lvl>
    <w:lvl w:ilvl="2" w:tentative="0">
      <w:start w:val="1"/>
      <w:numFmt w:val="decimal"/>
      <w:isLgl w:val="on"/>
      <w:lvlText w:val="%1.%2.%3."/>
      <w:lvlJc w:val="left"/>
      <w:pPr>
        <w:ind w:left="2329" w:hanging="720"/>
      </w:pPr>
      <w:rPr>
        <w:rFonts w:hint="default"/>
      </w:rPr>
    </w:lvl>
    <w:lvl w:ilvl="3" w:tentative="0">
      <w:start w:val="1"/>
      <w:numFmt w:val="decimal"/>
      <w:isLgl w:val="on"/>
      <w:lvlText w:val="%1.%2.%3.%4."/>
      <w:lvlJc w:val="left"/>
      <w:pPr>
        <w:ind w:left="3139" w:hanging="1080"/>
      </w:pPr>
      <w:rPr>
        <w:rFonts w:hint="default"/>
      </w:rPr>
    </w:lvl>
    <w:lvl w:ilvl="4" w:tentative="0">
      <w:start w:val="1"/>
      <w:numFmt w:val="decimal"/>
      <w:isLgl w:val="on"/>
      <w:lvlText w:val="%1.%2.%3.%4.%5."/>
      <w:lvlJc w:val="left"/>
      <w:pPr>
        <w:ind w:left="3589" w:hanging="1080"/>
      </w:pPr>
      <w:rPr>
        <w:rFonts w:hint="default"/>
      </w:rPr>
    </w:lvl>
    <w:lvl w:ilvl="5" w:tentative="0">
      <w:start w:val="1"/>
      <w:numFmt w:val="decimal"/>
      <w:isLgl w:val="on"/>
      <w:lvlText w:val="%1.%2.%3.%4.%5.%6."/>
      <w:lvlJc w:val="left"/>
      <w:pPr>
        <w:ind w:left="4399" w:hanging="1440"/>
      </w:pPr>
      <w:rPr>
        <w:rFonts w:hint="default"/>
      </w:rPr>
    </w:lvl>
    <w:lvl w:ilvl="6" w:tentative="0">
      <w:start w:val="1"/>
      <w:numFmt w:val="decimal"/>
      <w:isLgl w:val="on"/>
      <w:lvlText w:val="%1.%2.%3.%4.%5.%6.%7."/>
      <w:lvlJc w:val="left"/>
      <w:pPr>
        <w:ind w:left="5209" w:hanging="1800"/>
      </w:pPr>
      <w:rPr>
        <w:rFonts w:hint="default"/>
      </w:rPr>
    </w:lvl>
    <w:lvl w:ilvl="7" w:tentative="0">
      <w:start w:val="1"/>
      <w:numFmt w:val="decimal"/>
      <w:isLgl w:val="on"/>
      <w:lvlText w:val="%1.%2.%3.%4.%5.%6.%7.%8."/>
      <w:lvlJc w:val="left"/>
      <w:pPr>
        <w:ind w:left="5659" w:hanging="1800"/>
      </w:pPr>
      <w:rPr>
        <w:rFonts w:hint="default"/>
      </w:rPr>
    </w:lvl>
    <w:lvl w:ilvl="8" w:tentative="0">
      <w:start w:val="1"/>
      <w:numFmt w:val="decimal"/>
      <w:isLgl w:val="on"/>
      <w:lvlText w:val="%1.%2.%3.%4.%5.%6.%7.%8.%9."/>
      <w:lvlJc w:val="left"/>
      <w:pPr>
        <w:ind w:left="64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B2"/>
    <w:rsid w:val="00160E5E"/>
    <w:rsid w:val="00254B22"/>
    <w:rsid w:val="00E203D2"/>
    <w:rsid w:val="00F11BB2"/>
    <w:rsid w:val="00F9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70C6"/>
  <w15:chartTrackingRefBased/>
  <w15:docId w15:val="{6EE05B45-5DFA-4FEB-B6BD-90F0B133E8E2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  <w:pPr>
      <w:spacing w:after="0" w:line="240" w:lineRule="auto"/>
    </w:pPr>
    <w:rPr>
      <w:rFonts w:ascii="Times New Roman" w:cs="Times New Roman" w:eastAsia="Times New Roman" w:hAnsi="Times New Roman"/>
      <w:sz w:val="16"/>
      <w:szCs w:val="16"/>
      <w:lang w:eastAsia="ru-RU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NoSpacing">
    <w:name w:val="No Spacing"/>
    <w:uiPriority w:val="1"/>
    <w:qFormat w:val="on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widowControl w:val="off"/>
      <w:spacing w:after="0" w:line="240" w:lineRule="auto"/>
    </w:pPr>
    <w:rPr>
      <w:rFonts w:ascii="Arial" w:cs="Arial" w:eastAsia="Times New Roman" w:hAnsi="Arial"/>
      <w:sz w:val="16"/>
      <w:szCs w:val="16"/>
      <w:lang w:eastAsia="ru-RU"/>
    </w:rPr>
  </w:style>
  <w:style w:type="paragraph" w:customStyle="1" w:styleId="ConsPlusTitle">
    <w:name w:val="ConsPlusTitle"/>
    <w:uiPriority w:val="99"/>
    <w:pPr>
      <w:widowControl w:val="off"/>
      <w:spacing w:after="0" w:line="240" w:lineRule="auto"/>
    </w:pPr>
    <w:rPr>
      <w:rFonts w:ascii="Arial" w:cs="Arial" w:eastAsia="Times New Roman" w:hAnsi="Arial"/>
      <w:b/>
      <w:bCs/>
      <w:sz w:val="24"/>
      <w:szCs w:val="24"/>
      <w:lang w:eastAsia="ru-RU"/>
    </w:rPr>
  </w:style>
  <w:style w:type="character" w:styleId="Hyperlink">
    <w:name w:val="Hyperlink"/>
    <w:uiPriority w:val="99"/>
    <w:unhideWhenUsed w:val="on"/>
    <w:rPr>
      <w:color w:val="0000ff"/>
      <w:u w:val="single"/>
    </w:rPr>
  </w:style>
  <w:style w:type="paragraph" w:customStyle="1" w:styleId="Default">
    <w:name w:val="Default"/>
    <w:uiPriority w:val="99"/>
    <w:pPr>
      <w:pBdr>
        <w:top w:val="none" w:sz="4" w:space="0"/>
        <w:left w:val="none" w:sz="4" w:space="0"/>
        <w:bottom w:val="none" w:sz="4" w:space="0"/>
        <w:right w:val="none" w:sz="4" w:space="0"/>
        <w:between w:val="none" w:sz="4" w:space="0"/>
      </w:pBdr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theme" Target="theme/theme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9" Type="http://schemas.openxmlformats.org/officeDocument/2006/relationships/fontTable" Target="fontTable.xml"/><Relationship Id="rId4" Type="http://schemas.openxmlformats.org/officeDocument/2006/relationships/webSettings" Target="webSettings.xml"/><Relationship Id="rId5" Type="http://schemas.openxmlformats.org/officeDocument/2006/relationships/hyperlink" Target="http://hmrn.ru/raion/poseleniya/seliyarovo/" TargetMode="External"/><Relationship Id="rId6" Type="http://schemas.openxmlformats.org/officeDocument/2006/relationships/hyperlink" Target="http://hmrn.ru/raion/poseleniya/seliyarovo/" TargetMode="External"/><Relationship Id="rId7" Type="http://schemas.openxmlformats.org/officeDocument/2006/relationships/hyperlink" Target="http://hmrn.ru/raion/poseleniya/seliyarovo/" TargetMode="External"/><Relationship Id="rId8" Type="http://schemas.openxmlformats.org/officeDocument/2006/relationships/hyperlink" Target="http://hmrn.ru/raion/poseleniya/seliyarovo/" TargetMode="Externa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6642</Words>
  <Characters>37861</Characters>
  <Application>Microsoft Office Word</Application>
  <DocSecurity>0</DocSecurity>
  <Lines>315</Lines>
  <Paragraphs>88</Paragraphs>
  <ScaleCrop>false</ScaleCrop>
  <Company/>
  <LinksUpToDate>false</LinksUpToDate>
  <CharactersWithSpaces>44415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Slr</cp:lastModifiedBy>
</cp:coreProperties>
</file>