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body>
    <w:p w14:paraId="0000000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ХАНТЫ-МАНСИЙСКИЙ АВТОНОМНЫЙ ОКРУГ- ЮГРА</w:t>
      </w:r>
    </w:p>
    <w:p w14:paraId="00000002">
      <w:pPr>
        <w:spacing w:line="276" w:lineRule="auto"/>
        <w:jc w:val="center"/>
        <w:rPr>
          <w:sz w:val="28"/>
          <w:szCs w:val="28"/>
        </w:rPr>
      </w:pPr>
      <w:r>
        <w:rPr>
          <w:b/>
          <w:bCs/>
          <w:spacing w:val="-12"/>
          <w:sz w:val="28"/>
          <w:szCs w:val="28"/>
        </w:rPr>
        <w:t>ТЮМЕНСКАЯ ОБЛАСТЬ</w:t>
      </w:r>
    </w:p>
    <w:p w14:paraId="00000003">
      <w:pPr>
        <w:spacing w:line="276" w:lineRule="auto"/>
        <w:jc w:val="center"/>
        <w:rPr>
          <w:sz w:val="28"/>
          <w:szCs w:val="28"/>
        </w:rPr>
      </w:pPr>
      <w:r>
        <w:rPr>
          <w:b/>
          <w:bCs/>
          <w:spacing w:val="-12"/>
          <w:sz w:val="28"/>
          <w:szCs w:val="28"/>
        </w:rPr>
        <w:t>ХАНТЫ-МАНСИЙСКИЙ РАЙОН</w:t>
      </w:r>
    </w:p>
    <w:p w14:paraId="00000004">
      <w:pPr>
        <w:spacing w:line="276" w:lineRule="auto"/>
        <w:jc w:val="center"/>
        <w:rPr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 xml:space="preserve">СЕЛЬСКОЕ ПОСЕЛЕНИЕ </w:t>
      </w:r>
      <w:r>
        <w:rPr>
          <w:b/>
          <w:bCs/>
          <w:spacing w:val="-11"/>
          <w:sz w:val="28"/>
          <w:szCs w:val="28"/>
        </w:rPr>
        <w:t>СЕЛИЯРОВО</w:t>
      </w:r>
    </w:p>
    <w:p w14:paraId="00000005">
      <w:pPr>
        <w:spacing w:line="276" w:lineRule="auto"/>
        <w:jc w:val="center"/>
        <w:rPr>
          <w:b/>
          <w:bCs/>
          <w:spacing w:val="-11"/>
          <w:sz w:val="28"/>
          <w:szCs w:val="28"/>
        </w:rPr>
      </w:pPr>
    </w:p>
    <w:p w14:paraId="00000006">
      <w:pPr>
        <w:spacing w:line="276" w:lineRule="auto"/>
        <w:jc w:val="center"/>
        <w:rPr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>СОВЕТ ДЕПУТАТОВ</w:t>
      </w:r>
    </w:p>
    <w:p w14:paraId="00000007">
      <w:pPr>
        <w:spacing w:line="276" w:lineRule="auto"/>
        <w:jc w:val="center"/>
        <w:rPr>
          <w:b/>
          <w:bCs/>
          <w:spacing w:val="-12"/>
          <w:sz w:val="28"/>
          <w:szCs w:val="28"/>
        </w:rPr>
      </w:pPr>
    </w:p>
    <w:p w14:paraId="00000008">
      <w:pPr>
        <w:spacing w:line="276" w:lineRule="auto"/>
        <w:jc w:val="center"/>
        <w:rPr>
          <w:sz w:val="28"/>
          <w:szCs w:val="28"/>
        </w:rPr>
      </w:pPr>
      <w:r>
        <w:rPr>
          <w:b/>
          <w:bCs/>
          <w:spacing w:val="-12"/>
          <w:sz w:val="28"/>
          <w:szCs w:val="28"/>
        </w:rPr>
        <w:t>РЕШЕНИЕ</w:t>
      </w:r>
    </w:p>
    <w:p w14:paraId="00000009">
      <w:pPr>
        <w:spacing w:line="276" w:lineRule="auto"/>
        <w:jc w:val="both"/>
        <w:rPr>
          <w:sz w:val="28"/>
          <w:szCs w:val="28"/>
        </w:rPr>
      </w:pPr>
    </w:p>
    <w:p w14:paraId="0000000A">
      <w:pPr>
        <w:spacing w:line="276" w:lineRule="auto"/>
        <w:jc w:val="both"/>
        <w:rPr>
          <w:b w:val="off"/>
          <w:bCs w:val="off"/>
          <w:sz w:val="28"/>
          <w:szCs w:val="28"/>
        </w:rPr>
      </w:pPr>
    </w:p>
    <w:p w14:paraId="0000000B">
      <w:pPr>
        <w:jc w:val="both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>от 24.11</w:t>
      </w:r>
      <w:r>
        <w:rPr>
          <w:b w:val="off"/>
          <w:bCs w:val="off"/>
          <w:sz w:val="28"/>
          <w:szCs w:val="28"/>
        </w:rPr>
        <w:t>.2025</w:t>
      </w:r>
      <w:r>
        <w:rPr>
          <w:b w:val="off"/>
          <w:bCs w:val="off"/>
          <w:sz w:val="28"/>
          <w:szCs w:val="28"/>
        </w:rPr>
        <w:t xml:space="preserve">                                                                                                № 103</w:t>
      </w:r>
    </w:p>
    <w:p w14:paraId="0000000C">
      <w:pPr>
        <w:tabs>
          <w:tab w:val="left" w:pos="9165"/>
        </w:tabs>
        <w:spacing w:line="276" w:lineRule="auto"/>
        <w:contextualSpacing w:val="on"/>
        <w:jc w:val="both"/>
        <w:rPr>
          <w:sz w:val="28"/>
          <w:szCs w:val="28"/>
          <w:lang w:eastAsia="ar-SA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/>
      </w:tblPr>
      <w:tblGrid>
        <w:gridCol w:w="4365"/>
      </w:tblGrid>
      <w:tr>
        <w:trPr/>
        <w:tc>
          <w:tcPr>
            <w:cnfStyle w:val="101000000000"/>
            <w:tcW w:w="4365" w:type="dxa"/>
            <w:tcBorders>
              <w:top w:val="nil" w:sz="4" w:space="0"/>
              <w:left w:val="nil" w:sz="4" w:space="0"/>
              <w:bottom w:val="nil" w:sz="4" w:space="0"/>
              <w:right w:val="nil" w:sz="4" w:space="0"/>
            </w:tcBorders>
            <w:shd w:val="clear" w:color="auto" w:fill="auto"/>
          </w:tcPr>
          <w:p w14:paraId="0000000D">
            <w:pPr>
              <w:tabs>
                <w:tab w:val="left" w:pos="9165"/>
              </w:tabs>
              <w:spacing w:line="276" w:lineRule="auto"/>
              <w:contextualSpacing w:val="on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 утверждении Положения о муниципальном контроле</w:t>
            </w:r>
            <w:r>
              <w:rPr>
                <w:sz w:val="28"/>
                <w:szCs w:val="28"/>
                <w:lang w:eastAsia="ar-SA"/>
              </w:rPr>
              <w:t xml:space="preserve"> в сфере благоустройства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</w:rPr>
              <w:t xml:space="preserve">на территории сельского поселения </w:t>
            </w:r>
            <w:r>
              <w:rPr>
                <w:sz w:val="28"/>
                <w:szCs w:val="28"/>
              </w:rPr>
              <w:t>Селиярово</w:t>
            </w:r>
          </w:p>
        </w:tc>
      </w:tr>
    </w:tbl>
    <w:p w14:paraId="0000000E">
      <w:pPr>
        <w:tabs>
          <w:tab w:val="left" w:pos="9165"/>
        </w:tabs>
        <w:spacing w:line="276" w:lineRule="auto"/>
        <w:contextualSpacing w:val="on"/>
        <w:jc w:val="both"/>
        <w:rPr>
          <w:sz w:val="28"/>
          <w:szCs w:val="28"/>
          <w:lang w:eastAsia="ar-SA"/>
        </w:rPr>
      </w:pPr>
    </w:p>
    <w:p w14:paraId="0000000F">
      <w:pPr>
        <w:pStyle w:val="Normal(Web)"/>
        <w:spacing w:before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>
        <w:rPr>
          <w:color w:val="000000"/>
          <w:sz w:val="28"/>
          <w:szCs w:val="28"/>
        </w:rPr>
        <w:t>Федеральным закон</w:t>
      </w:r>
      <w:r>
        <w:rPr>
          <w:color w:val="000000"/>
          <w:sz w:val="28"/>
          <w:szCs w:val="28"/>
        </w:rPr>
        <w:t>ом</w:t>
      </w:r>
      <w:r>
        <w:rPr>
          <w:color w:val="000000"/>
          <w:sz w:val="28"/>
          <w:szCs w:val="28"/>
        </w:rPr>
        <w:t xml:space="preserve"> от 31.07.2020 №248-ФЗ «О государственном контроле (надзоре) и муниципальном контроле в Российской Федерации», руководствуясь Уставом сельского поселения </w:t>
      </w:r>
      <w:r>
        <w:rPr>
          <w:color w:val="000000"/>
          <w:sz w:val="28"/>
          <w:szCs w:val="28"/>
        </w:rPr>
        <w:t>Селиярово</w:t>
      </w:r>
      <w:r>
        <w:rPr>
          <w:color w:val="000000"/>
          <w:sz w:val="28"/>
          <w:szCs w:val="28"/>
        </w:rPr>
        <w:t>,</w:t>
      </w:r>
    </w:p>
    <w:p w14:paraId="00000010">
      <w:pPr>
        <w:widowControl w:val="off"/>
        <w:spacing w:line="360" w:lineRule="auto"/>
        <w:jc w:val="both"/>
        <w:rPr>
          <w:sz w:val="28"/>
          <w:szCs w:val="28"/>
        </w:rPr>
      </w:pPr>
    </w:p>
    <w:p w14:paraId="00000011">
      <w:pPr>
        <w:widowControl w:val="off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депутатов сельского поселения </w:t>
      </w:r>
      <w:r>
        <w:rPr>
          <w:sz w:val="28"/>
          <w:szCs w:val="28"/>
        </w:rPr>
        <w:t>Селиярово</w:t>
      </w:r>
    </w:p>
    <w:p w14:paraId="00000012">
      <w:pPr>
        <w:widowControl w:val="off"/>
        <w:spacing w:line="360" w:lineRule="auto"/>
        <w:jc w:val="center"/>
        <w:rPr>
          <w:b/>
          <w:sz w:val="28"/>
          <w:szCs w:val="28"/>
        </w:rPr>
      </w:pPr>
    </w:p>
    <w:p w14:paraId="00000013">
      <w:pPr>
        <w:widowControl w:val="off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14:paraId="00000014">
      <w:pPr>
        <w:widowControl w:val="off"/>
        <w:spacing w:line="360" w:lineRule="auto"/>
        <w:jc w:val="center"/>
        <w:rPr>
          <w:b/>
          <w:sz w:val="28"/>
          <w:szCs w:val="28"/>
        </w:rPr>
      </w:pPr>
    </w:p>
    <w:p w14:paraId="00000015">
      <w:pPr>
        <w:tabs>
          <w:tab w:val="left" w:pos="9165"/>
        </w:tabs>
        <w:spacing w:line="360" w:lineRule="auto"/>
        <w:ind w:firstLine="709"/>
        <w:contextualSpacing w:val="on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Положение </w:t>
      </w:r>
      <w:r>
        <w:rPr>
          <w:sz w:val="28"/>
          <w:szCs w:val="28"/>
          <w:lang w:eastAsia="ar-SA"/>
        </w:rPr>
        <w:t xml:space="preserve">о муниципальном контроле </w:t>
      </w:r>
      <w:r>
        <w:rPr>
          <w:sz w:val="28"/>
          <w:szCs w:val="28"/>
          <w:lang w:eastAsia="ar-SA"/>
        </w:rPr>
        <w:t>в сфере благоустройства</w:t>
      </w:r>
      <w:r>
        <w:rPr>
          <w:sz w:val="28"/>
          <w:szCs w:val="28"/>
        </w:rPr>
        <w:t xml:space="preserve"> на территории сельского поселения</w:t>
      </w:r>
      <w:r>
        <w:rPr>
          <w:sz w:val="28"/>
          <w:szCs w:val="28"/>
        </w:rPr>
        <w:t xml:space="preserve"> Селиярово</w:t>
      </w:r>
      <w:r>
        <w:rPr>
          <w:sz w:val="28"/>
          <w:szCs w:val="28"/>
        </w:rPr>
        <w:t>, согласно приложению.</w:t>
      </w:r>
    </w:p>
    <w:p w14:paraId="00000016">
      <w:pPr>
        <w:pStyle w:val="ListParagraph"/>
        <w:numPr>
          <w:ilvl w:val="0"/>
          <w:numId w:val="1"/>
        </w:numPr>
        <w:tabs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утратившими силу</w:t>
      </w:r>
      <w:r>
        <w:rPr>
          <w:sz w:val="28"/>
          <w:szCs w:val="28"/>
        </w:rPr>
        <w:t>:</w:t>
      </w:r>
    </w:p>
    <w:p w14:paraId="00000017">
      <w:pPr>
        <w:pStyle w:val="ListParagraph"/>
        <w:tabs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решени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Совета депутатов сельского поселения</w:t>
      </w:r>
      <w:r>
        <w:rPr>
          <w:sz w:val="28"/>
          <w:szCs w:val="28"/>
        </w:rPr>
        <w:t xml:space="preserve"> Селиярово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26</w:t>
      </w:r>
      <w:r>
        <w:rPr>
          <w:sz w:val="28"/>
          <w:szCs w:val="28"/>
        </w:rPr>
        <w:t>.</w:t>
      </w:r>
      <w:r>
        <w:rPr>
          <w:sz w:val="28"/>
          <w:szCs w:val="28"/>
        </w:rPr>
        <w:t>07</w:t>
      </w:r>
      <w:r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163</w:t>
      </w:r>
      <w:r>
        <w:rPr>
          <w:sz w:val="28"/>
          <w:szCs w:val="28"/>
        </w:rPr>
        <w:t xml:space="preserve"> «Об утверждении Положения </w:t>
      </w:r>
      <w:r>
        <w:rPr>
          <w:sz w:val="28"/>
          <w:szCs w:val="28"/>
          <w:lang w:eastAsia="ar-SA"/>
        </w:rPr>
        <w:t xml:space="preserve">о муниципальном контроле </w:t>
      </w:r>
      <w:r>
        <w:rPr>
          <w:sz w:val="28"/>
          <w:szCs w:val="28"/>
          <w:lang w:eastAsia="ar-SA"/>
        </w:rPr>
        <w:t xml:space="preserve">в сфере благоустройства </w:t>
      </w:r>
      <w:r>
        <w:rPr>
          <w:sz w:val="28"/>
          <w:szCs w:val="28"/>
        </w:rPr>
        <w:t xml:space="preserve">на территории сельского поселения </w:t>
      </w:r>
      <w:r>
        <w:rPr>
          <w:sz w:val="28"/>
          <w:szCs w:val="28"/>
        </w:rPr>
        <w:t>Селиярово</w:t>
      </w:r>
      <w:r>
        <w:rPr>
          <w:sz w:val="28"/>
          <w:szCs w:val="28"/>
        </w:rPr>
        <w:t>»;</w:t>
      </w:r>
    </w:p>
    <w:p w14:paraId="00000018">
      <w:pPr>
        <w:pStyle w:val="ListParagraph"/>
        <w:tabs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</w:t>
      </w:r>
      <w:r>
        <w:rPr>
          <w:sz w:val="28"/>
          <w:szCs w:val="28"/>
        </w:rPr>
        <w:t xml:space="preserve">азместить на официальном сайте администрации сельского поселения </w:t>
      </w:r>
      <w:r>
        <w:rPr>
          <w:sz w:val="28"/>
          <w:szCs w:val="28"/>
        </w:rPr>
        <w:t>Селиярово</w:t>
      </w:r>
      <w:r>
        <w:rPr>
          <w:color w:val="auto"/>
          <w:sz w:val="28"/>
          <w:szCs w:val="28"/>
          <w:u w:val="none"/>
        </w:rPr>
        <w:t xml:space="preserve"> </w:t>
      </w:r>
      <w:r>
        <w:fldChar w:fldCharType="begin"/>
      </w:r>
      <w:r>
        <w:instrText xml:space="preserve">HYPERLINK "http://hmrn.ru/raion/poseleniya/seliyarovo/" </w:instrText>
      </w:r>
      <w:r>
        <w:fldChar w:fldCharType="separate"/>
      </w:r>
      <w:r>
        <w:rPr>
          <w:rStyle w:val="Hyperlink"/>
          <w:rFonts w:eastAsia="Arial"/>
          <w:color w:val="auto"/>
          <w:sz w:val="28"/>
          <w:szCs w:val="28"/>
          <w:u w:val="none"/>
        </w:rPr>
        <w:t>http://hmrn.ru/raion/poseleniya/seliyarovo/</w:t>
      </w:r>
      <w:r>
        <w:fldChar w:fldCharType="end"/>
      </w:r>
      <w:r>
        <w:rPr>
          <w:color w:val="auto"/>
          <w:sz w:val="28"/>
          <w:szCs w:val="28"/>
          <w:u w:val="none"/>
        </w:rPr>
        <w:t xml:space="preserve"> в разделе «</w:t>
      </w:r>
      <w:r>
        <w:rPr>
          <w:color w:val="auto"/>
          <w:sz w:val="28"/>
          <w:szCs w:val="28"/>
          <w:u w:val="none"/>
        </w:rPr>
        <w:t>Муниципальн</w:t>
      </w:r>
      <w:r>
        <w:rPr>
          <w:sz w:val="28"/>
          <w:szCs w:val="28"/>
        </w:rPr>
        <w:t>ый Контроль</w:t>
      </w:r>
      <w:r>
        <w:rPr>
          <w:sz w:val="28"/>
          <w:szCs w:val="28"/>
        </w:rPr>
        <w:t>» подразделе «</w:t>
      </w:r>
      <w:r>
        <w:rPr>
          <w:sz w:val="28"/>
          <w:szCs w:val="28"/>
        </w:rPr>
        <w:t>Перечень видов муниципального контроля</w:t>
      </w:r>
      <w:r>
        <w:rPr>
          <w:sz w:val="28"/>
          <w:szCs w:val="28"/>
        </w:rPr>
        <w:t>».</w:t>
      </w:r>
    </w:p>
    <w:p w14:paraId="00000019">
      <w:pPr>
        <w:pStyle w:val="ListParagraph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его официального</w:t>
      </w:r>
    </w:p>
    <w:p w14:paraId="0000001A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обнародования.</w:t>
      </w:r>
    </w:p>
    <w:p w14:paraId="0000001B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1C">
      <w:pPr>
        <w:widowControl w:val="off"/>
        <w:rPr>
          <w:sz w:val="28"/>
          <w:szCs w:val="28"/>
        </w:rPr>
      </w:pPr>
    </w:p>
    <w:p w14:paraId="0000001D">
      <w:pPr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Глава сельского поселения</w:t>
      </w:r>
    </w:p>
    <w:p w14:paraId="0000001E">
      <w:pPr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председатель Совета депутатов</w:t>
      </w:r>
    </w:p>
    <w:p w14:paraId="0000001F">
      <w:pPr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сельского поселения Селиярово                                               С.В. Маркова </w:t>
      </w:r>
    </w:p>
    <w:p w14:paraId="00000020">
      <w:pPr>
        <w:spacing w:line="200" w:lineRule="atLeast"/>
        <w:rPr>
          <w:lang w:eastAsia="zh-CN"/>
        </w:rPr>
      </w:pPr>
    </w:p>
    <w:p w14:paraId="00000021">
      <w:pPr>
        <w:pStyle w:val="Default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</w:p>
    <w:p w14:paraId="00000022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23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24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25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26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27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28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29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2A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2B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2C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2D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2E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2F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30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31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32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33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34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35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36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37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38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39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3A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3B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14:paraId="0000003C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14:paraId="0000003D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Селиярово</w:t>
      </w:r>
      <w:r>
        <w:rPr>
          <w:sz w:val="28"/>
          <w:szCs w:val="28"/>
        </w:rPr>
        <w:t xml:space="preserve"> </w:t>
      </w:r>
    </w:p>
    <w:p w14:paraId="0000003E">
      <w:pPr>
        <w:pStyle w:val="ConsPlusTitle"/>
        <w:spacing w:line="276" w:lineRule="auto"/>
        <w:jc w:val="right"/>
        <w:rPr>
          <w:rFonts w:ascii="Times New Roman" w:cs="Times New Roman" w:hAnsi="Times New Roman"/>
          <w:b w:val="off"/>
          <w:sz w:val="28"/>
          <w:szCs w:val="28"/>
        </w:rPr>
      </w:pPr>
      <w:r>
        <w:rPr>
          <w:rFonts w:ascii="Times New Roman" w:cs="Times New Roman" w:hAnsi="Times New Roman"/>
          <w:b w:val="off"/>
          <w:bCs w:val="off"/>
          <w:sz w:val="28"/>
          <w:szCs w:val="28"/>
        </w:rPr>
        <w:t>от</w:t>
      </w:r>
      <w:r>
        <w:rPr>
          <w:rFonts w:ascii="Times New Roman" w:cs="Times New Roman" w:hAnsi="Times New Roman"/>
          <w:b w:val="off"/>
          <w:bCs w:val="off"/>
          <w:sz w:val="28"/>
          <w:szCs w:val="28"/>
        </w:rPr>
        <w:t xml:space="preserve"> 24</w:t>
      </w:r>
      <w:r>
        <w:rPr>
          <w:rFonts w:ascii="Times New Roman" w:cs="Times New Roman" w:hAnsi="Times New Roman"/>
          <w:b w:val="off"/>
          <w:bCs w:val="off"/>
          <w:sz w:val="28"/>
          <w:szCs w:val="28"/>
        </w:rPr>
        <w:t>.11</w:t>
      </w:r>
      <w:r>
        <w:rPr>
          <w:rFonts w:ascii="Times New Roman" w:cs="Times New Roman" w:hAnsi="Times New Roman"/>
          <w:b w:val="off"/>
          <w:bCs w:val="off"/>
          <w:sz w:val="28"/>
          <w:szCs w:val="28"/>
        </w:rPr>
        <w:t xml:space="preserve">.2025 </w:t>
      </w:r>
      <w:r>
        <w:rPr>
          <w:rFonts w:ascii="Times New Roman" w:cs="Times New Roman" w:hAnsi="Times New Roman"/>
          <w:b w:val="off"/>
          <w:bCs w:val="off"/>
          <w:sz w:val="28"/>
          <w:szCs w:val="28"/>
        </w:rPr>
        <w:t>год</w:t>
      </w:r>
      <w:r>
        <w:rPr>
          <w:rFonts w:ascii="Times New Roman" w:cs="Times New Roman" w:hAnsi="Times New Roman"/>
          <w:b w:val="off"/>
          <w:sz w:val="28"/>
          <w:szCs w:val="28"/>
        </w:rPr>
        <w:t>а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b w:val="off"/>
          <w:sz w:val="28"/>
          <w:szCs w:val="28"/>
        </w:rPr>
        <w:t>№ 103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p w14:paraId="0000003F">
      <w:pPr>
        <w:pStyle w:val="ConsPlusTitle"/>
        <w:spacing w:line="276" w:lineRule="auto"/>
        <w:jc w:val="center"/>
        <w:rPr>
          <w:rFonts w:ascii="Times New Roman" w:cs="Times New Roman" w:hAnsi="Times New Roman"/>
          <w:sz w:val="28"/>
          <w:szCs w:val="28"/>
        </w:rPr>
      </w:pPr>
      <w:bookmarkStart w:id="0" w:name="Par39"/>
      <w:bookmarkEnd w:id="0"/>
    </w:p>
    <w:p w14:paraId="00000040">
      <w:pPr>
        <w:pStyle w:val="ConsPlusTitle"/>
        <w:spacing w:line="276" w:lineRule="auto"/>
        <w:jc w:val="center"/>
        <w:rPr>
          <w:rFonts w:ascii="Times New Roman" w:cs="Times New Roman" w:hAnsi="Times New Roman"/>
          <w:b w:val="off"/>
          <w:bCs w:val="off"/>
          <w:sz w:val="28"/>
          <w:szCs w:val="28"/>
        </w:rPr>
      </w:pPr>
      <w:r>
        <w:rPr>
          <w:rFonts w:ascii="Times New Roman" w:cs="Times New Roman" w:hAnsi="Times New Roman"/>
          <w:b w:val="off"/>
          <w:bCs w:val="off"/>
          <w:sz w:val="28"/>
          <w:szCs w:val="28"/>
        </w:rPr>
        <w:t>ПОЛОЖЕНИЕ</w:t>
      </w:r>
    </w:p>
    <w:p w14:paraId="00000041">
      <w:pPr>
        <w:pStyle w:val="ConsPlusTitle"/>
        <w:spacing w:line="276" w:lineRule="auto"/>
        <w:jc w:val="center"/>
        <w:rPr>
          <w:rFonts w:ascii="Times New Roman" w:cs="Times New Roman" w:hAnsi="Times New Roman"/>
          <w:b w:val="off"/>
          <w:bCs w:val="off"/>
          <w:sz w:val="28"/>
          <w:szCs w:val="28"/>
        </w:rPr>
      </w:pPr>
      <w:r>
        <w:rPr>
          <w:rFonts w:ascii="Times New Roman" w:cs="Times New Roman" w:hAnsi="Times New Roman"/>
          <w:b w:val="off"/>
          <w:bCs w:val="off"/>
          <w:sz w:val="28"/>
          <w:szCs w:val="28"/>
        </w:rPr>
        <w:t xml:space="preserve">о муниципальном контроле в сфере благоустройства </w:t>
      </w:r>
    </w:p>
    <w:p w14:paraId="00000042">
      <w:pPr>
        <w:pStyle w:val="ConsPlusTitle"/>
        <w:spacing w:line="276" w:lineRule="auto"/>
        <w:jc w:val="center"/>
        <w:rPr>
          <w:b w:val="off"/>
          <w:bCs w:val="off"/>
          <w:i/>
          <w:sz w:val="28"/>
          <w:szCs w:val="28"/>
        </w:rPr>
      </w:pPr>
      <w:r>
        <w:rPr>
          <w:rFonts w:ascii="Times New Roman" w:cs="Times New Roman" w:hAnsi="Times New Roman"/>
          <w:b w:val="off"/>
          <w:bCs w:val="off"/>
          <w:sz w:val="28"/>
          <w:szCs w:val="28"/>
        </w:rPr>
        <w:t>на территории сельского поселения Селиярово (далее – Положение)</w:t>
      </w:r>
    </w:p>
    <w:p w14:paraId="00000043">
      <w:pPr>
        <w:widowControl w:val="off"/>
        <w:spacing w:line="276" w:lineRule="auto"/>
        <w:jc w:val="both"/>
        <w:rPr>
          <w:sz w:val="28"/>
          <w:szCs w:val="28"/>
        </w:rPr>
      </w:pPr>
    </w:p>
    <w:p w14:paraId="00000044">
      <w:pPr>
        <w:pStyle w:val="ConsPlusTitle"/>
        <w:spacing w:line="276" w:lineRule="auto"/>
        <w:jc w:val="center"/>
        <w:rPr>
          <w:rFonts w:ascii="Times New Roman" w:cs="Times New Roman" w:hAnsi="Times New Roman"/>
          <w:b w:val="off"/>
          <w:bCs w:val="off"/>
          <w:sz w:val="28"/>
          <w:szCs w:val="28"/>
        </w:rPr>
      </w:pPr>
      <w:r>
        <w:rPr>
          <w:rFonts w:ascii="Times New Roman" w:cs="Times New Roman" w:hAnsi="Times New Roman"/>
          <w:b w:val="off"/>
          <w:bCs w:val="off"/>
          <w:sz w:val="28"/>
          <w:szCs w:val="28"/>
        </w:rPr>
        <w:t>1. Общие положения</w:t>
      </w:r>
    </w:p>
    <w:p w14:paraId="00000045">
      <w:pPr>
        <w:pStyle w:val="ConsPlusNormal"/>
        <w:spacing w:line="276" w:lineRule="auto"/>
        <w:ind w:firstLine="540"/>
        <w:jc w:val="both"/>
        <w:rPr>
          <w:sz w:val="28"/>
        </w:rPr>
      </w:pPr>
    </w:p>
    <w:p w14:paraId="00000046">
      <w:pPr>
        <w:spacing w:line="276" w:lineRule="auto"/>
        <w:jc w:val="both"/>
        <w:rPr>
          <w:i/>
          <w:iCs/>
          <w:sz w:val="24"/>
          <w:szCs w:val="24"/>
        </w:rPr>
      </w:pPr>
      <w:r>
        <w:rPr>
          <w:sz w:val="28"/>
          <w:szCs w:val="28"/>
        </w:rPr>
        <w:tab/>
        <w:t xml:space="preserve">1.1. Положение устанавливает порядок организации и осуществления муниципального контроля </w:t>
      </w:r>
      <w:r>
        <w:rPr>
          <w:sz w:val="28"/>
          <w:szCs w:val="28"/>
        </w:rPr>
        <w:t xml:space="preserve">в сфере благоустройства на территории сельского поселения </w:t>
      </w:r>
      <w:r>
        <w:rPr>
          <w:sz w:val="28"/>
          <w:szCs w:val="28"/>
        </w:rPr>
        <w:t>Селиярово</w:t>
      </w:r>
      <w:r>
        <w:rPr>
          <w:sz w:val="28"/>
          <w:szCs w:val="28"/>
        </w:rPr>
        <w:t>.</w:t>
      </w:r>
    </w:p>
    <w:p w14:paraId="00000047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 xml:space="preserve">1.2. К отношениям, связанным с осуществлением муниципального контроля, организацией и проведением профилактических мероприятий и контрольных мероприятий в отношении объектов контроля, применяются положения Федерального закона от 31 июля 2020 года № 248-ФЗ                           </w:t>
      </w:r>
      <w:r>
        <w:rPr>
          <w:rFonts w:ascii="Times New Roman" w:cs="Times New Roman" w:hAnsi="Times New Roman"/>
          <w:sz w:val="28"/>
          <w:szCs w:val="28"/>
        </w:rPr>
        <w:t xml:space="preserve">   «</w:t>
      </w:r>
      <w:r>
        <w:rPr>
          <w:rFonts w:ascii="Times New Roman" w:cs="Times New Roman" w:hAnsi="Times New Roman"/>
          <w:sz w:val="28"/>
          <w:szCs w:val="28"/>
        </w:rPr>
        <w:t>О государственном контроле (надзоре) и муниципальном контроле в Российской Федерации» (далее – Федеральный закон № 248-ФЗ).</w:t>
      </w:r>
    </w:p>
    <w:p w14:paraId="00000048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 xml:space="preserve">1.3. Муниципальный контроль осуществляет отдел управления Администрации сельского поселения </w:t>
      </w:r>
      <w:r>
        <w:rPr>
          <w:rFonts w:ascii="Times New Roman" w:cs="Times New Roman" w:hAnsi="Times New Roman"/>
          <w:sz w:val="28"/>
          <w:szCs w:val="28"/>
        </w:rPr>
        <w:t>Селиярово</w:t>
      </w:r>
      <w:r>
        <w:rPr>
          <w:rFonts w:ascii="Times New Roman" w:cs="Times New Roman" w:hAnsi="Times New Roman"/>
          <w:sz w:val="28"/>
          <w:szCs w:val="28"/>
        </w:rPr>
        <w:t xml:space="preserve"> (далее – контрольный орган).</w:t>
      </w:r>
    </w:p>
    <w:p w14:paraId="00000049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>1.4. Объектами муниципального контроля (далее – объект контроля) являются:</w:t>
      </w:r>
    </w:p>
    <w:p w14:paraId="0000004A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 (далее – контролируемые лица);</w:t>
      </w:r>
    </w:p>
    <w:p w14:paraId="0000004B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>2) результаты деятельности граждан и организаций, в том числе продукция (товары), работы и услуги, к которым предъявляются обязательные требования;</w:t>
      </w:r>
    </w:p>
    <w:p w14:paraId="0000004C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>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</w:t>
      </w:r>
      <w:r>
        <w:t xml:space="preserve"> </w:t>
      </w:r>
      <w:r>
        <w:rPr>
          <w:rFonts w:ascii="Times New Roman" w:cs="Times New Roman" w:hAnsi="Times New Roman"/>
          <w:sz w:val="28"/>
          <w:szCs w:val="28"/>
        </w:rPr>
        <w:t>компоненты природной среды, природные и природно-антропогенные объекты, и другие объекты, которыми граждане и организации владеют и (или) пользуются,</w:t>
      </w:r>
      <w: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компоненты природной среды, природные и природно-антропогенные </w:t>
      </w:r>
      <w:r>
        <w:rPr>
          <w:rFonts w:ascii="Times New Roman" w:cs="Times New Roman" w:hAnsi="Times New Roman"/>
          <w:sz w:val="28"/>
          <w:szCs w:val="28"/>
        </w:rPr>
        <w:t>объекты, не находящиеся во владении и (или) пользовании граждан или организаций,  к которым предъявляются обязательные требования                           (далее – производственные объекты).</w:t>
      </w:r>
    </w:p>
    <w:p w14:paraId="0000004D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 xml:space="preserve">1.5. Учет объектов контроля осуществляется в соответствии </w:t>
      </w:r>
      <w:r>
        <w:rPr>
          <w:rFonts w:ascii="Times New Roman" w:cs="Times New Roman" w:hAnsi="Times New Roman"/>
          <w:sz w:val="28"/>
          <w:szCs w:val="28"/>
        </w:rPr>
        <w:br w:type="textWrapping"/>
      </w:r>
      <w:r>
        <w:rPr>
          <w:rFonts w:ascii="Times New Roman" w:cs="Times New Roman" w:hAnsi="Times New Roman"/>
          <w:sz w:val="28"/>
          <w:szCs w:val="28"/>
        </w:rPr>
        <w:t xml:space="preserve">с Федеральным законом № 248-ФЗ, Положением посредством: </w:t>
      </w:r>
    </w:p>
    <w:p w14:paraId="0000004E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 xml:space="preserve">формирования перечня объектов контроля, размещенного на официальном сайте органа местного самоуправления сельского поселения </w:t>
      </w:r>
      <w:r>
        <w:rPr>
          <w:rFonts w:ascii="Times New Roman" w:cs="Times New Roman" w:hAnsi="Times New Roman"/>
          <w:sz w:val="28"/>
          <w:szCs w:val="28"/>
        </w:rPr>
        <w:t>Селиярово</w:t>
      </w:r>
      <w:r>
        <w:rPr>
          <w:rFonts w:ascii="Times New Roman" w:cs="Times New Roman" w:hAnsi="Times New Roman"/>
          <w:sz w:val="28"/>
          <w:szCs w:val="28"/>
        </w:rPr>
        <w:t xml:space="preserve"> в информационно-телекоммуникационной сети «Интернет» (далее – сеть «Интернет»);</w:t>
      </w:r>
    </w:p>
    <w:p w14:paraId="0000004F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 xml:space="preserve">иных федеральных или региональных информационных систем, </w:t>
      </w:r>
      <w:r>
        <w:rPr>
          <w:rFonts w:ascii="Times New Roman" w:cs="Times New Roman" w:hAnsi="Times New Roman"/>
          <w:sz w:val="28"/>
          <w:szCs w:val="28"/>
        </w:rPr>
        <w:br w:type="textWrapping"/>
      </w:r>
      <w:r>
        <w:rPr>
          <w:rFonts w:ascii="Times New Roman" w:cs="Times New Roman" w:hAnsi="Times New Roman"/>
          <w:sz w:val="28"/>
          <w:szCs w:val="28"/>
        </w:rPr>
        <w:t>в том числе путем получения сведений в порядке межведомственного информационного взаимодействия.</w:t>
      </w:r>
    </w:p>
    <w:p w14:paraId="00000050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 xml:space="preserve">1.6. Предметом муниципального контроля являются </w:t>
      </w:r>
      <w:r>
        <w:rPr>
          <w:rFonts w:ascii="Times New Roman" w:cs="Times New Roman" w:hAnsi="Times New Roman"/>
          <w:sz w:val="28"/>
          <w:szCs w:val="24"/>
        </w:rPr>
        <w:t>соблюдение контролируемыми лицами обязательных требований правил благоустройства и озеленения территории сельского поселения</w:t>
      </w:r>
      <w:r>
        <w:rPr>
          <w:rFonts w:ascii="Times New Roman" w:cs="Times New Roman" w:hAnsi="Times New Roman"/>
          <w:sz w:val="28"/>
          <w:szCs w:val="24"/>
        </w:rPr>
        <w:t xml:space="preserve"> Селиярово</w:t>
      </w:r>
      <w:r>
        <w:rPr>
          <w:rFonts w:ascii="Times New Roman" w:cs="Times New Roman" w:hAnsi="Times New Roman"/>
          <w:sz w:val="28"/>
          <w:szCs w:val="24"/>
        </w:rPr>
        <w:t>, требований к обеспечению доступности для инвалидов объектов социальной, инженерной, транспортной инфраструктур и предоставляемых услуг и иными принимаемыми в соответствии с ними нормативными правовыми актами</w:t>
      </w:r>
      <w:r>
        <w:rPr>
          <w:rFonts w:ascii="Times New Roman" w:cs="Times New Roman" w:hAnsi="Times New Roman"/>
          <w:sz w:val="24"/>
          <w:szCs w:val="24"/>
        </w:rPr>
        <w:t>.</w:t>
      </w:r>
    </w:p>
    <w:p w14:paraId="00000051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>1.7. Муниципальный контроль осуществляется посредством проведения:</w:t>
      </w:r>
    </w:p>
    <w:p w14:paraId="00000052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>1) профилактических мероприятий;</w:t>
      </w:r>
    </w:p>
    <w:p w14:paraId="00000053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>2) контрольных мероприятий со взаимодействием с контролируемым лицом;</w:t>
      </w:r>
    </w:p>
    <w:p w14:paraId="00000054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 xml:space="preserve">3) контрольных мероприятий без взаимодействия с контролируемым лицом.  </w:t>
      </w:r>
      <w:r>
        <w:rPr>
          <w:rFonts w:ascii="Times New Roman" w:cs="Times New Roman" w:hAnsi="Times New Roman"/>
          <w:sz w:val="28"/>
          <w:szCs w:val="28"/>
        </w:rPr>
        <w:tab/>
      </w:r>
    </w:p>
    <w:p w14:paraId="00000055">
      <w:pPr>
        <w:pStyle w:val="ConsPlusNormal"/>
        <w:spacing w:line="276" w:lineRule="auto"/>
        <w:ind w:firstLine="720"/>
        <w:jc w:val="both"/>
        <w:rPr>
          <w:rFonts w:ascii="Times New Roman" w:cs="Times New Roman" w:hAnsi="Times New Roman"/>
          <w:i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1.8. Муниципальный контроль осуществляют следующие должностные лица</w:t>
      </w:r>
      <w:r>
        <w:rPr>
          <w:rFonts w:ascii="Times New Roman" w:cs="Times New Roman" w:hAnsi="Times New Roman"/>
          <w:i/>
          <w:sz w:val="28"/>
          <w:szCs w:val="28"/>
        </w:rPr>
        <w:tab/>
      </w:r>
    </w:p>
    <w:p w14:paraId="00000056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/>
          <w:sz w:val="28"/>
          <w:szCs w:val="28"/>
        </w:rPr>
        <w:t xml:space="preserve">          </w:t>
      </w:r>
      <w:r>
        <w:rPr>
          <w:rFonts w:ascii="Times New Roman" w:cs="Times New Roman" w:hAnsi="Times New Roman"/>
          <w:sz w:val="28"/>
          <w:szCs w:val="28"/>
        </w:rPr>
        <w:t xml:space="preserve">1) Глава сельского поселения </w:t>
      </w:r>
      <w:r>
        <w:rPr>
          <w:rFonts w:ascii="Times New Roman" w:cs="Times New Roman" w:hAnsi="Times New Roman"/>
          <w:sz w:val="28"/>
          <w:szCs w:val="28"/>
        </w:rPr>
        <w:t>Селиярово</w:t>
      </w:r>
      <w:r>
        <w:rPr>
          <w:rFonts w:ascii="Times New Roman" w:cs="Times New Roman" w:hAnsi="Times New Roman"/>
          <w:sz w:val="28"/>
          <w:szCs w:val="28"/>
        </w:rPr>
        <w:t xml:space="preserve"> (либо лицо, его замещающее) - руководитель контрольного органа;</w:t>
      </w:r>
    </w:p>
    <w:p w14:paraId="00000057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>2) должностное лицо контрольного органа, в должностные обязанности которого в соответствии с Положением, должностной инструкцией входит осуществление полномочий по муниципальному контролю, в том числе проведение профилактических мероприятий и контрольных мероприятий (далее также – инспектор).</w:t>
      </w:r>
    </w:p>
    <w:p w14:paraId="00000058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>1.9. Принятие решений о проведении контрольных мероприятий осуществляет руководитель</w:t>
      </w:r>
      <w:r>
        <w:rPr>
          <w:rFonts w:ascii="Times New Roman" w:cs="Times New Roman" w:hAnsi="Times New Roman"/>
          <w:i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контрольного органа.</w:t>
      </w:r>
    </w:p>
    <w:p w14:paraId="00000059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</w:r>
    </w:p>
    <w:p w14:paraId="0000005A">
      <w:pPr>
        <w:pStyle w:val="ConsPlusNormal"/>
        <w:spacing w:line="276" w:lineRule="auto"/>
        <w:ind w:firstLine="720"/>
        <w:jc w:val="center"/>
        <w:rPr>
          <w:rFonts w:ascii="Times New Roman" w:cs="Times New Roman" w:hAnsi="Times New Roman"/>
          <w:b w:val="off"/>
          <w:bCs w:val="off"/>
          <w:sz w:val="28"/>
          <w:szCs w:val="28"/>
        </w:rPr>
      </w:pPr>
      <w:r>
        <w:rPr>
          <w:rFonts w:ascii="Times New Roman" w:cs="Times New Roman" w:hAnsi="Times New Roman"/>
          <w:b w:val="off"/>
          <w:bCs w:val="off"/>
          <w:sz w:val="28"/>
          <w:szCs w:val="28"/>
        </w:rPr>
        <w:t>2. Управление рисками причинения вреда (ущерба) охраняемым законом ценностям при осуществлении муниципального контроля</w:t>
      </w:r>
    </w:p>
    <w:p w14:paraId="0000005B">
      <w:pPr>
        <w:pStyle w:val="ConsPlusNormal"/>
        <w:spacing w:line="276" w:lineRule="auto"/>
        <w:jc w:val="center"/>
        <w:rPr>
          <w:rFonts w:ascii="Times New Roman" w:cs="Times New Roman" w:hAnsi="Times New Roman"/>
          <w:b/>
          <w:sz w:val="28"/>
          <w:szCs w:val="28"/>
        </w:rPr>
      </w:pPr>
    </w:p>
    <w:p w14:paraId="0000005C">
      <w:pPr>
        <w:widowControl w:val="off"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ab/>
        <w:t>2.1. </w:t>
      </w:r>
      <w:r>
        <w:rPr>
          <w:rFonts w:eastAsia="Calibri"/>
          <w:sz w:val="28"/>
          <w:szCs w:val="28"/>
          <w:lang w:eastAsia="en-US"/>
        </w:rPr>
        <w:t>Муниципальный контроль осуществляется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результаты.</w:t>
      </w:r>
    </w:p>
    <w:p w14:paraId="0000005D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2.2. </w:t>
      </w:r>
      <w:r>
        <w:rPr>
          <w:sz w:val="28"/>
          <w:szCs w:val="28"/>
        </w:rPr>
        <w:t xml:space="preserve">Учет рисков причинения вреда (ущерба) охраняемым законом ценностям, порядок отнесения объектов контроля к категориям риска причинения вреда (ущерба) (далее – категории риска) и выявления индикаторов риска нарушения обязательных требований                                 </w:t>
      </w:r>
      <w:r>
        <w:rPr>
          <w:sz w:val="28"/>
          <w:szCs w:val="28"/>
        </w:rPr>
        <w:t xml:space="preserve">   (</w:t>
      </w:r>
      <w:r>
        <w:rPr>
          <w:sz w:val="28"/>
          <w:szCs w:val="28"/>
        </w:rPr>
        <w:t>далее – индикаторы риска) осуществляются контрольным органом в соответствии с главой 5 Федерального закона № 248-ФЗ.</w:t>
      </w:r>
    </w:p>
    <w:p w14:paraId="0000005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 Объекты контроля подлежат отнесению к категориям среднего, умеренного и низкого риска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критериями отнесения объектов контроля к категориям риска (далее – критерии риска), указанными в приложении 3 к Положению.</w:t>
      </w:r>
    </w:p>
    <w:p w14:paraId="0000005F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2.4. При отнесении объектов контроля к категориям риска, применении критериев риска и выявлении индикаторов риска контрольный орган использует сведения об объектах контроля, характеризующие уровень рисков причинения вреда (ущерба), полученные с соблюдением требований законодательства Российской Федерации, Ханты-Мансийского автономного округа – Югры из любых источников, обеспечивающих их достоверность.</w:t>
      </w:r>
    </w:p>
    <w:p w14:paraId="00000060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i/>
          <w:sz w:val="24"/>
          <w:szCs w:val="24"/>
        </w:rPr>
        <w:tab/>
      </w:r>
      <w:r>
        <w:rPr>
          <w:sz w:val="28"/>
          <w:szCs w:val="28"/>
        </w:rPr>
        <w:t>2.5. Допустимый уровень риска причинения вреда (ущерба) закреплен в ключевых показателях вида муниципального контроля в соответствии с приложением 2 к Положению.</w:t>
      </w:r>
    </w:p>
    <w:p w14:paraId="00000061">
      <w:pPr>
        <w:widowControl w:val="off"/>
        <w:spacing w:line="276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 xml:space="preserve">2.6. </w:t>
      </w:r>
      <w:r>
        <w:rPr>
          <w:color w:val="000000"/>
          <w:sz w:val="28"/>
          <w:szCs w:val="28"/>
        </w:rPr>
        <w:t xml:space="preserve">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индикаторы риска в соответствии с приложением 1 к Положению. </w:t>
      </w:r>
    </w:p>
    <w:p w14:paraId="00000062">
      <w:pPr>
        <w:widowControl w:val="off"/>
        <w:spacing w:line="276" w:lineRule="auto"/>
        <w:jc w:val="both"/>
        <w:rPr>
          <w:bCs/>
          <w:i/>
          <w:color w:val="000000"/>
          <w:sz w:val="24"/>
          <w:szCs w:val="24"/>
        </w:rPr>
      </w:pPr>
      <w:r>
        <w:rPr>
          <w:sz w:val="28"/>
          <w:szCs w:val="28"/>
        </w:rPr>
        <w:tab/>
        <w:t>2.7. Контрольным органом обеспечивается организация постоянного мониторинга (сбора, обработки, анализа и учета) сведений, используемых для оценки и управления рисками причинения вреда (ущерба).</w:t>
      </w:r>
    </w:p>
    <w:p w14:paraId="00000063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2.8. В случае поступления в контрольный орган сведений о соответствии объекта контроля критериям риска иной категории риска либо об изменении критериев риска контрольный орган в течение пяти рабочих </w:t>
      </w:r>
      <w:r>
        <w:rPr>
          <w:sz w:val="28"/>
          <w:szCs w:val="28"/>
        </w:rPr>
        <w:t>дней со дня поступления указанных сведений принимает решение об изменении категории риска указанного объекта контроля.</w:t>
      </w:r>
    </w:p>
    <w:p w14:paraId="00000064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2.9. В случае, если объект контроля не отнесен контрольным органом к определенной категории риска, он считается отнесенным к категории низкого риска.</w:t>
      </w:r>
    </w:p>
    <w:p w14:paraId="00000065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2.10. Контролируемые лица, в том числе с использованием федеральной государственной информационной системы «Единый портал государственных и муниципальных услуг (функций)» (далее – единый портал государственных и муниципальных услуг (функций) подают в контрольный орган заявление об изменении присвоенной ранее категории риска в случае соответствия критериям риска для отнесения к иной категории риска.</w:t>
      </w:r>
    </w:p>
    <w:p w14:paraId="00000066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2.11. По запросу контролируемого лица контрольный орган в установленном порядке предоставляет информацию о присвоенной категории риска, а также сведения, на основании которых принято решение об отнесении к категории риска.</w:t>
      </w:r>
    </w:p>
    <w:p w14:paraId="00000067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2.12. Отнесение объектов контроля к определенной категории риска, в том числе изменение ранее присвоенной объекту контроля категории риска, осуществляется путем внесения соответствующих сведений в подсистему федеральной государственной информационной системы «Федеральный реестр государственных и муниципальных услуг (функций)»  «Единый реестр видов федерального государственного контроля (надзора), регионального государственного контроля (надзора), муниципального контроля» в соответствии с критериями риска согласно приложению 3 к Положению.</w:t>
      </w:r>
      <w:r>
        <w:t xml:space="preserve"> </w:t>
      </w:r>
    </w:p>
    <w:p w14:paraId="00000068">
      <w:pPr>
        <w:widowControl w:val="off"/>
        <w:spacing w:line="276" w:lineRule="auto"/>
        <w:jc w:val="both"/>
        <w:rPr>
          <w:strike w:val="on"/>
          <w:sz w:val="28"/>
        </w:rPr>
      </w:pPr>
    </w:p>
    <w:p w14:paraId="00000069">
      <w:pPr>
        <w:widowControl w:val="off"/>
        <w:spacing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 xml:space="preserve">3. Профилактика рисков причинения вреда (ущерба) </w:t>
      </w:r>
    </w:p>
    <w:p w14:paraId="0000006A">
      <w:pPr>
        <w:widowControl w:val="off"/>
        <w:spacing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>охраняемым законом ценностям</w:t>
      </w:r>
    </w:p>
    <w:p w14:paraId="0000006B">
      <w:pPr>
        <w:widowControl w:val="off"/>
        <w:spacing w:line="276" w:lineRule="auto"/>
        <w:jc w:val="center"/>
        <w:rPr>
          <w:b/>
          <w:sz w:val="28"/>
          <w:szCs w:val="28"/>
        </w:rPr>
      </w:pPr>
    </w:p>
    <w:p w14:paraId="000000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 Профилактические мероприятия осуществляются на основании программы профилактики рисков причинения вреда (ущерба) охраняемым законом ценностям (далее – Программа профилактики), утвержденной решением главы сельского поселения </w:t>
      </w:r>
      <w:r>
        <w:rPr>
          <w:sz w:val="28"/>
          <w:szCs w:val="28"/>
        </w:rPr>
        <w:t>Селиярово</w:t>
      </w:r>
      <w:r>
        <w:rPr>
          <w:sz w:val="28"/>
          <w:szCs w:val="28"/>
        </w:rPr>
        <w:t xml:space="preserve"> в форме постановления администрации сельского поселения </w:t>
      </w:r>
      <w:r>
        <w:rPr>
          <w:sz w:val="28"/>
          <w:szCs w:val="28"/>
        </w:rPr>
        <w:t>Селиярово</w:t>
      </w:r>
      <w:r>
        <w:rPr>
          <w:sz w:val="28"/>
          <w:szCs w:val="28"/>
        </w:rPr>
        <w:t xml:space="preserve"> и размещенной на официальном сайте администрации сельского поселения </w:t>
      </w:r>
      <w:r>
        <w:rPr>
          <w:sz w:val="28"/>
          <w:szCs w:val="28"/>
        </w:rPr>
        <w:t xml:space="preserve">Селиярово </w:t>
      </w:r>
      <w:r>
        <w:fldChar w:fldCharType="begin"/>
      </w:r>
      <w:r>
        <w:instrText xml:space="preserve">HYPERLINK "http://hmrn.ru/raion/poseleniya/seliyarovo/" </w:instrText>
      </w:r>
      <w:r>
        <w:fldChar w:fldCharType="separate"/>
      </w:r>
      <w:r>
        <w:rPr>
          <w:rStyle w:val="Hyperlink"/>
          <w:rFonts w:eastAsia="Arial"/>
          <w:color w:val="auto"/>
          <w:sz w:val="28"/>
          <w:szCs w:val="28"/>
          <w:u w:val="none"/>
        </w:rPr>
        <w:t>http://hmrn.ru/raion/poseleniya/seliyarovo/</w:t>
      </w:r>
      <w:r>
        <w:fldChar w:fldCharType="end"/>
      </w:r>
      <w:r>
        <w:rPr>
          <w:color w:val="auto"/>
          <w:sz w:val="28"/>
          <w:szCs w:val="28"/>
          <w:u w:val="none"/>
        </w:rPr>
        <w:t xml:space="preserve"> в </w:t>
      </w:r>
      <w:r>
        <w:rPr>
          <w:sz w:val="28"/>
          <w:szCs w:val="28"/>
        </w:rPr>
        <w:t>сети «Интернет».</w:t>
      </w:r>
    </w:p>
    <w:p w14:paraId="0000006D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 Профилактические мероприятия, предусмотренные Программой профилактики, обязательны для проведения контрольным органом.</w:t>
      </w:r>
    </w:p>
    <w:p w14:paraId="0000006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3.3. Контрольный орган может проводить профилактические мероприятия, не предусмотренные Программой профилактики.</w:t>
      </w:r>
    </w:p>
    <w:p w14:paraId="000000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3.4. Контрольный орган в рамках осуществления муниципального контроля в сфере благоустройства на территории сельского поселения </w:t>
      </w:r>
      <w:r>
        <w:rPr>
          <w:sz w:val="28"/>
          <w:szCs w:val="28"/>
        </w:rPr>
        <w:t>Селиярово</w:t>
      </w:r>
      <w:r>
        <w:rPr>
          <w:sz w:val="28"/>
          <w:szCs w:val="28"/>
        </w:rPr>
        <w:t xml:space="preserve"> проводит следующие профилактические мероприятия: </w:t>
      </w:r>
    </w:p>
    <w:p w14:paraId="00000070">
      <w:pPr>
        <w:spacing w:line="276" w:lineRule="auto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ab/>
        <w:t>1) информирование;</w:t>
      </w:r>
    </w:p>
    <w:p w14:paraId="00000071">
      <w:pPr>
        <w:spacing w:line="276" w:lineRule="auto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2) объявление предостережения;</w:t>
      </w:r>
    </w:p>
    <w:p w14:paraId="00000072">
      <w:pPr>
        <w:spacing w:line="276" w:lineRule="auto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3) консультирование;</w:t>
      </w:r>
    </w:p>
    <w:p w14:paraId="00000073">
      <w:pPr>
        <w:spacing w:line="276" w:lineRule="auto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4) профилактический визит.</w:t>
      </w:r>
    </w:p>
    <w:p w14:paraId="000000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 Информирование осуществляется должностными лицами контрольного органа посредством размещения сведений, предусмотренных частью 3 статьи 46 Федерального закона № 248-ФЗ, на официальном сайте администрации сельского поселения </w:t>
      </w:r>
      <w:r>
        <w:rPr>
          <w:sz w:val="28"/>
          <w:szCs w:val="28"/>
        </w:rPr>
        <w:t>Селиярово</w:t>
      </w:r>
      <w:r>
        <w:t xml:space="preserve"> </w:t>
      </w:r>
      <w:r>
        <w:fldChar w:fldCharType="begin"/>
      </w:r>
      <w:r>
        <w:instrText xml:space="preserve">HYPERLINK "http://hmrn.ru/raion/poseleniya/seliyarovo/" </w:instrText>
      </w:r>
      <w:r>
        <w:fldChar w:fldCharType="separate"/>
      </w:r>
      <w:r>
        <w:rPr>
          <w:rStyle w:val="Hyperlink"/>
          <w:rFonts w:eastAsia="Arial"/>
          <w:color w:val="auto"/>
          <w:sz w:val="28"/>
          <w:szCs w:val="28"/>
          <w:u w:val="none"/>
        </w:rPr>
        <w:t>http://hmrn.ru/raion/poseleniya/seliyarovo/</w:t>
      </w:r>
      <w:r>
        <w:fldChar w:fldCharType="end"/>
      </w:r>
      <w:r>
        <w:rPr>
          <w:color w:val="auto"/>
          <w:sz w:val="28"/>
          <w:szCs w:val="28"/>
          <w:u w:val="none"/>
        </w:rPr>
        <w:t>,</w:t>
      </w:r>
      <w:r>
        <w:rPr>
          <w:sz w:val="28"/>
          <w:szCs w:val="28"/>
        </w:rPr>
        <w:t xml:space="preserve"> в средствах массовой информации, через единый портал государственных и муниципальных услуг (функций) и в иных формах.</w:t>
      </w:r>
    </w:p>
    <w:p w14:paraId="00000075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Размещенные сведения поддерживаются в актуальном состоянии и обновляются в срок </w:t>
      </w:r>
      <w:r>
        <w:rPr>
          <w:sz w:val="28"/>
          <w:szCs w:val="24"/>
        </w:rPr>
        <w:t>не более 5 рабочих дней</w:t>
      </w:r>
      <w:r>
        <w:rPr>
          <w:sz w:val="32"/>
          <w:szCs w:val="28"/>
        </w:rPr>
        <w:t xml:space="preserve"> </w:t>
      </w:r>
      <w:r>
        <w:rPr>
          <w:sz w:val="28"/>
          <w:szCs w:val="28"/>
        </w:rPr>
        <w:t>с момента их изменения.</w:t>
      </w:r>
    </w:p>
    <w:p w14:paraId="00000076">
      <w:pPr>
        <w:widowControl w:val="off"/>
        <w:spacing w:line="276" w:lineRule="auto"/>
        <w:jc w:val="both"/>
        <w:rPr>
          <w:sz w:val="24"/>
          <w:szCs w:val="24"/>
        </w:rPr>
      </w:pPr>
      <w:r>
        <w:rPr>
          <w:sz w:val="28"/>
          <w:szCs w:val="28"/>
        </w:rPr>
        <w:tab/>
        <w:t xml:space="preserve">3.6. Предостережение о недопустимости нарушения обязательных требований (далее – предостережение) контрольный орган объявляет контролируемому лицу в случае получения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в срок </w:t>
      </w:r>
      <w:r>
        <w:rPr>
          <w:sz w:val="28"/>
          <w:szCs w:val="24"/>
        </w:rPr>
        <w:t>не более 10 рабочих дней со дня их получения</w:t>
      </w:r>
      <w:r>
        <w:rPr>
          <w:i/>
          <w:sz w:val="18"/>
        </w:rPr>
        <w:t xml:space="preserve"> </w:t>
      </w:r>
      <w:r>
        <w:rPr>
          <w:sz w:val="28"/>
          <w:szCs w:val="28"/>
        </w:rPr>
        <w:t xml:space="preserve">и предлагает принять меры по обеспечению соблюдения обязательных требований. </w:t>
      </w:r>
    </w:p>
    <w:p w14:paraId="00000077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 xml:space="preserve">Предостережение составляется по форме, утвержденной приказом Министерства экономического развития Российской Федерации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от 31 марта 2021 года № 151 «О типовых формах документов, используемых контрольным (надзорным) органом», в письменной форме или в форме электронного документа.</w:t>
      </w:r>
    </w:p>
    <w:p w14:paraId="00000078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 xml:space="preserve">Объявленное предостережение контрольный орган размещает в момент вынесения в Едином реестре контрольных (надзорных) мероприятий (далее – ЕРКНМ) и в течение 3 рабочих дней с даты объявления направляет в адрес контролируемого лица через единый портал государственных и муниципальных услуг (функций), а также по адресу электронной почты или почтовым отправлением (в случае направления на </w:t>
      </w:r>
      <w:r>
        <w:rPr>
          <w:sz w:val="28"/>
          <w:szCs w:val="28"/>
        </w:rPr>
        <w:t>бумажном носителе).</w:t>
      </w:r>
    </w:p>
    <w:p w14:paraId="00000079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Инспектор регистрирует предостережение в журнале учета объявленных предостережений с присвоением регистрационного номера.</w:t>
      </w:r>
    </w:p>
    <w:p w14:paraId="0000007A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Контролируемое лицо после получения предостережения подает в контрольный орган возражение в произвольной форме, включив в него следующую информацию:</w:t>
      </w:r>
    </w:p>
    <w:p w14:paraId="0000007B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наименование контролируемого лица;</w:t>
      </w:r>
    </w:p>
    <w:p w14:paraId="0000007C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дату и номер полученного предостережения;</w:t>
      </w:r>
    </w:p>
    <w:p w14:paraId="0000007D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обоснование позиции, возражения в отношении указанных в предостережении действий (бездействия) контролируемого лица, которые приводят или могут привести к нарушению обязательных требований;</w:t>
      </w:r>
    </w:p>
    <w:p w14:paraId="0000007E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желаемый способ получения ответа по итогам рассмотрения возражения;</w:t>
      </w:r>
    </w:p>
    <w:p w14:paraId="0000007F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фамилию, имя, отчество (при наличии) уполномоченного действовать от имени контролируемого лица, направившего возражение;</w:t>
      </w:r>
    </w:p>
    <w:p w14:paraId="00000080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дату направления возражения.</w:t>
      </w:r>
    </w:p>
    <w:p w14:paraId="00000081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Возражение направляет контролируемое лицо в контрольный орган одним из следующих способов:</w:t>
      </w:r>
    </w:p>
    <w:p w14:paraId="00000082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лично, обратившись в контрольный орган;</w:t>
      </w:r>
    </w:p>
    <w:p w14:paraId="00000083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почтовой связью по адресу: 6285</w:t>
      </w:r>
      <w:r>
        <w:rPr>
          <w:sz w:val="28"/>
          <w:szCs w:val="28"/>
        </w:rPr>
        <w:t>06</w:t>
      </w:r>
      <w:r>
        <w:rPr>
          <w:sz w:val="28"/>
          <w:szCs w:val="28"/>
        </w:rPr>
        <w:t xml:space="preserve">, Тюменская область, Ханты-Мансийский автономный округ-Югра, Ханты-Мансийский район, 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>Селиярово</w:t>
      </w:r>
      <w:r>
        <w:rPr>
          <w:sz w:val="28"/>
          <w:szCs w:val="28"/>
        </w:rPr>
        <w:t xml:space="preserve">, ул. </w:t>
      </w:r>
      <w:r>
        <w:rPr>
          <w:sz w:val="28"/>
          <w:szCs w:val="28"/>
        </w:rPr>
        <w:t>Братьев-Фирсовых</w:t>
      </w:r>
      <w:r>
        <w:rPr>
          <w:sz w:val="28"/>
          <w:szCs w:val="28"/>
        </w:rPr>
        <w:t xml:space="preserve">, дом </w:t>
      </w:r>
      <w:r>
        <w:rPr>
          <w:sz w:val="28"/>
          <w:szCs w:val="28"/>
        </w:rPr>
        <w:t>24а</w:t>
      </w:r>
      <w:r>
        <w:rPr>
          <w:sz w:val="28"/>
          <w:szCs w:val="28"/>
        </w:rPr>
        <w:t>;</w:t>
      </w:r>
    </w:p>
    <w:p w14:paraId="00000084">
      <w:pPr>
        <w:widowControl w:val="off"/>
        <w:spacing w:line="276" w:lineRule="auto"/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>в электронном виде через единый портал государственных и муниципальных услуг (функций).</w:t>
      </w:r>
    </w:p>
    <w:p w14:paraId="00000085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Возражение контрольный орган рассматривает не позднее 30 дней с даты его получения, по итогам которого принимает одно из указанных решений:</w:t>
      </w:r>
    </w:p>
    <w:p w14:paraId="00000086">
      <w:pPr>
        <w:widowControl w:val="off"/>
        <w:spacing w:line="276" w:lineRule="auto"/>
        <w:ind w:firstLine="720"/>
        <w:jc w:val="both"/>
        <w:rPr>
          <w:sz w:val="18"/>
        </w:rPr>
      </w:pPr>
      <w:r>
        <w:rPr>
          <w:sz w:val="28"/>
          <w:szCs w:val="28"/>
        </w:rPr>
        <w:t xml:space="preserve">в случае признания доводов контролируемого лица состоятельными – о недействительности направленного предостережения с соответствующей отметкой в журнале учета объявленных предостережений, о чем уведомляет его в срок не позднее </w:t>
      </w:r>
      <w:r>
        <w:rPr>
          <w:sz w:val="28"/>
          <w:szCs w:val="24"/>
        </w:rPr>
        <w:t>3 рабочих дней с даты принятия решения;</w:t>
      </w:r>
    </w:p>
    <w:p w14:paraId="00000087">
      <w:pPr>
        <w:widowControl w:val="off"/>
        <w:spacing w:line="276" w:lineRule="auto"/>
        <w:ind w:firstLine="720"/>
        <w:jc w:val="both"/>
        <w:rPr>
          <w:sz w:val="28"/>
          <w:szCs w:val="24"/>
        </w:rPr>
      </w:pPr>
      <w:r>
        <w:rPr>
          <w:sz w:val="28"/>
          <w:szCs w:val="28"/>
        </w:rPr>
        <w:t xml:space="preserve">в случае признания доводов контролируемого лица несостоятельными – об оставлении возражения без удовлетворения, о чем уведомляет его в срок не позднее </w:t>
      </w:r>
      <w:r>
        <w:rPr>
          <w:sz w:val="28"/>
          <w:szCs w:val="24"/>
        </w:rPr>
        <w:t>3 рабочих дня с даты принятия решения.</w:t>
      </w:r>
    </w:p>
    <w:p w14:paraId="00000088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3.7. Консультирование контролируемых лиц и их представителей осуществляется инспектором по обращениям контролируемых лиц и их представителей по вопросам, связанным с организацией и осуществлением муниципального контроля.</w:t>
      </w:r>
    </w:p>
    <w:p w14:paraId="00000089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Консультирование осуществляется без взимания платы.</w:t>
      </w:r>
    </w:p>
    <w:p w14:paraId="0000008A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Консультирование может осуществляться инспектором по телефону, посредством видео-конференц-связи, на личном приеме, либо в ходе проведения профилактических мероприятий, контрольных мероприятий.</w:t>
      </w:r>
    </w:p>
    <w:p w14:paraId="0000008B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Время консультирования не должно превышать 15 минут.</w:t>
      </w:r>
    </w:p>
    <w:p w14:paraId="0000008C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Личный прием граждан проводится руководителем контрольного органа.  </w:t>
      </w:r>
    </w:p>
    <w:p w14:paraId="0000008D">
      <w:pPr>
        <w:ind w:firstLine="709"/>
        <w:rPr>
          <w:color w:val="auto"/>
          <w:sz w:val="28"/>
          <w:szCs w:val="28"/>
          <w:u w:val="none"/>
        </w:rPr>
      </w:pPr>
      <w:r>
        <w:rPr>
          <w:sz w:val="28"/>
          <w:szCs w:val="28"/>
        </w:rPr>
        <w:t xml:space="preserve">Информация о месте приема, а также об установленных для приема днях и часах размещается на официальном сайте администрации сельского поселения </w:t>
      </w:r>
      <w:r>
        <w:rPr>
          <w:sz w:val="28"/>
          <w:szCs w:val="28"/>
        </w:rPr>
        <w:t>Селиярово</w:t>
      </w:r>
      <w:r>
        <w:rPr>
          <w:sz w:val="28"/>
          <w:szCs w:val="28"/>
        </w:rPr>
        <w:t xml:space="preserve"> </w:t>
      </w:r>
      <w:r>
        <w:fldChar w:fldCharType="begin"/>
      </w:r>
      <w:r>
        <w:instrText xml:space="preserve">HYPERLINK "http://hmrn.ru/raion/poseleniya/seliyarovo/" </w:instrText>
      </w:r>
      <w:r>
        <w:fldChar w:fldCharType="separate"/>
      </w:r>
      <w:r>
        <w:rPr>
          <w:rStyle w:val="Hyperlink"/>
          <w:rFonts w:eastAsia="Arial"/>
          <w:color w:val="auto"/>
          <w:sz w:val="28"/>
          <w:szCs w:val="28"/>
          <w:u w:val="none"/>
        </w:rPr>
        <w:t>http://hmrn.ru/raion/poseleniya/seliyarovo/</w:t>
      </w:r>
      <w:r>
        <w:fldChar w:fldCharType="end"/>
      </w:r>
      <w:r>
        <w:rPr>
          <w:color w:val="auto"/>
          <w:sz w:val="28"/>
          <w:szCs w:val="28"/>
          <w:u w:val="none"/>
        </w:rPr>
        <w:t>.</w:t>
      </w:r>
    </w:p>
    <w:p w14:paraId="0000008E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Консультирование в письменной форме осуществляется инспектором в сроки, установленные Федеральным законом от 2 мая 2006 года № 59-ФЗ «О порядке рассмотрения обращений граждан Российской Федерации», в следующих случаях:</w:t>
      </w:r>
    </w:p>
    <w:p w14:paraId="0000008F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1) контролируемым лицом представлен письменный запрос о предоставлении письменного ответа по вопросам консультирования;</w:t>
      </w:r>
    </w:p>
    <w:p w14:paraId="00000090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2) за время консультирования предоставить ответ на поставленные вопросы невозможно;</w:t>
      </w:r>
    </w:p>
    <w:p w14:paraId="00000091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 ответ на поставленные вопросы требует дополнительного запроса сведений от иных органов власти или лиц.</w:t>
      </w:r>
    </w:p>
    <w:p w14:paraId="00000092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Если поставленные во время консультирования вопросы не относятся к осуществляемому виду муниципального контроля даются необходимые разъяснения по обращению в соответствующие органы государственной власти, органы местного самоуправления или к соответствующим должностным лицам.</w:t>
      </w:r>
    </w:p>
    <w:p w14:paraId="00000093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 осуществлении консультирования должностное лицо контрольного органа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00000094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контрольного органа,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00000095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Информация, ставшая известной должностному лицу контрольного органа в ходе консультирования, не может использоваться контрольным органом в целях оценки контролируемого лица по вопросам соблюдения обязательных требований.</w:t>
      </w:r>
    </w:p>
    <w:p w14:paraId="00000096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Контрольный орган осуществляет учет консультирований, который </w:t>
      </w:r>
      <w:r>
        <w:rPr>
          <w:sz w:val="28"/>
          <w:szCs w:val="28"/>
        </w:rPr>
        <w:t>проводится посредством внесения соответствующей записи в журнал консультирования.</w:t>
      </w:r>
    </w:p>
    <w:p w14:paraId="000000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случае, поступления однотипных обращений контролируемых лиц и их представителей, консультирование по таким обращениям осуществляется посредством размещения на официальном сайте администрации сельского поселения</w:t>
      </w:r>
      <w:r>
        <w:rPr>
          <w:sz w:val="28"/>
          <w:szCs w:val="28"/>
        </w:rPr>
        <w:t xml:space="preserve"> Селиярово </w:t>
      </w:r>
      <w:r>
        <w:fldChar w:fldCharType="begin"/>
      </w:r>
      <w:r>
        <w:instrText xml:space="preserve">HYPERLINK "http://hmrn.ru/raion/poseleniya/seliyarovo/" </w:instrText>
      </w:r>
      <w:r>
        <w:fldChar w:fldCharType="separate"/>
      </w:r>
      <w:r>
        <w:rPr>
          <w:rStyle w:val="Hyperlink"/>
          <w:rFonts w:eastAsia="Arial"/>
          <w:color w:val="auto"/>
          <w:sz w:val="28"/>
          <w:szCs w:val="28"/>
          <w:u w:val="none"/>
        </w:rPr>
        <w:t>http://hmrn.ru/raion/poseleniya/seliyarovo/</w:t>
      </w:r>
      <w:r>
        <w:fldChar w:fldCharType="end"/>
      </w:r>
      <w:r>
        <w:rPr>
          <w:sz w:val="28"/>
          <w:szCs w:val="28"/>
        </w:rPr>
        <w:t xml:space="preserve"> письменного разъяснения, подписанного уполномоченным должностным лицом.</w:t>
      </w:r>
    </w:p>
    <w:p w14:paraId="00000098">
      <w:pPr>
        <w:widowControl w:val="off"/>
        <w:spacing w:line="276" w:lineRule="auto"/>
        <w:jc w:val="both"/>
        <w:rPr>
          <w:sz w:val="24"/>
          <w:szCs w:val="24"/>
        </w:rPr>
      </w:pPr>
      <w:r>
        <w:rPr>
          <w:sz w:val="28"/>
          <w:szCs w:val="28"/>
        </w:rPr>
        <w:tab/>
        <w:t>3.8. Профилактический визит проводится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14:paraId="00000099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14:paraId="0000009A">
      <w:pPr>
        <w:spacing w:line="276" w:lineRule="auto"/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Профилактический визит проводится по инициативе контрольного органа (обязательный профилактический визит) или по инициативе контролируемого лица. </w:t>
      </w:r>
    </w:p>
    <w:p w14:paraId="0000009B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Обязательный профилактический визит проводится в </w:t>
      </w:r>
      <w:r>
        <w:rPr>
          <w:color w:val="000000"/>
          <w:sz w:val="28"/>
          <w:szCs w:val="28"/>
        </w:rPr>
        <w:t xml:space="preserve">порядке </w:t>
      </w:r>
      <w:r>
        <w:rPr>
          <w:color w:val="000000"/>
          <w:sz w:val="28"/>
          <w:szCs w:val="28"/>
        </w:rPr>
        <w:br w:type="textWrapping"/>
      </w:r>
      <w:r>
        <w:rPr>
          <w:color w:val="000000"/>
          <w:sz w:val="28"/>
          <w:szCs w:val="28"/>
        </w:rPr>
        <w:t>и случаях, предусмотренных статьями 25, 52.1</w:t>
      </w:r>
      <w:r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№ 248-ФЗ.</w:t>
      </w:r>
    </w:p>
    <w:p w14:paraId="0000009C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Периодичность проведения обязательных профилактических визитов в отношении объектов контроля, отнесенных к определенным категориям риска, устанавливаются соразмерно рискам причинения вреда (ущерба).</w:t>
      </w:r>
    </w:p>
    <w:p w14:paraId="0000009D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rFonts w:ascii="TimesNewRoman" w:cs="TimesNewRoman" w:eastAsia="TimesNewRoman" w:hAnsi="TimesNewRoman"/>
          <w:color w:val="000000"/>
          <w:sz w:val="28"/>
          <w:szCs w:val="28"/>
        </w:rPr>
        <w:t>Периодичность проведения обязательных профилактических визитов составляет:</w:t>
      </w:r>
      <w:r>
        <w:rPr>
          <w:sz w:val="28"/>
          <w:szCs w:val="28"/>
        </w:rPr>
        <w:t xml:space="preserve"> </w:t>
      </w:r>
    </w:p>
    <w:p w14:paraId="0000009E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для объектов контроля, отнесенных к категории среднего и умеренного риска, периодичность устанавливается Правительством Российской Федерации; </w:t>
      </w:r>
    </w:p>
    <w:p w14:paraId="0000009F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для объектов контроля, отнесенных к категории низкого риска – обязательные профилактические мероприятия не проводятся.</w:t>
      </w:r>
    </w:p>
    <w:p w14:paraId="000000A0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 xml:space="preserve">По окончании проведения обязательного профилактического визита </w:t>
      </w:r>
      <w:r>
        <w:rPr>
          <w:sz w:val="28"/>
          <w:szCs w:val="28"/>
        </w:rPr>
        <w:t>должностным лицом составляется акт о проведении обязательного профилактического визита в порядке, предусмотренном статьей 90 Федерального закона № 248-ФЗ.</w:t>
      </w:r>
    </w:p>
    <w:p w14:paraId="000000A1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 xml:space="preserve">Предписание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статьей 90.1 Федерального закона № 248-ФЗ. </w:t>
      </w:r>
    </w:p>
    <w:p w14:paraId="000000A2">
      <w:pPr>
        <w:widowControl w:val="off"/>
        <w:spacing w:line="276" w:lineRule="auto"/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>Профилактический визит по инициативе контролируемого лица проводится в соответствии с требованиями статьи 52.2 Федерального закона № 248-ФЗ.</w:t>
      </w:r>
      <w:r>
        <w:rPr>
          <w:sz w:val="24"/>
          <w:szCs w:val="24"/>
        </w:rPr>
        <w:t xml:space="preserve"> </w:t>
      </w:r>
    </w:p>
    <w:p w14:paraId="000000A3">
      <w:pPr>
        <w:spacing w:line="276" w:lineRule="auto"/>
        <w:ind w:firstLine="709"/>
        <w:jc w:val="both"/>
        <w:rPr>
          <w:i/>
          <w:sz w:val="28"/>
          <w:szCs w:val="24"/>
        </w:rPr>
      </w:pPr>
    </w:p>
    <w:p w14:paraId="000000A4">
      <w:pPr>
        <w:widowControl w:val="off"/>
        <w:spacing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 xml:space="preserve">4. Осуществление муниципального контроля </w:t>
      </w:r>
    </w:p>
    <w:p w14:paraId="000000A5">
      <w:pPr>
        <w:widowControl w:val="off"/>
        <w:spacing w:line="276" w:lineRule="auto"/>
        <w:jc w:val="center"/>
        <w:rPr>
          <w:sz w:val="28"/>
          <w:szCs w:val="28"/>
        </w:rPr>
      </w:pPr>
    </w:p>
    <w:p w14:paraId="000000A6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4.1. Муниципальный контроль со взаимодействием с контролируемым лицом осуществляется при проведении следующих контрольных мероприятий:</w:t>
      </w:r>
    </w:p>
    <w:p w14:paraId="000000A7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1) инспекционный визит;</w:t>
      </w:r>
    </w:p>
    <w:p w14:paraId="000000A8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2) рейдовый осмотр;</w:t>
      </w:r>
    </w:p>
    <w:p w14:paraId="000000A9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 документарная проверка;</w:t>
      </w:r>
    </w:p>
    <w:p w14:paraId="000000AA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4) выездная проверка.</w:t>
      </w:r>
    </w:p>
    <w:p w14:paraId="000000AB">
      <w:pPr>
        <w:widowControl w:val="off"/>
        <w:spacing w:line="276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sz w:val="28"/>
          <w:szCs w:val="28"/>
        </w:rPr>
        <w:t>4.2. Инспекционный визит, рейдовый осмотр, выездная проверка могут проводиться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000000AC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4.3. При проведении контрольных мероприятий в рамках осуществления муниципального контроля должностное лицо контрольного органа:</w:t>
      </w:r>
    </w:p>
    <w:p w14:paraId="000000AD">
      <w:pPr>
        <w:widowControl w:val="off"/>
        <w:spacing w:line="276" w:lineRule="auto"/>
        <w:jc w:val="both"/>
        <w:rPr/>
      </w:pPr>
      <w:r>
        <w:rPr>
          <w:sz w:val="28"/>
          <w:szCs w:val="28"/>
        </w:rPr>
        <w:tab/>
        <w:t>совершает действия, предусмотренные частью 2 статьи 29 Федерального закона № 248-ФЗ;</w:t>
      </w:r>
    </w:p>
    <w:p w14:paraId="000000AE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принимает решения, предусмотренные частью 2 статьи 90 Федерального закона № 248-ФЗ;</w:t>
      </w:r>
    </w:p>
    <w:p w14:paraId="000000AF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использует для фиксации доказательств нарушений обязательных требований фотосъемку, аудио- и (или) видеозапись, если совершение указанных действий не запрещено федеральными законами. </w:t>
      </w:r>
    </w:p>
    <w:p w14:paraId="000000B0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 xml:space="preserve">4.4. В целях фиксации доказательств нарушений обязательных требований могут быть использованы любые имеющиеся в распоряжении технические средства фотосъемки, аудио- и видеозаписи, в том числе с </w:t>
      </w:r>
      <w:r>
        <w:rPr>
          <w:sz w:val="28"/>
          <w:szCs w:val="28"/>
        </w:rPr>
        <w:t>использованием мобильного приложения «Инспектор». Решение о необходимости использования собственных технических средств, в том числе электронных вычислительных машин и электронных носителей информации, копировальных аппаратов, сканеров, телефонов (в том числе сотовой связи), средств аудио- и видеозаписи, фотоаппаратов, необходимых для проведения контрольных мероприятий, фотосъемки, аудио- и видеозаписи, иных способов фиксации доказательств нарушений обязательных требований при осуществлении контрольных мероприятий принимается инспекторами самостоятельно.</w:t>
      </w:r>
    </w:p>
    <w:p w14:paraId="000000B1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Информация о проведении фотосъемки, аудио- и видеозаписи и использованных для этих целей технических средствах отражается в акте контрольного мероприятия.</w:t>
      </w:r>
    </w:p>
    <w:p w14:paraId="000000B2">
      <w:pPr>
        <w:widowControl w:val="off"/>
        <w:spacing w:line="276" w:lineRule="auto"/>
        <w:ind w:firstLine="720"/>
        <w:jc w:val="both"/>
        <w:rPr>
          <w:bCs/>
          <w:i/>
          <w:sz w:val="24"/>
          <w:szCs w:val="24"/>
        </w:rPr>
      </w:pPr>
      <w:r>
        <w:rPr>
          <w:sz w:val="28"/>
          <w:szCs w:val="28"/>
        </w:rPr>
        <w:t>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требований. Аудио- и видеозапись осуществляется в ходе проведения контрольного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 Результаты проведения фотосъемки, аудио- и видеозаписи являются приложением к акту.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14:paraId="000000B3">
      <w:pPr>
        <w:widowControl w:val="off"/>
        <w:spacing w:line="276" w:lineRule="auto"/>
        <w:jc w:val="both"/>
        <w:rPr>
          <w:bCs/>
          <w:sz w:val="28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4"/>
        </w:rPr>
        <w:t xml:space="preserve">4.5. При осуществлении муниципального контроля плановые контрольные мероприятия не проводятся. </w:t>
      </w:r>
    </w:p>
    <w:p w14:paraId="000000B4">
      <w:pPr>
        <w:widowControl w:val="off"/>
        <w:spacing w:line="276" w:lineRule="auto"/>
        <w:ind w:firstLine="720"/>
        <w:jc w:val="both"/>
        <w:rPr>
          <w:sz w:val="28"/>
          <w:szCs w:val="24"/>
        </w:rPr>
      </w:pPr>
      <w:r>
        <w:rPr>
          <w:iCs/>
          <w:sz w:val="28"/>
          <w:szCs w:val="24"/>
        </w:rPr>
        <w:t>4.6. Контрольные мероприятия осуществляются на внеплановой основе.</w:t>
      </w:r>
    </w:p>
    <w:p w14:paraId="000000B5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4.7. Для проведения контрольного мероприятия, предусматривающего взаимодействие с контролируемым лицом, а также документарной проверки, контрольный орган принимает решение о ее проведении, в котором указывает сведения, предусмотренные частью 1 статьи 64 Федерального закона № 248-ФЗ.</w:t>
      </w:r>
    </w:p>
    <w:p w14:paraId="000000B6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4.8. Инспекционный визит проводится в порядке и в сроки, установленные статьей 70 Федерального закона № 248-ФЗ.</w:t>
      </w:r>
    </w:p>
    <w:p w14:paraId="000000B7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ходе инспекционного визита могут совершаться следующие контрольные действия:</w:t>
      </w:r>
    </w:p>
    <w:p w14:paraId="000000B8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1) осмотр;</w:t>
      </w:r>
    </w:p>
    <w:p w14:paraId="000000B9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2) опрос;</w:t>
      </w:r>
    </w:p>
    <w:p w14:paraId="000000BA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3) получение письменных объяснений;</w:t>
      </w:r>
    </w:p>
    <w:p w14:paraId="000000BB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4) инструментальное обследование;</w:t>
      </w:r>
    </w:p>
    <w:p w14:paraId="000000BC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5) 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000000BD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Внеплановый инспекционный визит может проводиться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№ 248-ФЗ.</w:t>
      </w:r>
    </w:p>
    <w:p w14:paraId="000000BE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4.9. Рейдовый осмотр проводится в порядке и в сроки, установленные статьей 71 Федерального закона № 248-ФЗ.</w:t>
      </w:r>
    </w:p>
    <w:p w14:paraId="000000BF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ходе рейдового осмотра могут совершаться следующие контрольные действия:</w:t>
      </w:r>
    </w:p>
    <w:p w14:paraId="000000C0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1) осмотр;</w:t>
      </w:r>
    </w:p>
    <w:p w14:paraId="000000C1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2) получение письменных объяснений;</w:t>
      </w:r>
    </w:p>
    <w:p w14:paraId="000000C2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3) истребование документов;</w:t>
      </w:r>
    </w:p>
    <w:p w14:paraId="000000C3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4) инструментальное обследование.</w:t>
      </w:r>
    </w:p>
    <w:p w14:paraId="000000C4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Рейдовый осмотр может проводиться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№ 248-ФЗ.</w:t>
      </w:r>
    </w:p>
    <w:p w14:paraId="000000C5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4.10. Документарная проверка проводится в порядке и в сроки, установленные статьей 72 Федерального закона № 248-ФЗ.</w:t>
      </w:r>
    </w:p>
    <w:p w14:paraId="000000C6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ходе документарной проверки могут совершаться следующие контрольные действия:</w:t>
      </w:r>
    </w:p>
    <w:p w14:paraId="000000C7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1) получение письменных объяснений;</w:t>
      </w:r>
    </w:p>
    <w:p w14:paraId="000000C8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2) истребование документов;</w:t>
      </w:r>
    </w:p>
    <w:p w14:paraId="000000C9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3) экспертиза.</w:t>
      </w:r>
    </w:p>
    <w:p w14:paraId="000000CA">
      <w:pPr>
        <w:pStyle w:val="NoSpacing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Внеплановая документарная проверка может проводиться только по согласованию с органами прокуратуры, за исключением случая ее проведения в соответствии с пунктами 3, 4, 6, 8 части 1 статьи 57 Федерального закона № 248-ФЗ.</w:t>
      </w:r>
    </w:p>
    <w:p w14:paraId="000000CB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540"/>
        <w:jc w:val="both"/>
        <w:rPr>
          <w:color w:val="ff0000"/>
          <w:sz w:val="24"/>
          <w:szCs w:val="24"/>
        </w:rPr>
      </w:pPr>
      <w:r>
        <w:rPr>
          <w:color w:val="ff0000"/>
          <w:sz w:val="28"/>
          <w:szCs w:val="28"/>
        </w:rPr>
        <w:tab/>
      </w:r>
      <w:r>
        <w:rPr>
          <w:sz w:val="28"/>
          <w:szCs w:val="28"/>
        </w:rPr>
        <w:t>4.11. В соответствии со статьей 73 Федерального закона № 248-ФЗ</w:t>
      </w:r>
      <w:r>
        <w:t xml:space="preserve"> </w:t>
      </w:r>
      <w:r>
        <w:rPr>
          <w:sz w:val="28"/>
          <w:szCs w:val="28"/>
        </w:rPr>
        <w:t xml:space="preserve">срок проведения выездной проверки не может превышать десять рабочих дней. В отношении одного субъекта малого предпринимательства общий </w:t>
      </w:r>
      <w:r>
        <w:rPr>
          <w:sz w:val="28"/>
          <w:szCs w:val="28"/>
        </w:rPr>
        <w:t xml:space="preserve">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микропредприятия, за исключением выездной проверки, основанием для проведения которой является пункт 6 части 1 статьи 57 Федерального закона № 248-ФЗ и которая для микропредприятия не может продолжаться более сорока часов. 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14:paraId="000000CC">
      <w:pPr>
        <w:spacing w:line="276" w:lineRule="auto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ab/>
        <w:t>В ходе выездной проверки могут совершаться следующие контрольные действия:</w:t>
      </w:r>
    </w:p>
    <w:p w14:paraId="000000CD">
      <w:pPr>
        <w:spacing w:line="276" w:lineRule="auto"/>
        <w:ind w:firstLine="720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1) осмотр;</w:t>
      </w:r>
    </w:p>
    <w:p w14:paraId="000000CE">
      <w:pPr>
        <w:spacing w:line="276" w:lineRule="auto"/>
        <w:ind w:firstLine="720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2) досмотр;</w:t>
      </w:r>
    </w:p>
    <w:p w14:paraId="000000CF">
      <w:pPr>
        <w:spacing w:line="276" w:lineRule="auto"/>
        <w:ind w:firstLine="720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3) получение письменных объяснений;</w:t>
      </w:r>
    </w:p>
    <w:p w14:paraId="000000D0">
      <w:pPr>
        <w:spacing w:line="276" w:lineRule="auto"/>
        <w:ind w:firstLine="720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4) истребование документов;</w:t>
      </w:r>
    </w:p>
    <w:p w14:paraId="000000D1">
      <w:pPr>
        <w:spacing w:line="276" w:lineRule="auto"/>
        <w:ind w:firstLine="720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5) инструментальное обследование.</w:t>
      </w:r>
    </w:p>
    <w:p w14:paraId="000000D2">
      <w:pPr>
        <w:pStyle w:val="Normal(Web)"/>
        <w:spacing w:before="0" w:after="0" w:line="276" w:lineRule="auto"/>
        <w:ind w:firstLine="720"/>
        <w:jc w:val="both"/>
        <w:rPr>
          <w:bCs/>
          <w:i/>
        </w:rPr>
      </w:pPr>
      <w:r>
        <w:rPr>
          <w:i/>
        </w:rPr>
        <w:t xml:space="preserve"> </w:t>
      </w:r>
      <w:r>
        <w:rPr>
          <w:sz w:val="28"/>
          <w:szCs w:val="28"/>
        </w:rPr>
        <w:t>Внеплановая выездная проверка может проводиться только по согласованию с органами прокуратуры, за исключением случаев ее проведения в соответствии с пунктами 3, 4, 6, 8 части 1, частью 3 статьи 57 и частью 12 и 12.1 статьи 66 Федерального закона № 248-ФЗ.</w:t>
      </w:r>
    </w:p>
    <w:p w14:paraId="000000D3">
      <w:pPr>
        <w:spacing w:line="276" w:lineRule="auto"/>
        <w:jc w:val="both"/>
        <w:rPr/>
      </w:pPr>
      <w:r>
        <w:rPr>
          <w:sz w:val="28"/>
          <w:szCs w:val="28"/>
        </w:rPr>
        <w:tab/>
        <w:t>4.12. Без взаимодействия с контролируемым лицом осуществляются следующие контрольные мероприятия</w:t>
      </w:r>
      <w:r>
        <w:rPr>
          <w:sz w:val="24"/>
          <w:szCs w:val="24"/>
        </w:rPr>
        <w:t>:</w:t>
      </w:r>
      <w:r>
        <w:rPr>
          <w:sz w:val="28"/>
          <w:szCs w:val="28"/>
        </w:rPr>
        <w:t xml:space="preserve"> </w:t>
      </w:r>
    </w:p>
    <w:p w14:paraId="000000D4">
      <w:pPr>
        <w:widowControl w:val="off"/>
        <w:spacing w:line="276" w:lineRule="auto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1) наблюдение за соблюдением обязательных требований;</w:t>
      </w:r>
    </w:p>
    <w:p w14:paraId="000000D5">
      <w:pPr>
        <w:widowControl w:val="off"/>
        <w:spacing w:line="276" w:lineRule="auto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2) выездное обследование.</w:t>
      </w:r>
    </w:p>
    <w:p w14:paraId="000000D6">
      <w:pPr>
        <w:widowControl w:val="off"/>
        <w:spacing w:line="276" w:lineRule="auto"/>
        <w:jc w:val="both"/>
        <w:rPr/>
      </w:pPr>
      <w:r>
        <w:rPr>
          <w:sz w:val="28"/>
          <w:szCs w:val="28"/>
        </w:rPr>
        <w:tab/>
        <w:t>Контрольные мероприятия без взаимодействия проводятся на основании заданий уполномоченных должностных лиц контрольного органа, включая задания, содержащиеся в планах работы контрольного органа.</w:t>
      </w:r>
    </w:p>
    <w:p w14:paraId="000000D7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4.13. Наблюдение за соблюдением обязательных требований (мониторинг безопасности) проводится в порядке, установленном статьей 74 Федерального закона № 248-ФЗ. </w:t>
      </w:r>
    </w:p>
    <w:p w14:paraId="000000D8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4.14. Выездное обследование проводится в порядке, установленном статьей 75 Федерального закона № 248-ФЗ.</w:t>
      </w:r>
    </w:p>
    <w:p w14:paraId="000000D9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ходе выездного обследования на общедоступных (открытых для посещения неограниченным кругом лиц) производственных объектах могут совершаться следующие контрольные действия:</w:t>
      </w:r>
    </w:p>
    <w:p w14:paraId="000000DA">
      <w:pPr>
        <w:widowControl w:val="off"/>
        <w:spacing w:line="276" w:lineRule="auto"/>
        <w:jc w:val="both"/>
        <w:rPr/>
      </w:pPr>
      <w:r>
        <w:rPr>
          <w:sz w:val="28"/>
          <w:szCs w:val="28"/>
        </w:rPr>
        <w:tab/>
        <w:t>1) осмотр;</w:t>
      </w:r>
    </w:p>
    <w:p w14:paraId="000000DB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2) инструментальное обследование (с применением видеозаписи).</w:t>
      </w:r>
    </w:p>
    <w:p w14:paraId="000000DC">
      <w:pPr>
        <w:widowControl w:val="off"/>
        <w:spacing w:line="276" w:lineRule="auto"/>
        <w:ind w:firstLine="720"/>
        <w:jc w:val="both"/>
        <w:rPr>
          <w:i/>
          <w:iCs/>
          <w:sz w:val="24"/>
          <w:szCs w:val="24"/>
        </w:rPr>
      </w:pPr>
      <w:r>
        <w:rPr>
          <w:sz w:val="28"/>
          <w:szCs w:val="28"/>
        </w:rPr>
        <w:t>4.15. Случаи, при наступлении которых контролируемое лицо представляет в контрольный орган информацию о невозможности присутствия при проведении контрольного мероприятия, в связи с чем его проведение переносится на срок, необходимый для устранения обстоятельств, послуживших поводом для обращения контролируемого лица:</w:t>
      </w:r>
      <w:r>
        <w:rPr>
          <w:i/>
          <w:iCs/>
          <w:sz w:val="24"/>
          <w:szCs w:val="24"/>
        </w:rPr>
        <w:t xml:space="preserve"> </w:t>
      </w:r>
    </w:p>
    <w:p w14:paraId="000000DD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катастрофа природного или техногенного характера;</w:t>
      </w:r>
    </w:p>
    <w:p w14:paraId="000000DE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эпидемия или эпизоотия;</w:t>
      </w:r>
    </w:p>
    <w:p w14:paraId="000000DF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введение чрезвычайного или военного положения.</w:t>
      </w:r>
    </w:p>
    <w:p w14:paraId="000000E0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Cs/>
          <w:sz w:val="28"/>
          <w:szCs w:val="28"/>
        </w:rPr>
        <w:t>4.16. Осмотр осуществляется в порядке, установленном статьей 76 Федерального закона № 248-ФЗ.</w:t>
      </w:r>
    </w:p>
    <w:p w14:paraId="000000E1">
      <w:pPr>
        <w:pStyle w:val="NoSpacing"/>
        <w:spacing w:line="276" w:lineRule="auto"/>
        <w:ind w:firstLine="720"/>
        <w:jc w:val="both"/>
        <w:rPr>
          <w:bCs/>
          <w:i/>
        </w:rPr>
      </w:pPr>
      <w:r>
        <w:rPr>
          <w:sz w:val="28"/>
          <w:szCs w:val="28"/>
        </w:rPr>
        <w:t>Осмотр может проводиться при осуществлении инспекционного визита, рейдового осмотра, выездной проверки и выездного обследования.</w:t>
      </w:r>
      <w:r>
        <w:rPr>
          <w:i/>
          <w:iCs/>
          <w:sz w:val="28"/>
          <w:szCs w:val="28"/>
        </w:rPr>
        <w:t xml:space="preserve">  </w:t>
      </w:r>
    </w:p>
    <w:p w14:paraId="000000E2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Осмотр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000000E3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4.17. Досмотр осуществляется в порядке, установленном статьей 77 Федерального закона № 248-ФЗ.</w:t>
      </w:r>
    </w:p>
    <w:p w14:paraId="000000E4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Досмотр </w:t>
      </w:r>
      <w:r>
        <w:rPr>
          <w:sz w:val="28"/>
          <w:szCs w:val="28"/>
        </w:rPr>
        <w:t>может проводиться при осуществлении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рейдового осмотра и выездной проверки.</w:t>
      </w:r>
      <w:r>
        <w:rPr>
          <w:bCs/>
          <w:sz w:val="28"/>
          <w:szCs w:val="28"/>
        </w:rPr>
        <w:t xml:space="preserve"> </w:t>
      </w:r>
    </w:p>
    <w:p w14:paraId="000000E5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>Досмотр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000000E6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>4.18.  Получение письменных объяснений осуществляется в порядке, установленном статьей 79 Федерального закона № 248-ФЗ.</w:t>
      </w:r>
    </w:p>
    <w:p w14:paraId="000000E7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Получение письменных объяснений может проводиться при осуществлении инспекционного визита, рейдового осмотра, документарной проверки, выездной проверки. </w:t>
      </w:r>
    </w:p>
    <w:p w14:paraId="000000E8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4.19. Истребование документов осуществляется в порядке, установленном статьей 80 Федерального закона № 248-ФЗ.</w:t>
      </w:r>
    </w:p>
    <w:p w14:paraId="000000E9">
      <w:pPr>
        <w:widowControl w:val="off"/>
        <w:spacing w:line="27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Истребование документов </w:t>
      </w:r>
      <w:r>
        <w:rPr>
          <w:sz w:val="28"/>
          <w:szCs w:val="28"/>
        </w:rPr>
        <w:t>может проводиться при осуществлении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инспекционного визита, рейдового осмотра, документарной проверки и выездной проверки</w:t>
      </w:r>
      <w:r>
        <w:rPr>
          <w:bCs/>
          <w:sz w:val="28"/>
          <w:szCs w:val="28"/>
        </w:rPr>
        <w:t xml:space="preserve">. </w:t>
      </w:r>
    </w:p>
    <w:p w14:paraId="000000EA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4.20.  Инструментальное обследование осуществляется в соответствии со статьей 82 Федерального закона № 248-ФЗ.</w:t>
      </w:r>
    </w:p>
    <w:p w14:paraId="000000EB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Инструментальное обследование может проводиться при осуществлении инспекционного визита, рейдового осмотра, выездной проверки, выездного обследования. </w:t>
      </w:r>
    </w:p>
    <w:p w14:paraId="000000EC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Инструментальное обследование осуществляется инспектором или специалистом, имеющими допуск к работе на специальном оборудовании, использованию технических приборов.</w:t>
      </w:r>
    </w:p>
    <w:p w14:paraId="000000ED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Контролируемое лицо или его представитель, присутствующие при проведении инструментального обследования, информируются должностными лицами контрольного органа о целях проведения инструментального обследования.</w:t>
      </w:r>
    </w:p>
    <w:p w14:paraId="000000EE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По результатам инструментального обследования инспектором или специалистом составляется протокол инструментального обследования, в котором указываются дата и место его составления, должность, фамилия и инициалы должностного лица контрольного органа, специалиста, составивших протокол, сведения о контролируемом лице или его представителе, присутствовавших при проведении инструментального обследования.</w:t>
      </w:r>
    </w:p>
    <w:p w14:paraId="000000EF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Информация о проведении инструментального обследования включается в акт контрольного мероприятия.</w:t>
      </w:r>
    </w:p>
    <w:p w14:paraId="000000F0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4.21. Экспертиза </w:t>
      </w:r>
      <w:r>
        <w:rPr>
          <w:bCs/>
          <w:sz w:val="28"/>
          <w:szCs w:val="28"/>
        </w:rPr>
        <w:t>осуществляется в соответствии со статьей 84 Федерального закона № 248-ФЗ.</w:t>
      </w:r>
    </w:p>
    <w:p w14:paraId="000000F1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Экспертиза может проводиться при осуществлении </w:t>
      </w:r>
      <w:r>
        <w:rPr>
          <w:sz w:val="28"/>
          <w:szCs w:val="28"/>
        </w:rPr>
        <w:t>документарной проверки</w:t>
      </w:r>
      <w:r>
        <w:rPr>
          <w:bCs/>
          <w:sz w:val="28"/>
          <w:szCs w:val="28"/>
        </w:rPr>
        <w:t xml:space="preserve">. </w:t>
      </w:r>
    </w:p>
    <w:p w14:paraId="000000F2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Экспертиза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000000F3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Проведение экспертизы осуществляется по поручению должностного лица контрольного органа экспертными организациями, аккредитованными в соответствии с законодательством Российской Федерации об аккредитации в национальной системе аккредитации, привлекаемыми к осуществлению экспертизы контрольными органами, либо экспертами, получившими статус эксперта в соответствии с общими требованиями, установленными Правительством Российской Федерации, в целях привлечения контрольным органом к осуществлению экспертизы.</w:t>
      </w:r>
    </w:p>
    <w:p w14:paraId="000000F4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При назначении и проведении экспертизы контролируемые лица имеют право:</w:t>
      </w:r>
    </w:p>
    <w:p w14:paraId="000000F5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информировать контрольный орган о наличии конфликта интересов у лиц, привлекаемых к осуществлению экспертизы;</w:t>
      </w:r>
    </w:p>
    <w:p w14:paraId="000000F6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предлагать дополнительные вопросы для получения по ним экспертного заключения, а также уточнять формулировки поставленных вопросов;</w:t>
      </w:r>
    </w:p>
    <w:p w14:paraId="000000F7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присутствовать с разрешения должностного лица контрольного органа при осуществлении экспертизы и давать объяснения эксперту;</w:t>
      </w:r>
    </w:p>
    <w:p w14:paraId="000000F8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знакомиться с экспертным заключением.</w:t>
      </w:r>
    </w:p>
    <w:p w14:paraId="000000F9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Экспертиза осуществляется по месту осуществления деятельности контрольного органа, экспертов, экспертных организаций.</w:t>
      </w:r>
    </w:p>
    <w:p w14:paraId="000000FA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Экспертиза проводится в следующем порядке:</w:t>
      </w:r>
    </w:p>
    <w:p w14:paraId="000000FB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отбор проб (образцов);</w:t>
      </w:r>
    </w:p>
    <w:p w14:paraId="000000FC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проведение исследования (испытаний) и измерений (необходимость их проведения устанавливается экспертом и (или) экспертной организацией);</w:t>
      </w:r>
    </w:p>
    <w:p w14:paraId="000000FD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проведение экспертизы отобранной пробы (образца);</w:t>
      </w:r>
    </w:p>
    <w:p w14:paraId="000000FE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оформление результатов проведения экспертизы и подписание экспертного заключения (в 3 экземплярах) экспертом и (или) экспертной организацией.</w:t>
      </w:r>
    </w:p>
    <w:p w14:paraId="000000FF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Экспертное заключение приобщается к акту контрольного мероприятия.</w:t>
      </w:r>
    </w:p>
    <w:p w14:paraId="00000100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При невозможности транспортировки образца исследования к месту работы эксперта должностное лицо обеспечивает эксперту беспрепятственный доступ к образцу и необходимые условия для исследования.</w:t>
      </w:r>
    </w:p>
    <w:p w14:paraId="00000101">
      <w:pPr>
        <w:widowControl w:val="off"/>
        <w:spacing w:line="276" w:lineRule="auto"/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Место осуществления экспертизы определяется должностным лицом, которое проводит контрольное мероприятие.</w:t>
      </w:r>
    </w:p>
    <w:p w14:paraId="00000102">
      <w:pPr>
        <w:widowControl w:val="off"/>
        <w:spacing w:line="276" w:lineRule="auto"/>
        <w:jc w:val="center"/>
        <w:rPr>
          <w:b/>
          <w:sz w:val="28"/>
          <w:szCs w:val="28"/>
        </w:rPr>
      </w:pPr>
    </w:p>
    <w:p w14:paraId="00000103">
      <w:pPr>
        <w:widowControl w:val="off"/>
        <w:spacing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>5. Результаты контрольного мероприятия</w:t>
      </w:r>
    </w:p>
    <w:p w14:paraId="00000104">
      <w:pPr>
        <w:widowControl w:val="off"/>
        <w:spacing w:line="276" w:lineRule="auto"/>
        <w:jc w:val="center"/>
        <w:rPr>
          <w:i/>
          <w:sz w:val="28"/>
          <w:szCs w:val="28"/>
        </w:rPr>
      </w:pPr>
    </w:p>
    <w:p w14:paraId="0000010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По результатам контрольных мероприятий контрольный орган принимает решения и оформляет их в соответствии с главой 16 Федерального закона № 248-ФЗ.</w:t>
      </w:r>
    </w:p>
    <w:p w14:paraId="0000010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5.2. По окончании проведения контрольного мероприятия,</w:t>
      </w:r>
      <w:r>
        <w:t xml:space="preserve"> </w:t>
      </w:r>
      <w:r>
        <w:rPr>
          <w:sz w:val="28"/>
          <w:szCs w:val="28"/>
        </w:rPr>
        <w:t xml:space="preserve">предусматривающего взаимодействие с контролируемым лицом, должностное лицо контрольного органа составляет соответствующий акт. </w:t>
      </w:r>
      <w:r>
        <w:rPr>
          <w:sz w:val="28"/>
          <w:szCs w:val="28"/>
        </w:rPr>
        <w:tab/>
        <w:t xml:space="preserve">В случае, если по результатам проведения такого мероприятия выявлено нарушение обязательных требований, в акте должно быть </w:t>
      </w:r>
      <w:r>
        <w:rPr>
          <w:sz w:val="28"/>
          <w:szCs w:val="28"/>
        </w:rPr>
        <w:t xml:space="preserve">указано, какое именно обязательное требование нарушено, каким нормативным правовым актом и его структурной единицей оно установлено. </w:t>
      </w:r>
    </w:p>
    <w:p w14:paraId="00000107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 </w:t>
      </w:r>
    </w:p>
    <w:p w14:paraId="00000108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иные материалы, являющиеся доказательствами нарушения обязательных требований, в том числе заполненные при проведении контрольного мероприятия проверочные листы, приобщаются к акту. </w:t>
      </w:r>
    </w:p>
    <w:p w14:paraId="00000109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5.3. </w:t>
      </w:r>
      <w:r>
        <w:rPr>
          <w:iCs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 либо не позднее дня, следующего за днем окончания проведения такого мероприятия, если составление акта на месте проведения такого мероприятия невозможно по причинам, установленным Федеральным законом № 248-ФЗ, если иной порядок оформления акта не установлен Федеральным законом № 248-ФЗ или Правительством Российской Федерации.</w:t>
      </w:r>
      <w:r>
        <w:rPr>
          <w:sz w:val="28"/>
          <w:szCs w:val="28"/>
        </w:rPr>
        <w:t xml:space="preserve"> </w:t>
      </w:r>
    </w:p>
    <w:p w14:paraId="0000010A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5.4. Акт контрольного мероприятия, проведение которого было согласовано органами прокуратуры, направляется в органы прокуратуры посредством ЕРКНМ непосредственно после его оформления.</w:t>
      </w:r>
    </w:p>
    <w:p w14:paraId="0000010B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5.5. Документы, оформляемые контрольным органом при осуществлении муниципального контроля, а также специалистами, экспертами, привлекаемыми к проведению контрольных мероприятий, составляются в форме электронного документа и подписываются усиленной квалифицированной электронной подписью.</w:t>
      </w:r>
    </w:p>
    <w:p w14:paraId="0000010C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5.6. В случае проведения контрольных мероприятий с использованием мобильного приложения «Инспектор» либо составления акта контрольного мероприятия без взаимодействия, а также в случае, если составление акта по результатам контрольного мероприятия на месте его проведения невозможно по причине совершения контрольных действий, предусмотренных пунктами 6 – 9 части 1 статьи 65 Федерального закона № 248-ФЗ, или в иных случаях, контрольный орган направляет акт контролируемому лицу в порядке, установленном статьей 21 Федерального закона № 248-ФЗ.</w:t>
      </w:r>
    </w:p>
    <w:p w14:paraId="0000010D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5.7. В случае невозможности составления акта на месте проведения контрольного мероприятия в день окончания проведения такого </w:t>
      </w:r>
      <w:r>
        <w:rPr>
          <w:sz w:val="28"/>
          <w:szCs w:val="28"/>
        </w:rPr>
        <w:t>мероприятия в соответствии с частью 3 статьи 87 Федерального закона                             № 248-ФЗ контролируемое лицо не подписывает акт и считается получившим акт в случае его размещения в ЕРКНМ и получения уведомления об этом в порядке, предусмотренном пунктом 2 части 5 статьи 21 Федерального закона № 248-ФЗ.</w:t>
      </w:r>
    </w:p>
    <w:p w14:paraId="0000010E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5.8. В случае выявления при проведении контрольного мероприятия нарушений обязательных требований контролируемым лицом контрольный орган принимает решения в соответствии с частью 2 статьи 90 Федерального закона № 248-ФЗ.</w:t>
      </w:r>
    </w:p>
    <w:p w14:paraId="0000010F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5.9. Предписание об устранении выявленных нарушений обязательных требований выдается контролируемому лицу в случае, если выявленные нарушения обязательных требований не устранены до окончания проведения контрольного мероприятия, обязательного профилактического визита.</w:t>
      </w:r>
    </w:p>
    <w:p w14:paraId="00000110">
      <w:pPr>
        <w:widowControl w:val="off"/>
        <w:spacing w:line="276" w:lineRule="auto"/>
        <w:ind w:firstLine="720"/>
        <w:jc w:val="both"/>
        <w:rPr>
          <w:bCs/>
          <w:i/>
          <w:sz w:val="28"/>
          <w:szCs w:val="28"/>
        </w:rPr>
      </w:pPr>
      <w:r>
        <w:rPr>
          <w:iCs/>
          <w:sz w:val="28"/>
          <w:szCs w:val="28"/>
        </w:rPr>
        <w:t>5.10. Досудебный порядок подачи жалоб, установленный главой 9 Федерального закона № 248-ФЗ, при осуществлении муниципального контроля не применяется.</w:t>
      </w:r>
    </w:p>
    <w:p w14:paraId="00000111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</w:p>
    <w:p w14:paraId="00000112">
      <w:pPr>
        <w:widowControl w:val="off"/>
        <w:spacing w:line="276" w:lineRule="auto"/>
        <w:ind w:firstLine="720"/>
        <w:jc w:val="both"/>
        <w:rPr>
          <w:bCs/>
          <w:sz w:val="28"/>
          <w:szCs w:val="28"/>
        </w:rPr>
      </w:pPr>
    </w:p>
    <w:p w14:paraId="00000113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4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5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6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7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8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9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A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B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C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D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E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F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20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21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22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23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24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25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26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Приложение 1</w:t>
      </w:r>
    </w:p>
    <w:p w14:paraId="00000127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к Положению о муниципальном контроле в сфере благоустройства</w:t>
      </w:r>
    </w:p>
    <w:p w14:paraId="00000128">
      <w:pPr>
        <w:widowControl w:val="off"/>
        <w:spacing w:line="276" w:lineRule="auto"/>
        <w:jc w:val="right"/>
        <w:rPr>
          <w:b/>
          <w:sz w:val="24"/>
          <w:szCs w:val="24"/>
        </w:rPr>
      </w:pPr>
      <w:r>
        <w:rPr>
          <w:sz w:val="28"/>
          <w:szCs w:val="28"/>
        </w:rPr>
        <w:t xml:space="preserve">на территории сельского поселения </w:t>
      </w:r>
      <w:r>
        <w:rPr>
          <w:sz w:val="28"/>
          <w:szCs w:val="28"/>
        </w:rPr>
        <w:t>Селиярово</w:t>
      </w:r>
    </w:p>
    <w:p w14:paraId="00000129">
      <w:pPr>
        <w:widowControl w:val="off"/>
        <w:spacing w:line="276" w:lineRule="auto"/>
        <w:jc w:val="center"/>
        <w:rPr>
          <w:b/>
          <w:bCs/>
          <w:sz w:val="28"/>
          <w:szCs w:val="28"/>
        </w:rPr>
      </w:pPr>
    </w:p>
    <w:p w14:paraId="0000012A">
      <w:pPr>
        <w:widowControl w:val="off"/>
        <w:spacing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 xml:space="preserve">ПЕРЕЧЕНЬ </w:t>
      </w:r>
    </w:p>
    <w:p w14:paraId="0000012B">
      <w:pPr>
        <w:widowControl w:val="off"/>
        <w:spacing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>ИНДИКИТОРОВ РИСКА НАРУШЕНИЯ ОБЯЗАТЕЛЬНЫХ ТРЕБОВАНИЙ (далее – индикаторы риска)</w:t>
      </w:r>
    </w:p>
    <w:p w14:paraId="0000012C">
      <w:pPr>
        <w:widowControl w:val="off"/>
        <w:spacing w:line="276" w:lineRule="auto"/>
        <w:ind w:firstLine="720"/>
        <w:jc w:val="both"/>
        <w:rPr>
          <w:color w:val="000000"/>
          <w:sz w:val="28"/>
          <w:szCs w:val="28"/>
        </w:rPr>
      </w:pPr>
    </w:p>
    <w:p w14:paraId="0000012D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следующие индикаторы риска</w:t>
      </w:r>
      <w:r>
        <w:rPr>
          <w:sz w:val="28"/>
          <w:szCs w:val="28"/>
        </w:rPr>
        <w:t>:</w:t>
      </w:r>
    </w:p>
    <w:p w14:paraId="0000012E">
      <w:pPr>
        <w:pStyle w:val="ListParagraph"/>
        <w:numPr>
          <w:ilvl w:val="0"/>
          <w:numId w:val="2"/>
        </w:numPr>
        <w:spacing w:line="276" w:lineRule="auto"/>
        <w:ind w:left="142" w:firstLine="567"/>
        <w:jc w:val="both"/>
        <w:rPr>
          <w:sz w:val="28"/>
          <w:szCs w:val="24"/>
        </w:rPr>
      </w:pPr>
      <w:r>
        <w:rPr>
          <w:sz w:val="28"/>
          <w:szCs w:val="24"/>
        </w:rPr>
        <w:t>получение результатов работы средств фотовидеофиксации, в том числе в порядке межведомственного информационного взаимодействия, свидетельствующих о двух и более в течение одного месяца признаках несоответствия и (или) отклонения от параметров, установленных правилами благоустройства.</w:t>
      </w:r>
    </w:p>
    <w:p w14:paraId="0000012F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0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1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2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3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4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5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6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7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8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9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A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B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C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D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E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F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40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41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42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43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44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45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Приложение 2</w:t>
      </w:r>
    </w:p>
    <w:p w14:paraId="00000146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к Положению о муниципальном контроле в сфере благоустройства</w:t>
      </w:r>
    </w:p>
    <w:p w14:paraId="00000147">
      <w:pPr>
        <w:widowControl w:val="off"/>
        <w:spacing w:line="276" w:lineRule="auto"/>
        <w:jc w:val="right"/>
        <w:rPr>
          <w:b/>
          <w:sz w:val="24"/>
          <w:szCs w:val="24"/>
        </w:rPr>
      </w:pPr>
      <w:r>
        <w:rPr>
          <w:sz w:val="28"/>
          <w:szCs w:val="28"/>
        </w:rPr>
        <w:t xml:space="preserve">на территории сельского поселения </w:t>
      </w:r>
      <w:r>
        <w:rPr>
          <w:sz w:val="28"/>
          <w:szCs w:val="28"/>
        </w:rPr>
        <w:t>Селиярово</w:t>
      </w:r>
    </w:p>
    <w:p w14:paraId="00000148">
      <w:pPr>
        <w:widowControl w:val="off"/>
        <w:spacing w:line="276" w:lineRule="auto"/>
        <w:jc w:val="right"/>
        <w:rPr>
          <w:sz w:val="28"/>
          <w:szCs w:val="28"/>
        </w:rPr>
      </w:pPr>
    </w:p>
    <w:p w14:paraId="00000149">
      <w:pPr>
        <w:widowControl w:val="off"/>
        <w:spacing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 xml:space="preserve">ПОКАЗАТЕЛИ РЕЗУЛЬТАТИВНОСТИ И ЭФФЕКТИВНОСТИ </w:t>
      </w:r>
    </w:p>
    <w:p w14:paraId="0000014A">
      <w:pPr>
        <w:widowControl w:val="off"/>
        <w:spacing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 xml:space="preserve">И ИХ ЦЕЛЕВЫЕ ЗНАЧЕНИЯ </w:t>
      </w:r>
    </w:p>
    <w:p w14:paraId="0000014B">
      <w:pPr>
        <w:widowControl w:val="off"/>
        <w:spacing w:line="276" w:lineRule="auto"/>
        <w:jc w:val="both"/>
        <w:rPr>
          <w:i/>
          <w:sz w:val="8"/>
          <w:szCs w:val="8"/>
        </w:rPr>
      </w:pPr>
    </w:p>
    <w:p w14:paraId="0000014C">
      <w:pPr>
        <w:widowControl w:val="off"/>
        <w:spacing w:line="276" w:lineRule="auto"/>
        <w:jc w:val="both"/>
        <w:rPr>
          <w:sz w:val="24"/>
          <w:szCs w:val="24"/>
        </w:rPr>
      </w:pP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ab/>
      </w:r>
    </w:p>
    <w:p w14:paraId="0000014D">
      <w:pPr>
        <w:pStyle w:val="NoSpacing"/>
        <w:spacing w:line="276" w:lineRule="auto"/>
        <w:ind w:firstLine="708"/>
        <w:jc w:val="both"/>
        <w:rPr/>
      </w:pPr>
      <w:r>
        <w:rPr>
          <w:sz w:val="28"/>
          <w:szCs w:val="28"/>
        </w:rPr>
        <w:t>1. Оценка результативности и эффективности деятельности контрольного органа в части осуществления муниципального контроля в сфере благоустройства осуществляется на основе системы показателей результативности и эффективности.</w:t>
      </w:r>
    </w:p>
    <w:p w14:paraId="0000014E">
      <w:pPr>
        <w:pStyle w:val="NoSpacing"/>
        <w:spacing w:line="276" w:lineRule="auto"/>
        <w:ind w:firstLine="708"/>
        <w:jc w:val="both"/>
        <w:rPr/>
      </w:pPr>
      <w:r>
        <w:rPr>
          <w:sz w:val="28"/>
          <w:szCs w:val="28"/>
        </w:rPr>
        <w:t>2. В систему показателей результативности и эффективности деятельности контрольного органа входят:</w:t>
      </w:r>
    </w:p>
    <w:p w14:paraId="0000014F">
      <w:pPr>
        <w:pStyle w:val="NoSpacing"/>
        <w:spacing w:line="276" w:lineRule="auto"/>
        <w:ind w:firstLine="708"/>
        <w:jc w:val="both"/>
        <w:rPr/>
      </w:pPr>
      <w:r>
        <w:rPr>
          <w:sz w:val="28"/>
          <w:szCs w:val="28"/>
        </w:rPr>
        <w:t>- ключевые показатели вида контроля, отражающие уровень минимизации вреда (ущерба) охраняемым законом ценностям, уровень устранения риска причинения вреда (ущерба) в соответствующей сфере деятельности, по которым устанавливаются целевые (плановые) значения и достижение которых должен обеспечить контрольный орган;</w:t>
      </w:r>
    </w:p>
    <w:p w14:paraId="00000150">
      <w:pPr>
        <w:pStyle w:val="NoSpacing"/>
        <w:spacing w:line="276" w:lineRule="auto"/>
        <w:ind w:firstLine="708"/>
        <w:jc w:val="both"/>
        <w:rPr/>
      </w:pPr>
      <w:r>
        <w:rPr>
          <w:sz w:val="28"/>
          <w:szCs w:val="28"/>
        </w:rPr>
        <w:t>- индикативные показатели вида контроля, применяемые для мониторинга контрольной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лиц.</w:t>
      </w:r>
    </w:p>
    <w:p w14:paraId="00000151">
      <w:pPr>
        <w:pStyle w:val="NoSpacing"/>
        <w:spacing w:line="276" w:lineRule="auto"/>
        <w:ind w:firstLine="708"/>
        <w:jc w:val="both"/>
        <w:rPr/>
      </w:pPr>
      <w:r>
        <w:rPr>
          <w:sz w:val="28"/>
          <w:szCs w:val="28"/>
        </w:rPr>
        <w:t>3. Показателем результативности и эффективности осуществления муниципального контроля являются:</w:t>
      </w:r>
    </w:p>
    <w:p w14:paraId="00000152">
      <w:pPr>
        <w:pStyle w:val="NoSpacing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Ключевой показатель: </w:t>
      </w:r>
    </w:p>
    <w:p w14:paraId="00000153">
      <w:pPr>
        <w:pStyle w:val="NoSpacing"/>
        <w:spacing w:line="276" w:lineRule="auto"/>
        <w:ind w:firstLine="708"/>
        <w:jc w:val="both"/>
        <w:rPr>
          <w:bCs/>
        </w:rPr>
      </w:pPr>
      <w:r>
        <w:rPr>
          <w:iCs/>
          <w:sz w:val="28"/>
          <w:szCs w:val="28"/>
        </w:rPr>
        <w:t>- Количество погибших / травмированных в результате нарушения норм и правил в процессе осуществления деятельности, установленных правовыми актами Российской Федерации и правовыми актами Ханты-Мансийского автономного округа – Югры в сфере благоустройства, на 1тыс. населения.</w:t>
      </w:r>
    </w:p>
    <w:p w14:paraId="00000154">
      <w:pPr>
        <w:pStyle w:val="NoSpacing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Целевое значение </w:t>
      </w:r>
      <w:r>
        <w:rPr>
          <w:color w:val="000000"/>
          <w:sz w:val="28"/>
          <w:szCs w:val="28"/>
        </w:rPr>
        <w:t>ключевого показателя</w:t>
      </w:r>
      <w:r>
        <w:rPr>
          <w:sz w:val="28"/>
          <w:szCs w:val="28"/>
        </w:rPr>
        <w:t>: не более 0,5.</w:t>
      </w:r>
    </w:p>
    <w:p w14:paraId="00000155">
      <w:pPr>
        <w:pStyle w:val="Formattext"/>
        <w:spacing w:before="0" w:after="0" w:line="276" w:lineRule="auto"/>
        <w:ind w:firstLine="709"/>
        <w:jc w:val="both"/>
        <w:rPr>
          <w:sz w:val="28"/>
        </w:rPr>
      </w:pPr>
      <w:r>
        <w:rPr>
          <w:sz w:val="28"/>
        </w:rPr>
        <w:t>Значение указанного ключевого показателя рассчитывается по формуле: КП=</w:t>
      </w:r>
      <w:r>
        <w:rPr>
          <w:sz w:val="28"/>
          <w:u w:val="single"/>
        </w:rPr>
        <w:t>Кпт</w:t>
      </w:r>
      <w:r>
        <w:rPr>
          <w:sz w:val="28"/>
          <w:u w:val="single"/>
        </w:rPr>
        <w:t>*1000</w:t>
      </w:r>
      <w:r>
        <w:rPr>
          <w:sz w:val="28"/>
        </w:rPr>
        <w:t>, где:</w:t>
      </w:r>
    </w:p>
    <w:p w14:paraId="00000156">
      <w:pPr>
        <w:pStyle w:val="Formattext"/>
        <w:spacing w:before="0" w:after="0"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                   </w:t>
      </w:r>
      <w:r>
        <w:rPr>
          <w:sz w:val="28"/>
        </w:rPr>
        <w:t>Кпр</w:t>
      </w:r>
    </w:p>
    <w:p w14:paraId="00000157">
      <w:pPr>
        <w:pStyle w:val="Formattext"/>
        <w:spacing w:before="0" w:after="0" w:line="276" w:lineRule="auto"/>
        <w:ind w:firstLine="709"/>
        <w:jc w:val="both"/>
        <w:rPr>
          <w:sz w:val="28"/>
        </w:rPr>
      </w:pPr>
      <w:r>
        <w:rPr>
          <w:sz w:val="28"/>
        </w:rPr>
        <w:t>КП - ключевой показатель;</w:t>
      </w:r>
    </w:p>
    <w:p w14:paraId="00000158">
      <w:pPr>
        <w:pStyle w:val="Formattext"/>
        <w:spacing w:before="0" w:after="0" w:line="276" w:lineRule="auto"/>
        <w:ind w:firstLine="709"/>
        <w:jc w:val="both"/>
        <w:rPr>
          <w:sz w:val="28"/>
        </w:rPr>
      </w:pPr>
      <w:r>
        <w:rPr>
          <w:sz w:val="28"/>
        </w:rPr>
        <w:t>Кпт</w:t>
      </w:r>
      <w:r>
        <w:rPr>
          <w:sz w:val="28"/>
        </w:rPr>
        <w:t xml:space="preserve"> - количество погибших (травмированных) в результате нарушения норм и правил в процессе осуществления деятельности, установленных правовыми актами Российской Федерации и правовыми актами Ханты-Мансийского автономного округа - Югры в </w:t>
      </w:r>
      <w:r>
        <w:rPr>
          <w:rStyle w:val="Match"/>
          <w:rFonts w:eastAsia="Arial"/>
          <w:sz w:val="28"/>
        </w:rPr>
        <w:t>сфере</w:t>
      </w:r>
      <w:r>
        <w:rPr>
          <w:sz w:val="28"/>
        </w:rPr>
        <w:t xml:space="preserve"> </w:t>
      </w:r>
      <w:r>
        <w:rPr>
          <w:rStyle w:val="Match"/>
          <w:rFonts w:eastAsia="Arial"/>
          <w:sz w:val="28"/>
        </w:rPr>
        <w:t>благоустройства</w:t>
      </w:r>
      <w:r>
        <w:rPr>
          <w:sz w:val="28"/>
        </w:rPr>
        <w:t xml:space="preserve"> на тысячу граждан, проживающих на территории сельского поселения </w:t>
      </w:r>
      <w:r>
        <w:rPr>
          <w:sz w:val="28"/>
        </w:rPr>
        <w:t>Селиярово</w:t>
      </w:r>
      <w:r>
        <w:rPr>
          <w:sz w:val="28"/>
        </w:rPr>
        <w:t>;</w:t>
      </w:r>
    </w:p>
    <w:p w14:paraId="00000159">
      <w:pPr>
        <w:pStyle w:val="Formattext"/>
        <w:spacing w:before="0" w:after="0" w:line="276" w:lineRule="auto"/>
        <w:ind w:firstLine="709"/>
        <w:jc w:val="both"/>
        <w:rPr>
          <w:sz w:val="28"/>
        </w:rPr>
      </w:pPr>
      <w:r>
        <w:rPr>
          <w:sz w:val="28"/>
        </w:rPr>
        <w:t>Кпр</w:t>
      </w:r>
      <w:r>
        <w:rPr>
          <w:sz w:val="28"/>
        </w:rPr>
        <w:t xml:space="preserve"> - количество проживающих граждан на территории сельского поселения</w:t>
      </w:r>
      <w:r>
        <w:rPr>
          <w:sz w:val="28"/>
        </w:rPr>
        <w:t xml:space="preserve"> Селиярово</w:t>
      </w:r>
      <w:r>
        <w:rPr>
          <w:sz w:val="28"/>
        </w:rPr>
        <w:t>.</w:t>
      </w:r>
    </w:p>
    <w:p w14:paraId="0000015A">
      <w:pPr>
        <w:pStyle w:val="Formattext"/>
        <w:spacing w:before="0" w:after="0" w:line="276" w:lineRule="auto"/>
        <w:ind w:firstLine="709"/>
        <w:jc w:val="both"/>
        <w:rPr>
          <w:sz w:val="28"/>
        </w:rPr>
      </w:pPr>
      <w:r>
        <w:rPr>
          <w:sz w:val="28"/>
        </w:rPr>
        <w:t>Источники данных для определения значения ключевых показателей - информация полученная с соблюдением требований законодательства Российской Федерации из любых источников, обеспечивающая ее достоверность, в том числе: данные, полученные в ходе профилактических и контрольных мероприятий, информация, полученная от государственных органов, органов прокуратуры и суда, органов местного самоуправления в рамках межведомственного информационного взаимодействия, отчётность, представление которой предусмотрено нормативными правовыми актами Российской Федерации, обращения контролируемых лиц, иных граждан и организаций.</w:t>
      </w:r>
    </w:p>
    <w:p w14:paraId="0000015B">
      <w:pPr>
        <w:pStyle w:val="NoSpacing"/>
        <w:spacing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3.2. Индикативные показатели:</w:t>
      </w:r>
      <w:r>
        <w:rPr>
          <w:i/>
          <w:iCs/>
          <w:sz w:val="28"/>
          <w:szCs w:val="28"/>
        </w:rPr>
        <w:t xml:space="preserve"> </w:t>
      </w:r>
    </w:p>
    <w:p w14:paraId="0000015C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внеплановых контрольных мероприятий, проведенных за отчетный период;</w:t>
      </w:r>
    </w:p>
    <w:p w14:paraId="0000015D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</w:t>
      </w:r>
    </w:p>
    <w:p w14:paraId="0000015E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общее количество контрольных мероприятий со взаимодействием, проведенных за отчетный период;</w:t>
      </w:r>
    </w:p>
    <w:p w14:paraId="0000015F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контрольных мероприятий со взаимодействием по каждому виду контрольных мероприятий, проведенных за отчетный период;</w:t>
      </w:r>
    </w:p>
    <w:p w14:paraId="00000160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/>
      </w:pPr>
      <w:r>
        <w:rPr>
          <w:color w:val="000000"/>
          <w:sz w:val="28"/>
          <w:szCs w:val="28"/>
        </w:rPr>
        <w:t>количество контрольных мероприятий, проведенных с использованием средств дистанционного взаимодействия, за отчетный период;</w:t>
      </w:r>
    </w:p>
    <w:p w14:paraId="00000161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обязательных профилактических визитов, проведенных за отчетный период;</w:t>
      </w:r>
    </w:p>
    <w:p w14:paraId="00000162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предостережений о недопустимости нарушения обязательных требований, объявленных за отчетный период;</w:t>
      </w:r>
    </w:p>
    <w:p w14:paraId="00000163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контрольных мероприятий, по результатам которых выявлены нарушения обязательных требований, за отчетный период;</w:t>
      </w:r>
    </w:p>
    <w:p w14:paraId="00000164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контрольных мероприятий, по итогам которых возбуждены дела об административных правонарушениях, за отчетный период;</w:t>
      </w:r>
    </w:p>
    <w:p w14:paraId="00000165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сумма административных штрафов, наложенных по результатам контрольных мероприятий, за отчетный период;</w:t>
      </w:r>
    </w:p>
    <w:p w14:paraId="00000166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направленных в органы прокуратуры заявлений о согласовании проведения контрольных мероприятий за отчетный период;</w:t>
      </w:r>
    </w:p>
    <w:p w14:paraId="00000167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период;</w:t>
      </w:r>
    </w:p>
    <w:p w14:paraId="00000168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общее количество учтенных объектов контроля на конец отчетного периода;</w:t>
      </w:r>
    </w:p>
    <w:p w14:paraId="00000169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учтенных объектов контроля, отнесенных к категориям риска, по каждой из категорий риска на конец отчетного периода;</w:t>
      </w:r>
    </w:p>
    <w:p w14:paraId="0000016A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учтенных контролируемых лиц на конец отчетного периода;</w:t>
      </w:r>
    </w:p>
    <w:p w14:paraId="0000016B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учтенных контролируемых лиц, в отношении которых проведены контрольные мероприятия, за отчетный период;</w:t>
      </w:r>
    </w:p>
    <w:p w14:paraId="0000016C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жалоб, в отношении которых контрольным органом был нарушен срок рассмотрения, за отчетный период;</w:t>
      </w:r>
    </w:p>
    <w:p w14:paraId="0000016D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за отчетный период;</w:t>
      </w:r>
    </w:p>
    <w:p w14:paraId="0000016E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14:paraId="0000016F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14:paraId="00000170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540"/>
        <w:jc w:val="both"/>
        <w:rPr/>
      </w:pPr>
      <w:r>
        <w:rPr>
          <w:color w:val="000000"/>
          <w:sz w:val="24"/>
        </w:rPr>
        <w:t> </w:t>
      </w:r>
    </w:p>
    <w:p w14:paraId="00000171">
      <w:pPr>
        <w:pStyle w:val="NoSpacing"/>
        <w:spacing w:line="276" w:lineRule="auto"/>
        <w:ind w:firstLine="708"/>
        <w:jc w:val="both"/>
        <w:rPr>
          <w:sz w:val="28"/>
          <w:szCs w:val="28"/>
          <w:u w:val="single"/>
        </w:rPr>
      </w:pPr>
    </w:p>
    <w:p w14:paraId="00000172">
      <w:pPr>
        <w:pStyle w:val="ConsPlusNormal"/>
        <w:spacing w:line="276" w:lineRule="auto"/>
        <w:jc w:val="right"/>
        <w:rPr/>
      </w:pPr>
    </w:p>
    <w:p w14:paraId="00000173">
      <w:pPr>
        <w:pStyle w:val="ConsPlusNormal"/>
        <w:spacing w:line="276" w:lineRule="auto"/>
        <w:jc w:val="right"/>
        <w:rPr/>
      </w:pPr>
    </w:p>
    <w:p w14:paraId="00000174">
      <w:pPr>
        <w:pStyle w:val="ConsPlusNormal"/>
        <w:spacing w:line="276" w:lineRule="auto"/>
        <w:jc w:val="right"/>
        <w:rPr/>
      </w:pPr>
    </w:p>
    <w:p w14:paraId="00000175">
      <w:pPr>
        <w:pStyle w:val="ConsPlusNormal"/>
        <w:spacing w:line="276" w:lineRule="auto"/>
        <w:jc w:val="right"/>
        <w:rPr/>
      </w:pPr>
    </w:p>
    <w:p w14:paraId="00000176">
      <w:pPr>
        <w:pStyle w:val="ConsPlusNormal"/>
        <w:spacing w:line="276" w:lineRule="auto"/>
        <w:jc w:val="right"/>
        <w:rPr/>
      </w:pPr>
    </w:p>
    <w:p w14:paraId="00000177">
      <w:pPr>
        <w:pStyle w:val="ConsPlusNormal"/>
        <w:spacing w:line="276" w:lineRule="auto"/>
        <w:jc w:val="right"/>
        <w:rPr/>
      </w:pPr>
    </w:p>
    <w:p w14:paraId="00000178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Приложение 3</w:t>
      </w:r>
    </w:p>
    <w:p w14:paraId="00000179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к Положению о муниципальном контроле в сфере благоустройства</w:t>
      </w:r>
    </w:p>
    <w:p w14:paraId="0000017A">
      <w:pPr>
        <w:widowControl w:val="off"/>
        <w:spacing w:line="276" w:lineRule="auto"/>
        <w:jc w:val="right"/>
        <w:rPr>
          <w:b/>
          <w:sz w:val="24"/>
          <w:szCs w:val="24"/>
        </w:rPr>
      </w:pPr>
      <w:r>
        <w:rPr>
          <w:sz w:val="28"/>
          <w:szCs w:val="28"/>
        </w:rPr>
        <w:t xml:space="preserve">на территории сельского поселения </w:t>
      </w:r>
      <w:r>
        <w:rPr>
          <w:sz w:val="28"/>
          <w:szCs w:val="28"/>
        </w:rPr>
        <w:t>Селиярово</w:t>
      </w:r>
    </w:p>
    <w:p w14:paraId="0000017B">
      <w:pPr>
        <w:pStyle w:val="ConsPlusTitle"/>
        <w:spacing w:line="276" w:lineRule="auto"/>
        <w:jc w:val="center"/>
        <w:rPr>
          <w:rFonts w:ascii="Times New Roman" w:cs="Times New Roman" w:hAnsi="Times New Roman"/>
          <w:sz w:val="28"/>
          <w:szCs w:val="28"/>
        </w:rPr>
      </w:pPr>
    </w:p>
    <w:p w14:paraId="0000017C">
      <w:pPr>
        <w:pStyle w:val="ConsPlusTitle"/>
        <w:spacing w:line="276" w:lineRule="auto"/>
        <w:jc w:val="center"/>
        <w:rPr>
          <w:b w:val="off"/>
          <w:bCs w:val="off"/>
        </w:rPr>
      </w:pPr>
      <w:r>
        <w:rPr>
          <w:rFonts w:ascii="Times New Roman" w:cs="Times New Roman" w:hAnsi="Times New Roman"/>
          <w:b w:val="off"/>
          <w:bCs w:val="off"/>
          <w:sz w:val="28"/>
          <w:szCs w:val="28"/>
        </w:rPr>
        <w:t>КРИТЕРИИ</w:t>
      </w:r>
    </w:p>
    <w:p w14:paraId="0000017D">
      <w:pPr>
        <w:widowControl w:val="off"/>
        <w:spacing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 xml:space="preserve">ОТНЕСЕНИЯ ОБЪЕКТОВ КОНТРОЛЯ К ОПРЕДЕЛЕННОЙ КАТЕГОРИИ РИСКА </w:t>
      </w:r>
    </w:p>
    <w:p w14:paraId="0000017E">
      <w:pPr>
        <w:widowControl w:val="off"/>
        <w:spacing w:line="276" w:lineRule="auto"/>
        <w:jc w:val="both"/>
        <w:rPr>
          <w:sz w:val="32"/>
        </w:rPr>
      </w:pPr>
    </w:p>
    <w:p w14:paraId="0000017F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32"/>
        </w:rPr>
        <w:tab/>
      </w:r>
      <w:r>
        <w:rPr>
          <w:sz w:val="28"/>
          <w:szCs w:val="28"/>
        </w:rPr>
        <w:t>1. С учетом вероятности наступления и тяжести потенциальных негативных последствий несоблюдения обязательных требований объекты контроля в области муниципального контроля в сфере благоустройства подлежат отнесению к категориям среднего, умеренного и низкого риска.</w:t>
      </w:r>
    </w:p>
    <w:p w14:paraId="00000180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>
        <w:rPr>
          <w:bCs/>
          <w:sz w:val="28"/>
          <w:szCs w:val="28"/>
        </w:rPr>
        <w:t>. К категории среднего риска относятся объекты контроля</w:t>
      </w:r>
      <w:r>
        <w:t xml:space="preserve"> </w:t>
      </w:r>
      <w:r>
        <w:rPr>
          <w:bCs/>
          <w:sz w:val="28"/>
          <w:szCs w:val="28"/>
        </w:rPr>
        <w:t>при наличии в течение последнего года на дату принятия (изменения) решения об отнесении объекта контроля к категории риска:</w:t>
      </w:r>
    </w:p>
    <w:p w14:paraId="00000181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- постановления (решения) по делу об административном правонарушении, связанного с нарушением обязательных требований, являющихся предметом муниципального контроля, ответственность за которое предусмотрена Кодексом Российской Федерации об административных правонарушениях;</w:t>
      </w:r>
    </w:p>
    <w:p w14:paraId="00000182">
      <w:pPr>
        <w:widowControl w:val="off"/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- выданного контрольным органом предписания об устранении выявленных нарушений обязательных требований.</w:t>
      </w:r>
    </w:p>
    <w:p w14:paraId="00000183">
      <w:pPr>
        <w:widowControl w:val="off"/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3. К категории умеренного риска относятся объекты контроля при наличии в течение последнего года на дату принятия (изменения) решения об отнесении объекта контроля к категории риска выданного предостережения о недопустимости нарушения обязательных требований.</w:t>
      </w:r>
    </w:p>
    <w:p w14:paraId="00000184">
      <w:pPr>
        <w:widowControl w:val="off"/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 xml:space="preserve">4. К категории низкого риска относятся объекты контроля, не предусмотренные категориями </w:t>
      </w:r>
      <w:r>
        <w:rPr>
          <w:sz w:val="28"/>
          <w:szCs w:val="28"/>
        </w:rPr>
        <w:t>среднего и умеренного</w:t>
      </w:r>
      <w:r>
        <w:rPr>
          <w:bCs/>
          <w:sz w:val="28"/>
          <w:szCs w:val="28"/>
        </w:rPr>
        <w:t xml:space="preserve"> риска.</w:t>
      </w:r>
    </w:p>
    <w:p w14:paraId="00000185">
      <w:pPr>
        <w:tabs>
          <w:tab w:val="left" w:pos="7698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0000186"/>
    <w:sectPr>
      <w:headerReference w:type="default" r:id="rId14"/>
      <w:pgSz w:w="11906" w:h="16838"/>
      <w:pgMar w:top="1418" w:right="1247" w:bottom="1134" w:left="1587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Arial">
    <w:panose1 w:val="020b0604020202020204"/>
    <w:charset w:val="cc"/>
    <w:family w:val="swiss"/>
    <w:pitch w:val="variable"/>
    <w:sig w:usb0="00000000" w:usb1="00000000" w:usb2="00000009" w:usb3="00000000" w:csb0="000001ff" w:csb1="00000000"/>
  </w:font>
  <w:font w:name="Verdana">
    <w:panose1 w:val="020b0604030504040204"/>
    <w:charset w:val="cc"/>
    <w:family w:val="swiss"/>
    <w:pitch w:val="variable"/>
    <w:sig w:usb0="00000000" w:usb1="4000205b" w:usb2="00000010" w:usb3="00000000" w:csb0="0000019f" w:csb1="00000000"/>
  </w:font>
  <w:font w:name="TimesNewRoman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p w14:paraId="00000187">
    <w:pPr>
      <w:pStyle w:val="Header"/>
      <w:jc w:val="center"/>
      <w:rPr>
        <w:sz w:val="24"/>
        <w:szCs w:val="24"/>
      </w:rPr>
    </w:pPr>
    <w:r>
      <w:fldChar w:fldCharType="begin"/>
    </w:r>
    <w:r>
      <w:instrText xml:space="preserve">PAGE   \* MERGEFORMAT</w:instrText>
    </w:r>
    <w:r>
      <w:fldChar w:fldCharType="separate"/>
    </w:r>
    <w:r>
      <w:rPr>
        <w:sz w:val="24"/>
        <w:szCs w:val="24"/>
      </w:rPr>
      <w:t>23</w:t>
    </w:r>
    <w:r>
      <w:fldChar w:fldCharType="end"/>
    </w:r>
  </w:p>
  <w:p w14:paraId="00000188">
    <w:pPr>
      <w:pStyle w:val="Header"/>
      <w:rPr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 w:tentative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 w:tentative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8BD"/>
    <w:rsid w:val="00160E5E"/>
    <w:rsid w:val="003D734F"/>
    <w:rsid w:val="00780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531232-4DCB-4DAE-82FD-45DC5A5EDFCD}"/>
  <w:footnotePr/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ru-RU" w:bidi="ar-SA" w:eastAsia="en-US"/>
      </w:rPr>
    </w:rPrDefault>
    <w:pPrDefault>
      <w:pPr>
        <w:spacing w:after="160" w:line="259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uiPriority w:val="99"/>
  </w:style>
  <w:style w:type="paragraph" w:styleId="Footer">
    <w:name w:val="Footer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default="1" w:styleId="Normal">
    <w:name w:val="Normal"/>
    <w:uiPriority w:val="99"/>
    <w:qFormat w:val="on"/>
    <w:pPr>
      <w:spacing w:after="0" w:line="240" w:lineRule="auto"/>
    </w:pPr>
    <w:rPr>
      <w:rFonts w:ascii="Times New Roman" w:cs="Times New Roman" w:eastAsia="Times New Roman" w:hAnsi="Times New Roman"/>
      <w:sz w:val="16"/>
      <w:szCs w:val="16"/>
      <w:lang w:eastAsia="ru-RU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NoSpacing">
    <w:name w:val="No Spacing"/>
    <w:uiPriority w:val="1"/>
    <w:qFormat w:val="on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</w:style>
  <w:style w:type="paragraph" w:styleId="Header">
    <w:name w:val="Header"/>
    <w:basedOn w:val="Normal"/>
    <w:link w:val="ВерхнийколонтитулЗнак"/>
    <w:uiPriority w:val="99"/>
    <w:pPr>
      <w:tabs>
        <w:tab w:val="center" w:pos="4677"/>
        <w:tab w:val="right" w:pos="9355"/>
      </w:tabs>
    </w:pPr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Pr>
      <w:rFonts w:ascii="Times New Roman" w:cs="Times New Roman" w:eastAsia="Times New Roman" w:hAnsi="Times New Roman"/>
      <w:sz w:val="16"/>
      <w:szCs w:val="16"/>
      <w:lang w:eastAsia="ru-RU"/>
    </w:rPr>
  </w:style>
  <w:style w:type="paragraph" w:customStyle="1" w:styleId="ConsPlusNormal">
    <w:name w:val="ConsPlusNormal"/>
    <w:uiPriority w:val="99"/>
    <w:pPr>
      <w:widowControl w:val="off"/>
      <w:spacing w:after="0" w:line="240" w:lineRule="auto"/>
    </w:pPr>
    <w:rPr>
      <w:rFonts w:ascii="Arial" w:cs="Arial" w:eastAsia="Times New Roman" w:hAnsi="Arial"/>
      <w:sz w:val="16"/>
      <w:szCs w:val="16"/>
      <w:lang w:eastAsia="ru-RU"/>
    </w:rPr>
  </w:style>
  <w:style w:type="paragraph" w:customStyle="1" w:styleId="ConsPlusTitle">
    <w:name w:val="ConsPlusTitle"/>
    <w:uiPriority w:val="99"/>
    <w:pPr>
      <w:widowControl w:val="off"/>
      <w:spacing w:after="0" w:line="240" w:lineRule="auto"/>
    </w:pPr>
    <w:rPr>
      <w:rFonts w:ascii="Arial" w:cs="Arial" w:eastAsia="Times New Roman" w:hAnsi="Arial"/>
      <w:b/>
      <w:bCs/>
      <w:sz w:val="24"/>
      <w:szCs w:val="24"/>
      <w:lang w:eastAsia="ru-RU"/>
    </w:rPr>
  </w:style>
  <w:style w:type="character" w:styleId="Hyperlink">
    <w:name w:val="Hyperlink"/>
    <w:uiPriority w:val="99"/>
    <w:unhideWhenUsed w:val="on"/>
    <w:rPr>
      <w:color w:val="0000ff"/>
      <w:u w:val="single"/>
    </w:rPr>
  </w:style>
  <w:style w:type="paragraph" w:customStyle="1" w:styleId="Default">
    <w:name w:val="Default"/>
    <w:uiPriority w:val="99"/>
    <w:pPr>
      <w:pBdr>
        <w:top w:val="none" w:sz="4" w:space="0"/>
        <w:left w:val="none" w:sz="4" w:space="0"/>
        <w:bottom w:val="none" w:sz="4" w:space="0"/>
        <w:right w:val="none" w:sz="4" w:space="0"/>
        <w:between w:val="none" w:sz="4" w:space="0"/>
      </w:pBdr>
      <w:spacing w:after="0" w:line="240" w:lineRule="auto"/>
    </w:pPr>
    <w:rPr>
      <w:rFonts w:ascii="Times New Roman" w:cs="Times New Roman" w:eastAsia="Calibri" w:hAnsi="Times New Roman"/>
      <w:color w:val="000000"/>
      <w:sz w:val="24"/>
      <w:szCs w:val="24"/>
    </w:rPr>
  </w:style>
  <w:style w:type="paragraph" w:styleId="Normal(Web)">
    <w:name w:val="Normal (Web)"/>
    <w:basedOn w:val="Normal"/>
    <w:uiPriority w:val="99"/>
    <w:unhideWhenUsed w:val="on"/>
    <w:pPr>
      <w:spacing w:before="100" w:after="100"/>
    </w:pPr>
    <w:rPr>
      <w:sz w:val="24"/>
      <w:szCs w:val="24"/>
    </w:rPr>
  </w:style>
  <w:style w:type="paragraph" w:customStyle="1" w:styleId="Formattext">
    <w:name w:val="Formattext"/>
    <w:basedOn w:val="Normal"/>
    <w:uiPriority w:val="99"/>
    <w:pPr>
      <w:spacing w:before="100" w:after="100"/>
    </w:pPr>
    <w:rPr>
      <w:sz w:val="24"/>
      <w:szCs w:val="24"/>
    </w:rPr>
  </w:style>
  <w:style w:type="character" w:customStyle="1" w:styleId="Match">
    <w:name w:val="Match"/>
    <w:basedOn w:val="DefaultParagraphFont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4" Type="http://schemas.openxmlformats.org/officeDocument/2006/relationships/header" Target="header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hmrn.ru/raion/poseleniya/seliyarovo/" TargetMode="External"/><Relationship Id="rId6" Type="http://schemas.openxmlformats.org/officeDocument/2006/relationships/hyperlink" Target="http://hmrn.ru/raion/poseleniya/seliyarovo/" TargetMode="External"/><Relationship Id="rId7" Type="http://schemas.openxmlformats.org/officeDocument/2006/relationships/hyperlink" Target="http://hmrn.ru/raion/poseleniya/seliyarovo/" TargetMode="External"/><Relationship Id="rId8" Type="http://schemas.openxmlformats.org/officeDocument/2006/relationships/hyperlink" Target="http://hmrn.ru/raion/poseleniya/seliyarovo/" TargetMode="External"/><Relationship Id="rId9" Type="http://schemas.openxmlformats.org/officeDocument/2006/relationships/hyperlink" Target="http://hmrn.ru/raion/poseleniya/seliyarovo/" TargetMode="External"/></Relationships>
</file>

<file path=word/_rels/header1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6339</Words>
  <Characters>36137</Characters>
  <Application>Microsoft Office Word</Application>
  <DocSecurity>0</DocSecurity>
  <Lines>301</Lines>
  <Paragraphs>84</Paragraphs>
  <ScaleCrop>false</ScaleCrop>
  <Company/>
  <LinksUpToDate>false</LinksUpToDate>
  <CharactersWithSpaces>42392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Slr</cp:lastModifiedBy>
</cp:coreProperties>
</file>