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ПРОЕКТ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ХАНТЫ-МАНСИЙСКИЙ АВТОНОМНЫЙ ОКРУГ - ЮГРА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ТЮМЕНСКАЯ ОБЛАСТЬ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ХАНТЫ-МАНСИЙСКИЙ РАЙОН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СЕЛЬСКОЕ ПОСЕЛЕНИЕ СЕЛИЯРОВО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СОВЕТ ДЕПУТАТОВ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РЕШЕНИЕ</w:t>
      </w:r>
    </w:p>
    <w:p w14:paraId="0A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00.00.2025                                                                                                № 00</w:t>
      </w:r>
    </w:p>
    <w:p w14:paraId="0C000000">
      <w:pPr>
        <w:pStyle w:val="Style_1"/>
        <w:numPr>
          <w:ilvl w:val="0"/>
          <w:numId w:val="0"/>
        </w:numPr>
        <w:spacing w:after="0" w:before="0"/>
        <w:ind w:right="5101"/>
        <w:rPr>
          <w:b w:val="0"/>
        </w:rPr>
      </w:pPr>
      <w:r>
        <w:rPr>
          <w:b w:val="0"/>
        </w:rPr>
        <w:t xml:space="preserve">О бюджете сельского поселения </w:t>
      </w:r>
      <w:r>
        <w:rPr>
          <w:b w:val="0"/>
        </w:rPr>
        <w:t>Селиярово</w:t>
      </w:r>
      <w:r>
        <w:rPr>
          <w:b w:val="0"/>
        </w:rPr>
        <w:t xml:space="preserve"> на 2026 год и плановый период 2027 и 2028 годов</w:t>
      </w:r>
    </w:p>
    <w:p w14:paraId="0D000000">
      <w:pPr>
        <w:pStyle w:val="Style_2"/>
      </w:pPr>
    </w:p>
    <w:p w14:paraId="0E000000">
      <w:pPr>
        <w:pStyle w:val="Style_3"/>
        <w:widowControl w:val="1"/>
        <w:tabs>
          <w:tab w:leader="none" w:pos="9355" w:val="left"/>
        </w:tabs>
        <w:ind w:firstLine="709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На основании Бюджетного кодекса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Российской Федерации, в соответствии с Федеральным законом от 06.10.2003 № 131-ФЗ «Об общих принципах организации местного самоуправления в Российской Федерации», Устава сельского поселения </w:t>
      </w:r>
      <w:r>
        <w:rPr>
          <w:rFonts w:ascii="Times New Roman" w:hAnsi="Times New Roman"/>
          <w:b w:val="0"/>
          <w:sz w:val="28"/>
        </w:rPr>
        <w:t>Селиярово</w:t>
      </w:r>
      <w:r>
        <w:rPr>
          <w:rFonts w:ascii="Times New Roman" w:hAnsi="Times New Roman"/>
          <w:b w:val="0"/>
          <w:sz w:val="28"/>
        </w:rPr>
        <w:t>,</w:t>
      </w:r>
      <w:r>
        <w:t xml:space="preserve"> </w:t>
      </w:r>
      <w:r>
        <w:rPr>
          <w:rFonts w:ascii="Times New Roman" w:hAnsi="Times New Roman"/>
          <w:b w:val="0"/>
          <w:sz w:val="28"/>
        </w:rPr>
        <w:t xml:space="preserve">решением Совета депутатов сельского поселения </w:t>
      </w:r>
      <w:r>
        <w:rPr>
          <w:rFonts w:ascii="Times New Roman" w:hAnsi="Times New Roman"/>
          <w:b w:val="0"/>
          <w:sz w:val="28"/>
        </w:rPr>
        <w:t>Селиярово</w:t>
      </w:r>
      <w:r>
        <w:rPr>
          <w:rFonts w:ascii="Times New Roman" w:hAnsi="Times New Roman"/>
          <w:b w:val="0"/>
          <w:sz w:val="28"/>
        </w:rPr>
        <w:t xml:space="preserve"> от 26.12.2022 №184 «Об утверждении Положения о бюджетном устройстве и бюджетном процессе в сельском поселении </w:t>
      </w:r>
      <w:r>
        <w:rPr>
          <w:rFonts w:ascii="Times New Roman" w:hAnsi="Times New Roman"/>
          <w:b w:val="0"/>
          <w:sz w:val="28"/>
        </w:rPr>
        <w:t>Селиярово</w:t>
      </w:r>
      <w:r>
        <w:rPr>
          <w:rFonts w:ascii="Times New Roman" w:hAnsi="Times New Roman"/>
          <w:b w:val="0"/>
          <w:sz w:val="28"/>
        </w:rPr>
        <w:t xml:space="preserve"> в целях исполнения расходных обязательств сельского поселения, рассмотрев представленный главой сельского</w:t>
      </w:r>
      <w:r>
        <w:rPr>
          <w:rFonts w:ascii="Times New Roman" w:hAnsi="Times New Roman"/>
          <w:b w:val="0"/>
          <w:sz w:val="28"/>
        </w:rPr>
        <w:t xml:space="preserve"> поселения </w:t>
      </w:r>
      <w:r>
        <w:rPr>
          <w:rFonts w:ascii="Times New Roman" w:hAnsi="Times New Roman"/>
          <w:b w:val="0"/>
          <w:sz w:val="28"/>
        </w:rPr>
        <w:t>Селиярово</w:t>
      </w:r>
      <w:r>
        <w:rPr>
          <w:rFonts w:ascii="Times New Roman" w:hAnsi="Times New Roman"/>
          <w:b w:val="0"/>
          <w:sz w:val="28"/>
        </w:rPr>
        <w:t xml:space="preserve"> проект бюджета сельского поселения </w:t>
      </w:r>
      <w:r>
        <w:rPr>
          <w:rFonts w:ascii="Times New Roman" w:hAnsi="Times New Roman"/>
          <w:b w:val="0"/>
          <w:sz w:val="28"/>
        </w:rPr>
        <w:t>Селиярово</w:t>
      </w:r>
      <w:r>
        <w:rPr>
          <w:rFonts w:ascii="Times New Roman" w:hAnsi="Times New Roman"/>
          <w:b w:val="0"/>
          <w:sz w:val="28"/>
        </w:rPr>
        <w:t xml:space="preserve"> на 2026 год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 плановый период 2027 и 2028 годов,</w:t>
      </w:r>
    </w:p>
    <w:p w14:paraId="0F000000">
      <w:pPr>
        <w:pStyle w:val="Style_3"/>
        <w:widowControl w:val="1"/>
        <w:tabs>
          <w:tab w:leader="none" w:pos="9355" w:val="left"/>
        </w:tabs>
        <w:ind w:right="-1"/>
        <w:jc w:val="both"/>
        <w:rPr>
          <w:rFonts w:ascii="Times New Roman" w:hAnsi="Times New Roman"/>
          <w:b w:val="0"/>
          <w:sz w:val="28"/>
        </w:rPr>
      </w:pPr>
    </w:p>
    <w:p w14:paraId="10000000">
      <w:pPr>
        <w:pStyle w:val="Style_4"/>
        <w:widowControl w:val="1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 депутатов сельского поселения </w:t>
      </w:r>
      <w:r>
        <w:rPr>
          <w:rFonts w:ascii="Times New Roman" w:hAnsi="Times New Roman"/>
          <w:sz w:val="28"/>
        </w:rPr>
        <w:t>Селиярово</w:t>
      </w:r>
    </w:p>
    <w:p w14:paraId="11000000">
      <w:pPr>
        <w:pStyle w:val="Style_4"/>
        <w:widowControl w:val="1"/>
        <w:ind w:firstLine="0" w:left="0"/>
        <w:jc w:val="both"/>
        <w:rPr>
          <w:rFonts w:ascii="Times New Roman" w:hAnsi="Times New Roman"/>
          <w:sz w:val="28"/>
        </w:rPr>
      </w:pPr>
    </w:p>
    <w:p w14:paraId="12000000">
      <w:pPr>
        <w:pStyle w:val="Style_4"/>
        <w:widowControl w:val="1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РЕШИЛ:</w:t>
      </w:r>
    </w:p>
    <w:p w14:paraId="13000000">
      <w:pPr>
        <w:pStyle w:val="Style_4"/>
        <w:widowControl w:val="1"/>
        <w:ind w:firstLine="0" w:left="0"/>
        <w:jc w:val="both"/>
        <w:rPr>
          <w:rFonts w:ascii="Times New Roman" w:hAnsi="Times New Roman"/>
          <w:b w:val="1"/>
          <w:sz w:val="28"/>
        </w:rPr>
      </w:pPr>
    </w:p>
    <w:p w14:paraId="14000000">
      <w:pPr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Статья 1</w:t>
      </w:r>
      <w:r>
        <w:rPr>
          <w:rFonts w:ascii="Times New Roman" w:hAnsi="Times New Roman"/>
          <w:sz w:val="28"/>
        </w:rPr>
        <w:t xml:space="preserve">. Утвердить основные характеристики бюджета сельского  поселения </w:t>
      </w:r>
      <w:r>
        <w:rPr>
          <w:rFonts w:ascii="Times New Roman" w:hAnsi="Times New Roman"/>
          <w:sz w:val="28"/>
        </w:rPr>
        <w:t>Селиярово</w:t>
      </w:r>
      <w:r>
        <w:rPr>
          <w:rFonts w:ascii="Times New Roman" w:hAnsi="Times New Roman"/>
          <w:sz w:val="28"/>
        </w:rPr>
        <w:t xml:space="preserve"> (далее бюджет сельского поселения) на 2026 год:</w:t>
      </w:r>
    </w:p>
    <w:p w14:paraId="15000000">
      <w:pPr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прогнозируемый общий объем доходов бюджета сельского поселения в сумме 39 576,0  тыс. рублей;</w:t>
      </w:r>
    </w:p>
    <w:p w14:paraId="16000000">
      <w:pPr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общий объем расходов бюджета сельского поселения в сумме            39 576,0  тыс. рублей;</w:t>
      </w:r>
    </w:p>
    <w:p w14:paraId="17000000">
      <w:pPr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прогнозируемый дефицит (профицит) бюджета сельского поселения  в сумме 0,0 тыс. рублей;</w:t>
      </w:r>
    </w:p>
    <w:p w14:paraId="18000000">
      <w:pPr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верхний предел муниципального внутреннего долга в «нулевом» объеме, в том числе «нулевой» объем верхнего предела долга по муниципальным гарантиям на 1 января 2027 года;</w:t>
      </w:r>
    </w:p>
    <w:p w14:paraId="19000000">
      <w:pPr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утвердить «нулевой» объем расходов на обслуживание муниципального долга сельского поселения на 2026 год.</w:t>
      </w:r>
    </w:p>
    <w:p w14:paraId="1A000000">
      <w:pPr>
        <w:pStyle w:val="Style_5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Статья 2. </w:t>
      </w:r>
      <w:r>
        <w:rPr>
          <w:rFonts w:ascii="Times New Roman" w:hAnsi="Times New Roman"/>
          <w:sz w:val="28"/>
        </w:rPr>
        <w:t>Утвердить основные характеристики бюджета сельского поселения на плановый период 2027 - 2028 годов, к которым относятся:</w:t>
      </w:r>
    </w:p>
    <w:p w14:paraId="1B000000">
      <w:pPr>
        <w:pStyle w:val="Style_5"/>
        <w:spacing w:line="276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прогнозируемый общий объем доходов бюджета поселения в сумме:</w:t>
      </w:r>
    </w:p>
    <w:p w14:paraId="1C000000">
      <w:pPr>
        <w:pStyle w:val="Style_5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2027 год – 37 541,6 тыс. рублей;</w:t>
      </w:r>
    </w:p>
    <w:p w14:paraId="1D000000">
      <w:pPr>
        <w:pStyle w:val="Style_5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2028 год – 37 378,0  тыс. рублей;</w:t>
      </w:r>
    </w:p>
    <w:p w14:paraId="1E000000">
      <w:pPr>
        <w:pStyle w:val="Style_5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общий объем расходов бюджета поселения в сумме:</w:t>
      </w:r>
    </w:p>
    <w:p w14:paraId="1F000000">
      <w:pPr>
        <w:pStyle w:val="Style_5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2027 год – 37 541,6  тыс. рублей;</w:t>
      </w:r>
    </w:p>
    <w:p w14:paraId="20000000">
      <w:pPr>
        <w:pStyle w:val="Style_5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2028 год – 37 378,0  тыс. рублей;</w:t>
      </w:r>
    </w:p>
    <w:p w14:paraId="21000000">
      <w:pPr>
        <w:pStyle w:val="Style_5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бюджет поселения сбалансирован с прогнозируемым «нулевым» дефицитом (профицитом);</w:t>
      </w:r>
    </w:p>
    <w:p w14:paraId="22000000">
      <w:pPr>
        <w:pStyle w:val="Style_5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верхний предел муниципального внутреннего долга в «нулевом» объеме, в том числе «нулевой» объем верхнего предела долга по муниципальным гарантиям на 1 января 2028, 2029 годов;</w:t>
      </w:r>
    </w:p>
    <w:p w14:paraId="23000000">
      <w:pPr>
        <w:pStyle w:val="Style_5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утвердить «нулевой» объем расходов на обслуживание муниципального долга сельского поселения на 2027-2028 годы.</w:t>
      </w:r>
    </w:p>
    <w:p w14:paraId="24000000">
      <w:pPr>
        <w:pStyle w:val="Style_5"/>
        <w:spacing w:line="276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требованиями абзаца 8 пункта 3 статьи 184.1 БК РФ, утверждаются условно утверждаемые расходы на 2027 год в размере 924,3 тыс. рублей, на 2028 год в сумме 1833,0 тыс. рублей. Процентное соотношение условно утверждаемых расходов соответствует предельным значениям, установленным БК РФ.</w:t>
      </w:r>
    </w:p>
    <w:p w14:paraId="25000000">
      <w:pPr>
        <w:pStyle w:val="Style_5"/>
        <w:spacing w:after="0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Статья 3.</w:t>
      </w:r>
      <w:r>
        <w:rPr>
          <w:rFonts w:ascii="Times New Roman" w:hAnsi="Times New Roman"/>
          <w:sz w:val="28"/>
        </w:rPr>
        <w:t xml:space="preserve"> Утвердить источники финансирования дефицита бюджета сельского поселения на 2026 год  и плановый период 2027 и 2028 годов </w:t>
      </w:r>
      <w:r>
        <w:rPr>
          <w:rFonts w:ascii="Times New Roman" w:hAnsi="Times New Roman"/>
          <w:sz w:val="28"/>
        </w:rPr>
        <w:t>согласно приложения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11</w:t>
      </w:r>
      <w:r>
        <w:rPr>
          <w:rFonts w:ascii="Times New Roman" w:hAnsi="Times New Roman"/>
          <w:sz w:val="28"/>
        </w:rPr>
        <w:t xml:space="preserve"> к настоящему решению.</w:t>
      </w:r>
    </w:p>
    <w:p w14:paraId="26000000">
      <w:pPr>
        <w:pStyle w:val="Style_6"/>
        <w:ind w:firstLine="709" w:left="0"/>
        <w:jc w:val="both"/>
        <w:outlineLvl w:val="1"/>
        <w:rPr>
          <w:rFonts w:ascii="Times New Roman" w:hAnsi="Times New Roman"/>
          <w:sz w:val="28"/>
        </w:rPr>
      </w:pPr>
    </w:p>
    <w:p w14:paraId="27000000">
      <w:pPr>
        <w:pStyle w:val="Style_6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Статья 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Утвердить в пределах общего объема расходов, установленного статьей 1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2 настоящего решения, распределение бюджетных ассигнований по разделам, подразделам классификации расходов бюджета сельского поселения Селиярово</w:t>
      </w:r>
      <w:r>
        <w:rPr>
          <w:rFonts w:ascii="Times New Roman" w:hAnsi="Times New Roman"/>
          <w:sz w:val="28"/>
        </w:rPr>
        <w:t>:</w:t>
      </w:r>
    </w:p>
    <w:p w14:paraId="28000000">
      <w:pPr>
        <w:spacing w:line="240" w:lineRule="auto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 на 2026</w:t>
      </w:r>
      <w:r>
        <w:rPr>
          <w:rFonts w:ascii="Times New Roman" w:hAnsi="Times New Roman"/>
          <w:sz w:val="28"/>
        </w:rPr>
        <w:t xml:space="preserve"> год согласно приложению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к настоящему решению;</w:t>
      </w:r>
    </w:p>
    <w:p w14:paraId="29000000">
      <w:pPr>
        <w:spacing w:line="240" w:lineRule="auto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 плановый период 2027 и 2028 годов согласно приложению 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sz w:val="28"/>
        </w:rPr>
        <w:t xml:space="preserve"> к настоящему решению.</w:t>
      </w:r>
    </w:p>
    <w:p w14:paraId="2A000000">
      <w:pPr>
        <w:pStyle w:val="Style_6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Статья 5</w:t>
      </w:r>
      <w:r>
        <w:rPr>
          <w:rFonts w:ascii="Times New Roman" w:hAnsi="Times New Roman"/>
          <w:sz w:val="28"/>
        </w:rPr>
        <w:t>. Утвердить ведомственную структуру расходов бюджета сельского поселения на очередной финансовый год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2026 год приложение</w:t>
      </w:r>
      <w:r>
        <w:rPr>
          <w:rFonts w:ascii="Times New Roman" w:hAnsi="Times New Roman"/>
          <w:b w:val="1"/>
          <w:sz w:val="28"/>
        </w:rPr>
        <w:t xml:space="preserve"> 3</w:t>
      </w:r>
      <w:r>
        <w:rPr>
          <w:rFonts w:ascii="Times New Roman" w:hAnsi="Times New Roman"/>
          <w:sz w:val="28"/>
        </w:rPr>
        <w:t xml:space="preserve"> к настоящему решению и на плановый период 2027 и 2028 годов приложение</w:t>
      </w:r>
      <w:r>
        <w:rPr>
          <w:rFonts w:ascii="Times New Roman" w:hAnsi="Times New Roman"/>
          <w:b w:val="1"/>
          <w:sz w:val="28"/>
        </w:rPr>
        <w:t xml:space="preserve"> 4</w:t>
      </w:r>
      <w:r>
        <w:rPr>
          <w:rFonts w:ascii="Times New Roman" w:hAnsi="Times New Roman"/>
          <w:sz w:val="28"/>
        </w:rPr>
        <w:t xml:space="preserve"> к настоящему решению.</w:t>
      </w:r>
    </w:p>
    <w:p w14:paraId="2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C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Статья 6</w:t>
      </w:r>
      <w:r>
        <w:rPr>
          <w:rFonts w:ascii="Times New Roman" w:hAnsi="Times New Roman"/>
          <w:sz w:val="28"/>
        </w:rPr>
        <w:t xml:space="preserve">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</w:t>
      </w:r>
      <w:r>
        <w:rPr>
          <w:rFonts w:ascii="Times New Roman" w:hAnsi="Times New Roman"/>
          <w:sz w:val="28"/>
        </w:rPr>
        <w:t>расходов классификации расходов бюджета сельского поселения</w:t>
      </w:r>
      <w:r>
        <w:rPr>
          <w:rFonts w:ascii="Times New Roman" w:hAnsi="Times New Roman"/>
          <w:sz w:val="28"/>
        </w:rPr>
        <w:t xml:space="preserve"> на 2026 год приложение</w:t>
      </w:r>
      <w:r>
        <w:rPr>
          <w:rFonts w:ascii="Times New Roman" w:hAnsi="Times New Roman"/>
          <w:b w:val="1"/>
          <w:sz w:val="28"/>
        </w:rPr>
        <w:t xml:space="preserve"> 5</w:t>
      </w:r>
      <w:r>
        <w:rPr>
          <w:rFonts w:ascii="Times New Roman" w:hAnsi="Times New Roman"/>
          <w:sz w:val="28"/>
        </w:rPr>
        <w:t xml:space="preserve"> к настоящему решению, и на плановый период 2027 и 2028 годов приложения  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sz w:val="28"/>
        </w:rPr>
        <w:t xml:space="preserve"> к настоящему решению.</w:t>
      </w:r>
    </w:p>
    <w:p w14:paraId="2D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</w:p>
    <w:p w14:paraId="2E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Статья 7</w:t>
      </w:r>
      <w:r>
        <w:rPr>
          <w:rFonts w:ascii="Times New Roman" w:hAnsi="Times New Roman"/>
          <w:sz w:val="28"/>
        </w:rPr>
        <w:t xml:space="preserve">. Утвердить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</w:t>
      </w:r>
      <w:r>
        <w:rPr>
          <w:rFonts w:ascii="Times New Roman" w:hAnsi="Times New Roman"/>
          <w:sz w:val="28"/>
        </w:rPr>
        <w:t>расходов классификации расходов бюджета сельского поселения</w:t>
      </w:r>
      <w:r>
        <w:rPr>
          <w:rFonts w:ascii="Times New Roman" w:hAnsi="Times New Roman"/>
          <w:sz w:val="28"/>
        </w:rPr>
        <w:t xml:space="preserve"> на 2026 год согласно приложению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7</w:t>
      </w:r>
      <w:r>
        <w:rPr>
          <w:rFonts w:ascii="Times New Roman" w:hAnsi="Times New Roman"/>
          <w:sz w:val="28"/>
        </w:rPr>
        <w:t xml:space="preserve">, и на плановый период 2027 и 2028 годов приложения </w:t>
      </w:r>
      <w:r>
        <w:rPr>
          <w:rFonts w:ascii="Times New Roman" w:hAnsi="Times New Roman"/>
          <w:b w:val="1"/>
          <w:sz w:val="28"/>
        </w:rPr>
        <w:t xml:space="preserve"> 8</w:t>
      </w:r>
      <w:r>
        <w:rPr>
          <w:rFonts w:ascii="Times New Roman" w:hAnsi="Times New Roman"/>
          <w:sz w:val="28"/>
        </w:rPr>
        <w:t xml:space="preserve"> к настоящему решению.</w:t>
      </w:r>
    </w:p>
    <w:p w14:paraId="2F000000">
      <w:pPr>
        <w:pStyle w:val="Style_6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30000000">
      <w:pPr>
        <w:pStyle w:val="Style_6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Статья 8</w:t>
      </w:r>
      <w:r>
        <w:rPr>
          <w:rFonts w:ascii="Times New Roman" w:hAnsi="Times New Roman"/>
          <w:sz w:val="28"/>
        </w:rPr>
        <w:t>. Утвердить общий объем бюджетных ассигнований направляемых на исполнение публичных нормативных обязательств на 2026 год 317,3 тыс.рублей, на 2027 и 2028 годы в сумме по</w:t>
      </w:r>
      <w:r>
        <w:rPr>
          <w:rFonts w:ascii="Times New Roman" w:hAnsi="Times New Roman"/>
          <w:b w:val="0"/>
          <w:sz w:val="28"/>
        </w:rPr>
        <w:t xml:space="preserve"> 634,6 тыс. рублей,</w:t>
      </w:r>
      <w:r>
        <w:rPr>
          <w:rFonts w:ascii="Times New Roman" w:hAnsi="Times New Roman"/>
          <w:sz w:val="28"/>
        </w:rPr>
        <w:t xml:space="preserve"> ежегодно.</w:t>
      </w:r>
    </w:p>
    <w:p w14:paraId="31000000">
      <w:pPr>
        <w:pStyle w:val="Style_6"/>
        <w:ind w:firstLine="709" w:left="0"/>
        <w:jc w:val="both"/>
        <w:outlineLvl w:val="1"/>
        <w:rPr>
          <w:rFonts w:ascii="Times New Roman" w:hAnsi="Times New Roman"/>
          <w:sz w:val="28"/>
        </w:rPr>
      </w:pPr>
    </w:p>
    <w:p w14:paraId="32000000">
      <w:pPr>
        <w:pStyle w:val="Style_6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Статья 9. </w:t>
      </w:r>
      <w:r>
        <w:rPr>
          <w:rFonts w:ascii="Times New Roman" w:hAnsi="Times New Roman"/>
          <w:sz w:val="28"/>
        </w:rPr>
        <w:t xml:space="preserve">Утвердить объем резервного фонда администрации сельского поселения </w:t>
      </w:r>
      <w:r>
        <w:rPr>
          <w:rFonts w:ascii="Times New Roman" w:hAnsi="Times New Roman"/>
          <w:sz w:val="28"/>
        </w:rPr>
        <w:t>Селиярово</w:t>
      </w:r>
      <w:r>
        <w:rPr>
          <w:rFonts w:ascii="Times New Roman" w:hAnsi="Times New Roman"/>
          <w:sz w:val="28"/>
        </w:rPr>
        <w:t xml:space="preserve"> на 2026-2028 годы в сумме по 50,0 тыс. рублей ежегодно.</w:t>
      </w:r>
    </w:p>
    <w:p w14:paraId="33000000">
      <w:pPr>
        <w:pStyle w:val="Style_6"/>
        <w:ind w:firstLine="709" w:left="0"/>
        <w:jc w:val="both"/>
        <w:outlineLvl w:val="1"/>
        <w:rPr>
          <w:rFonts w:ascii="Times New Roman" w:hAnsi="Times New Roman"/>
          <w:sz w:val="28"/>
        </w:rPr>
      </w:pPr>
    </w:p>
    <w:p w14:paraId="34000000">
      <w:pPr>
        <w:pStyle w:val="Style_6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Статья 10. </w:t>
      </w:r>
      <w:r>
        <w:rPr>
          <w:rFonts w:ascii="Times New Roman" w:hAnsi="Times New Roman"/>
          <w:sz w:val="28"/>
        </w:rPr>
        <w:t>Утвердить объем бюджетных ассигнований муниципального дорожного фонда сельского поселения в сумме:</w:t>
      </w:r>
    </w:p>
    <w:p w14:paraId="35000000">
      <w:pPr>
        <w:pStyle w:val="Style_6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2026 год – 1 813,8  тыс. рублей;</w:t>
      </w:r>
    </w:p>
    <w:p w14:paraId="36000000">
      <w:pPr>
        <w:pStyle w:val="Style_6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2027 год – 2 474,4  тыс. рублей;</w:t>
      </w:r>
    </w:p>
    <w:p w14:paraId="37000000">
      <w:pPr>
        <w:pStyle w:val="Style_6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2028 год – 2 579,8  тыс. рублей.</w:t>
      </w:r>
    </w:p>
    <w:p w14:paraId="38000000">
      <w:pPr>
        <w:pStyle w:val="Style_6"/>
        <w:ind w:firstLine="709" w:left="0"/>
        <w:jc w:val="both"/>
        <w:outlineLvl w:val="1"/>
        <w:rPr>
          <w:rFonts w:ascii="Times New Roman" w:hAnsi="Times New Roman"/>
          <w:b w:val="1"/>
          <w:sz w:val="28"/>
        </w:rPr>
      </w:pPr>
    </w:p>
    <w:p w14:paraId="39000000">
      <w:pPr>
        <w:pStyle w:val="Style_6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Статья 11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сводную бюджетную роспись в 2025 году Администрация сельского поселения </w:t>
      </w:r>
      <w:r>
        <w:rPr>
          <w:rFonts w:ascii="Times New Roman" w:hAnsi="Times New Roman"/>
          <w:sz w:val="28"/>
        </w:rPr>
        <w:t>Селиярово</w:t>
      </w:r>
      <w:r>
        <w:rPr>
          <w:rFonts w:ascii="Times New Roman" w:hAnsi="Times New Roman"/>
          <w:sz w:val="28"/>
        </w:rPr>
        <w:t xml:space="preserve"> в лице финансово-экономического отдела в соответствии с пунктом 8 статьи 217 Бюджетного кодекса Российской Федерации, частью 4 статьи 3 решения Совета депутатов сельского поселения </w:t>
      </w:r>
      <w:r>
        <w:rPr>
          <w:rFonts w:ascii="Times New Roman" w:hAnsi="Times New Roman"/>
          <w:sz w:val="28"/>
        </w:rPr>
        <w:t>Селиярово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26</w:t>
      </w:r>
      <w:r>
        <w:rPr>
          <w:rFonts w:ascii="Times New Roman" w:hAnsi="Times New Roman"/>
          <w:sz w:val="28"/>
        </w:rPr>
        <w:t xml:space="preserve"> декабря </w:t>
      </w:r>
      <w:r>
        <w:rPr>
          <w:rFonts w:ascii="Times New Roman" w:hAnsi="Times New Roman"/>
          <w:sz w:val="28"/>
        </w:rPr>
        <w:t xml:space="preserve">2022 №184 </w:t>
      </w:r>
      <w:r>
        <w:rPr>
          <w:rFonts w:ascii="Times New Roman" w:hAnsi="Times New Roman"/>
          <w:sz w:val="28"/>
        </w:rPr>
        <w:t>«Об утверждении Положения о бюджетном уст</w:t>
      </w:r>
      <w:r>
        <w:rPr>
          <w:rFonts w:ascii="Times New Roman" w:hAnsi="Times New Roman"/>
          <w:sz w:val="28"/>
        </w:rPr>
        <w:t xml:space="preserve">ройстве и бюджетном процессе в сельском поселении </w:t>
      </w:r>
      <w:r>
        <w:rPr>
          <w:rFonts w:ascii="Times New Roman" w:hAnsi="Times New Roman"/>
          <w:sz w:val="28"/>
        </w:rPr>
        <w:t>Селиярово</w:t>
      </w:r>
      <w:r>
        <w:rPr>
          <w:rFonts w:ascii="Times New Roman" w:hAnsi="Times New Roman"/>
          <w:sz w:val="28"/>
        </w:rPr>
        <w:t>» в праве вносить изменения в показатели</w:t>
      </w:r>
      <w:r>
        <w:rPr>
          <w:rFonts w:ascii="Times New Roman" w:hAnsi="Times New Roman"/>
          <w:sz w:val="28"/>
        </w:rPr>
        <w:t xml:space="preserve"> сводной бюджетной росписи бюджета сельского поселения </w:t>
      </w:r>
      <w:r>
        <w:rPr>
          <w:rFonts w:ascii="Times New Roman" w:hAnsi="Times New Roman"/>
          <w:sz w:val="28"/>
        </w:rPr>
        <w:t>Селиярово</w:t>
      </w:r>
      <w:r>
        <w:rPr>
          <w:rFonts w:ascii="Times New Roman" w:hAnsi="Times New Roman"/>
          <w:sz w:val="28"/>
        </w:rPr>
        <w:t xml:space="preserve"> без внесения изменений в настоящее решение по следующим дополнительным основаниям:</w:t>
      </w:r>
    </w:p>
    <w:p w14:paraId="3A000000">
      <w:pPr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перераспределение бюджетных ассигнований между основными мероприятиями, мероприятиями муниципальных программ сельского поселения, в том числе добавление мероприятий в рамках основного мероприятия, за исключением случаев увеличения бюджетных ассигнований </w:t>
      </w:r>
      <w:r>
        <w:rPr>
          <w:rFonts w:ascii="Times New Roman" w:hAnsi="Times New Roman"/>
          <w:sz w:val="28"/>
        </w:rPr>
        <w:t>на функционирование органов администрации сельского поселения и учреждений сельского поселения;</w:t>
      </w:r>
    </w:p>
    <w:p w14:paraId="3B000000">
      <w:pPr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увеличение за счет средств федерального, регионального бюджета и бюджета Ханты-Мансийского района объема дотаций, субвенций, субсидий и иных межбюджетных трансфертов на основании правового акта Российской Федерации, субъекта Российской Федерации, доведения предельного объема оплаты денежных обязательств за счет межбюджетных трансфертов, предоставляемых в форме субсидий, субвенций и иных межбюджетных трансфертов, поступления иных межбюджетных трансфертов, имеющих целевое назначение, сверх объемов, утвержденных решением о бюджете</w:t>
      </w:r>
      <w:r>
        <w:rPr>
          <w:rFonts w:ascii="Times New Roman" w:hAnsi="Times New Roman"/>
          <w:sz w:val="28"/>
        </w:rPr>
        <w:t xml:space="preserve"> сельского поселения;</w:t>
      </w:r>
    </w:p>
    <w:p w14:paraId="3C000000">
      <w:pPr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перераспределение бюджетных ассигнований, предусмотренных главному распорядителю средств бюджета сельского поселения по соответствующим кодам классификации расходов бюджетов на проведение отдельных мероприятий в рамках муниципальных программ (непрограммных направлений деятельности) сельского поселения, и направление их в бюджет Ханты-Мансийского района в виде межбюджетных трансфертов;</w:t>
      </w:r>
    </w:p>
    <w:p w14:paraId="3D000000">
      <w:pPr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увеличение бюджетных ассигнований на сумму, не использованных по состоянию на 1 января текущего финансового </w:t>
      </w:r>
      <w:r>
        <w:rPr>
          <w:rFonts w:ascii="Times New Roman" w:hAnsi="Times New Roman"/>
          <w:sz w:val="28"/>
        </w:rPr>
        <w:t>года остатков средств дорожного фонда сельского поселения</w:t>
      </w:r>
      <w:r>
        <w:rPr>
          <w:rFonts w:ascii="Times New Roman" w:hAnsi="Times New Roman"/>
          <w:sz w:val="28"/>
        </w:rPr>
        <w:t xml:space="preserve"> для последующего использования на те же цели;</w:t>
      </w:r>
    </w:p>
    <w:p w14:paraId="3E000000">
      <w:pPr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уменьшение бюджетных ассигнований на сумму, израсходованную получателями бюджетных средств незаконно или не по целевому назначению, по предписаниям контрольных органов;</w:t>
      </w:r>
    </w:p>
    <w:p w14:paraId="3F000000">
      <w:pPr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перераспределение бюджетных ассигнований по соответствующим кодам классификации расходов бюджета в целях обеспечения условий предоставления межбюджетных трансфертов из федерального, регионального бюджета и бюджета Ханты-Мансийского района;</w:t>
      </w:r>
    </w:p>
    <w:p w14:paraId="40000000">
      <w:pPr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распределение бюджетных ассигнований по мероприятиям муниципальных программ сельского поселения за счет безвозмездных поступлений от физических и юридических лиц, имеющих целевое назначение, в том числе средств, поступающих в бюджет сельского поселения по договорам пожертвования;</w:t>
      </w:r>
    </w:p>
    <w:p w14:paraId="41000000">
      <w:pPr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увеличение (уменьшение) бюджетных ассигнований, предусмотренных на финансовое обеспечение реализации мероприятий муниципальных программ, обеспечивающих достижение целей, показателей и результатов региональных проектов, за счет перераспределения бюджетных ассигнований, не отнесенных настоящим решением на указанные цели;</w:t>
      </w:r>
    </w:p>
    <w:p w14:paraId="42000000">
      <w:pPr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увеличение (уменьшение) бюджетных ассигнований, предусмотренных на финансовое обеспечение реализации мероприятий муниципальных программ, реализуемых на условиях </w:t>
      </w:r>
      <w:r>
        <w:rPr>
          <w:rFonts w:ascii="Times New Roman" w:hAnsi="Times New Roman"/>
          <w:sz w:val="28"/>
        </w:rPr>
        <w:t>софинансирования</w:t>
      </w:r>
      <w:r>
        <w:rPr>
          <w:rFonts w:ascii="Times New Roman" w:hAnsi="Times New Roman"/>
          <w:sz w:val="28"/>
        </w:rPr>
        <w:t xml:space="preserve"> из федерального, регионального бюджета и (или) бюджета Ханты-Мансийского района, за счет перераспределения бюджетных ассигнований, не отнесенных настоящим решением на указанные цели;</w:t>
      </w:r>
    </w:p>
    <w:p w14:paraId="43000000">
      <w:pPr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увеличение </w:t>
      </w:r>
      <w:r>
        <w:rPr>
          <w:rFonts w:ascii="Times New Roman" w:hAnsi="Times New Roman"/>
          <w:sz w:val="28"/>
        </w:rPr>
        <w:t>объема бюджетных ассигнований резервного фонда администрации сельского поселения</w:t>
      </w:r>
      <w:r>
        <w:rPr>
          <w:rFonts w:ascii="Times New Roman" w:hAnsi="Times New Roman"/>
          <w:sz w:val="28"/>
        </w:rPr>
        <w:t xml:space="preserve"> за счет неиспользованных бюджетных </w:t>
      </w:r>
      <w:r>
        <w:rPr>
          <w:rFonts w:ascii="Times New Roman" w:hAnsi="Times New Roman"/>
          <w:sz w:val="28"/>
        </w:rPr>
        <w:t>ассигнований, сложившихся в связи с отменой проведения мероприятий, предусмотренных муниципальными программами сельского поселения;</w:t>
      </w:r>
    </w:p>
    <w:p w14:paraId="44000000">
      <w:pPr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изменение бюджетной классификации расходов бюджета без изменения целевого направления средств;</w:t>
      </w:r>
    </w:p>
    <w:p w14:paraId="45000000">
      <w:pPr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Внесение изменений в сводную бюджетную роспись по основаниям, установленным настоящей статьей, осуществляется в пределах объема бюджетных ассигнований, утвержденных решением о бюджете сельского поселения, за исключением оснований, установленных абзацами третьим, пятым, шестым и восьмым настоящей статьи, в соответствии с которыми внесение изменений в сводную бюджетную роспись может осуществляться с изменением общего объема расходов, утвержденных решением о бюджете сельского поселения.</w:t>
      </w:r>
    </w:p>
    <w:p w14:paraId="46000000">
      <w:pPr>
        <w:pStyle w:val="Style_6"/>
        <w:ind w:firstLine="709" w:left="0"/>
        <w:jc w:val="both"/>
        <w:outlineLvl w:val="1"/>
        <w:rPr>
          <w:rFonts w:ascii="Times New Roman" w:hAnsi="Times New Roman"/>
          <w:sz w:val="28"/>
        </w:rPr>
      </w:pPr>
    </w:p>
    <w:p w14:paraId="47000000">
      <w:pPr>
        <w:pStyle w:val="Style_6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Статья 12</w:t>
      </w:r>
      <w:r>
        <w:rPr>
          <w:rFonts w:ascii="Times New Roman" w:hAnsi="Times New Roman"/>
          <w:sz w:val="28"/>
        </w:rPr>
        <w:t>. Утвердить объем межбюджетных трансфертов, получаемых поселением из других бюджетов бюджетной системы Российской Федерации, в сумме:</w:t>
      </w:r>
    </w:p>
    <w:p w14:paraId="48000000">
      <w:pPr>
        <w:pStyle w:val="Style_6"/>
        <w:ind w:firstLine="709" w:left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2026 год – 30 132,3 тыс. рублей в составе согласно приложению</w:t>
      </w:r>
      <w:r>
        <w:rPr>
          <w:rFonts w:ascii="Times New Roman" w:hAnsi="Times New Roman"/>
          <w:b w:val="1"/>
          <w:sz w:val="28"/>
        </w:rPr>
        <w:t xml:space="preserve"> 9</w:t>
      </w:r>
      <w:r>
        <w:rPr>
          <w:rFonts w:ascii="Times New Roman" w:hAnsi="Times New Roman"/>
          <w:sz w:val="28"/>
        </w:rPr>
        <w:t xml:space="preserve"> к настоящему решению;</w:t>
      </w:r>
    </w:p>
    <w:p w14:paraId="49000000">
      <w:pPr>
        <w:pStyle w:val="Style_6"/>
        <w:ind w:firstLine="709" w:left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2027 год – 27 430,0 тыс. рублей,</w:t>
      </w:r>
    </w:p>
    <w:p w14:paraId="4A000000">
      <w:pPr>
        <w:pStyle w:val="Style_6"/>
        <w:ind w:firstLine="709" w:left="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2028 год – 27 135,6 тыс. рублей согласно приложению </w:t>
      </w:r>
      <w:r>
        <w:rPr>
          <w:rFonts w:ascii="Times New Roman" w:hAnsi="Times New Roman"/>
          <w:b w:val="1"/>
          <w:sz w:val="28"/>
        </w:rPr>
        <w:t>10</w:t>
      </w:r>
      <w:r>
        <w:rPr>
          <w:rFonts w:ascii="Times New Roman" w:hAnsi="Times New Roman"/>
          <w:sz w:val="28"/>
        </w:rPr>
        <w:t xml:space="preserve"> к настоящему решению.</w:t>
      </w:r>
    </w:p>
    <w:p w14:paraId="4B000000">
      <w:pPr>
        <w:pStyle w:val="Style_5"/>
        <w:spacing w:after="0"/>
        <w:ind w:firstLine="709" w:left="0"/>
        <w:rPr>
          <w:rFonts w:ascii="Times New Roman" w:hAnsi="Times New Roman"/>
          <w:sz w:val="28"/>
        </w:rPr>
      </w:pPr>
    </w:p>
    <w:p w14:paraId="4C000000">
      <w:pPr>
        <w:pStyle w:val="Style_7"/>
        <w:spacing w:before="0" w:line="240" w:lineRule="auto"/>
        <w:ind w:firstLine="709" w:left="0"/>
        <w:jc w:val="both"/>
        <w:rPr>
          <w:b w:val="0"/>
        </w:rPr>
      </w:pPr>
      <w:r>
        <w:t>Статья 13</w:t>
      </w:r>
      <w:r>
        <w:rPr>
          <w:b w:val="0"/>
        </w:rPr>
        <w:t xml:space="preserve">. </w:t>
      </w:r>
      <w:r>
        <w:rPr>
          <w:b w:val="0"/>
        </w:rPr>
        <w:t>Установить, что органы местного самоуправления поселения не вправе принимать решения, приводящие к увеличению в 202</w:t>
      </w:r>
      <w:r>
        <w:rPr>
          <w:b w:val="0"/>
        </w:rPr>
        <w:t>5</w:t>
      </w:r>
      <w:r>
        <w:rPr>
          <w:b w:val="0"/>
        </w:rPr>
        <w:t xml:space="preserve"> году численности лиц, замещающих муниципальные должности, должности муниципальной службы, а также работников органов местного самоуправления поселения (за исключением случаев принятия решений по перераспределению функций (полномочий) или наделению ими) и муниципальных учреждений (за исключением случаев принятия решений по перераспределению функций (полномочий) или наделению ими, по вводу</w:t>
      </w:r>
      <w:r>
        <w:rPr>
          <w:b w:val="0"/>
        </w:rPr>
        <w:t xml:space="preserve"> (</w:t>
      </w:r>
      <w:r>
        <w:rPr>
          <w:b w:val="0"/>
        </w:rPr>
        <w:t>приобретению) новых объектов капитального строительства).</w:t>
      </w:r>
    </w:p>
    <w:p w14:paraId="4D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</w:p>
    <w:p w14:paraId="4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Статья 14. </w:t>
      </w:r>
      <w:r>
        <w:rPr>
          <w:rFonts w:ascii="Times New Roman" w:hAnsi="Times New Roman"/>
          <w:sz w:val="28"/>
        </w:rPr>
        <w:t>Утвердить объем межбюджетных трансфертов, передаваемых из бюджета сельского поселения бюджету Ханты-Мансийского муниципального района на осуществление части полномочий по решению вопросов местного значения в соответствии с заключенными соглашениями, на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и плановый период 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2028 годов </w:t>
      </w:r>
      <w:r>
        <w:rPr>
          <w:rFonts w:ascii="Times New Roman" w:hAnsi="Times New Roman"/>
          <w:sz w:val="28"/>
        </w:rPr>
        <w:t xml:space="preserve"> 0,0 тыс. рублей</w:t>
      </w:r>
      <w:r>
        <w:rPr>
          <w:rFonts w:ascii="Times New Roman" w:hAnsi="Times New Roman"/>
          <w:sz w:val="28"/>
        </w:rPr>
        <w:t xml:space="preserve"> ежегодно.</w:t>
      </w:r>
    </w:p>
    <w:p w14:paraId="4F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  <w:highlight w:val="yellow"/>
        </w:rPr>
      </w:pPr>
    </w:p>
    <w:p w14:paraId="5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Статья 15</w:t>
      </w:r>
      <w:r>
        <w:rPr>
          <w:rFonts w:ascii="Times New Roman" w:hAnsi="Times New Roman"/>
          <w:sz w:val="28"/>
        </w:rPr>
        <w:t xml:space="preserve">. Установить, что в случае невыполнения доходной части бюджета сельского поселения в 2026 году и в плановом периоде 2026 и 2027 годов в первоочередном порядке подлежат финансированию социально-значимые расходы, связанные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:</w:t>
      </w:r>
    </w:p>
    <w:p w14:paraId="5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оплатой труда и начислениями на выплаты по оплате труда;</w:t>
      </w:r>
    </w:p>
    <w:p w14:paraId="5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социальным обеспечением населения;</w:t>
      </w:r>
    </w:p>
    <w:p w14:paraId="5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оплатой коммунальных услуг;</w:t>
      </w:r>
    </w:p>
    <w:p w14:paraId="5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предоставление межбюджетных трансфертов бюджету Ханты-Мансийского района в части иных межбюджетных трансфертов.</w:t>
      </w:r>
    </w:p>
    <w:p w14:paraId="5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иных первоочередных расходов, не отнесенных к социально значимым расходам, а также объемы лимитов бюджетных обязательств в 2026 году и плановом периоде 2027 и 2028 годов определяются администрацией сельского поселения в пределах поступающих доходов в бюджет сельского поселения.</w:t>
      </w:r>
    </w:p>
    <w:p w14:paraId="56000000">
      <w:pPr>
        <w:pStyle w:val="Style_6"/>
        <w:ind w:firstLine="709" w:left="0"/>
        <w:jc w:val="both"/>
        <w:outlineLvl w:val="1"/>
        <w:rPr>
          <w:rFonts w:ascii="Times New Roman" w:hAnsi="Times New Roman"/>
          <w:sz w:val="28"/>
        </w:rPr>
      </w:pPr>
    </w:p>
    <w:p w14:paraId="57000000">
      <w:pPr>
        <w:pStyle w:val="Style_6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Статья 16</w:t>
      </w:r>
      <w:r>
        <w:rPr>
          <w:rFonts w:ascii="Times New Roman" w:hAnsi="Times New Roman"/>
          <w:sz w:val="28"/>
        </w:rPr>
        <w:t xml:space="preserve">. Утвердить перечень главных распорядителей средств бюджета сельского поселения согласно приложению </w:t>
      </w:r>
      <w:r>
        <w:rPr>
          <w:rFonts w:ascii="Times New Roman" w:hAnsi="Times New Roman"/>
          <w:b w:val="1"/>
          <w:sz w:val="28"/>
        </w:rPr>
        <w:t>12</w:t>
      </w:r>
      <w:r>
        <w:rPr>
          <w:rFonts w:ascii="Times New Roman" w:hAnsi="Times New Roman"/>
          <w:sz w:val="28"/>
        </w:rPr>
        <w:t xml:space="preserve"> к настоящему решению.</w:t>
      </w:r>
    </w:p>
    <w:p w14:paraId="58000000">
      <w:pPr>
        <w:pStyle w:val="Style_6"/>
        <w:ind w:firstLine="709" w:left="0"/>
        <w:jc w:val="both"/>
        <w:outlineLvl w:val="1"/>
        <w:rPr>
          <w:rFonts w:ascii="Times New Roman" w:hAnsi="Times New Roman"/>
          <w:sz w:val="28"/>
        </w:rPr>
      </w:pPr>
    </w:p>
    <w:p w14:paraId="59000000">
      <w:pPr>
        <w:ind w:firstLine="709" w:left="0"/>
        <w:jc w:val="both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Статья 1</w:t>
      </w:r>
      <w:r>
        <w:rPr>
          <w:rFonts w:ascii="Times New Roman" w:hAnsi="Times New Roman"/>
          <w:b w:val="1"/>
          <w:sz w:val="28"/>
        </w:rPr>
        <w:t>7.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Установить, что в 2026 году финансово-экономическим отделом администрации сельского  поселения </w:t>
      </w:r>
      <w:r>
        <w:rPr>
          <w:rFonts w:ascii="Times New Roman" w:hAnsi="Times New Roman"/>
          <w:sz w:val="28"/>
        </w:rPr>
        <w:t>Селиярово</w:t>
      </w:r>
      <w:r>
        <w:rPr>
          <w:rFonts w:ascii="Times New Roman" w:hAnsi="Times New Roman"/>
          <w:sz w:val="28"/>
        </w:rPr>
        <w:t xml:space="preserve"> осуществляется казначейское сопровождение средств.</w:t>
      </w:r>
    </w:p>
    <w:p w14:paraId="5A000000">
      <w:pPr>
        <w:ind w:firstLine="709" w:left="0"/>
        <w:jc w:val="both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Казначейскому сопровождению подлежат:</w:t>
      </w:r>
    </w:p>
    <w:p w14:paraId="5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авансовые платежи и расчеты по муниципальным контрактам о поставке товаров, выполнении работ, оказании услуг, заключаемым на сумму более 50 000,0 тыс. рублей, источником финансового </w:t>
      </w:r>
      <w:r>
        <w:rPr>
          <w:rFonts w:ascii="Times New Roman" w:hAnsi="Times New Roman"/>
          <w:sz w:val="28"/>
        </w:rPr>
        <w:t>обеспечения</w:t>
      </w:r>
      <w:r>
        <w:rPr>
          <w:rFonts w:ascii="Times New Roman" w:hAnsi="Times New Roman"/>
          <w:sz w:val="28"/>
        </w:rPr>
        <w:t xml:space="preserve"> исполнения которых являются средства, предоставляемые из бюджета сельского поселения </w:t>
      </w:r>
      <w:r>
        <w:rPr>
          <w:rFonts w:ascii="Times New Roman" w:hAnsi="Times New Roman"/>
          <w:sz w:val="28"/>
        </w:rPr>
        <w:t>Селиярово</w:t>
      </w:r>
      <w:r>
        <w:rPr>
          <w:rFonts w:ascii="Times New Roman" w:hAnsi="Times New Roman"/>
          <w:sz w:val="28"/>
        </w:rPr>
        <w:t>;</w:t>
      </w:r>
      <w:bookmarkStart w:id="1" w:name="_GoBack"/>
      <w:bookmarkEnd w:id="1"/>
    </w:p>
    <w:p w14:paraId="5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 авансовые платежи и расчеты по контрактам (договорам) о поставке товаров, выполнении работ, оказании услуг, заключаемым на сумму более 50 000,0 тыс. рублей муниципальными казенными учреждениями сельского поселения </w:t>
      </w:r>
      <w:r>
        <w:rPr>
          <w:rFonts w:ascii="Times New Roman" w:hAnsi="Times New Roman"/>
          <w:sz w:val="28"/>
        </w:rPr>
        <w:t>Селиярово</w:t>
      </w:r>
      <w:r>
        <w:rPr>
          <w:rFonts w:ascii="Times New Roman" w:hAnsi="Times New Roman"/>
          <w:sz w:val="28"/>
        </w:rPr>
        <w:t xml:space="preserve">, лицевые счета которым открыты в администрации сельского поселения </w:t>
      </w:r>
      <w:r>
        <w:rPr>
          <w:rFonts w:ascii="Times New Roman" w:hAnsi="Times New Roman"/>
          <w:sz w:val="28"/>
        </w:rPr>
        <w:t>Селиярово</w:t>
      </w:r>
      <w:r>
        <w:rPr>
          <w:rFonts w:ascii="Times New Roman" w:hAnsi="Times New Roman"/>
          <w:sz w:val="28"/>
        </w:rPr>
        <w:t xml:space="preserve">, за счет средств, предоставляемых из бюджета сельского поселения </w:t>
      </w:r>
      <w:r>
        <w:rPr>
          <w:rFonts w:ascii="Times New Roman" w:hAnsi="Times New Roman"/>
          <w:sz w:val="28"/>
        </w:rPr>
        <w:t>Селиярово</w:t>
      </w:r>
      <w:r>
        <w:rPr>
          <w:rFonts w:ascii="Times New Roman" w:hAnsi="Times New Roman"/>
          <w:sz w:val="28"/>
        </w:rPr>
        <w:t xml:space="preserve"> в соответствии с законодательством Российской Федерации;</w:t>
      </w:r>
    </w:p>
    <w:p w14:paraId="5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 средства, получаемые участниками казначейского сопровождения, в случаях, установленных федеральными законами, решениями Правительства Российской Федерации (включая средства, указанные в абзаце четвертом подпункта 1 статьи 242.27 Бюджетного кодекса Российской Федерации).</w:t>
      </w:r>
    </w:p>
    <w:p w14:paraId="5E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подлежат казначейскому сопровождению средства, предоставляемые юридическим лицам, индивидуальным предпринимателям, физическим лицам:</w:t>
      </w:r>
    </w:p>
    <w:p w14:paraId="5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основании:</w:t>
      </w:r>
    </w:p>
    <w:p w14:paraId="60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муниципальных контрактов, контрактов (договоров), заключаемых 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проезда городским и пригородным транспортом, подписки на периодические издания, в целях аренды, осуществления работ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переносу (переустройству, присоединению) принадлежащих участникам казначейского сопровождения инженерных сетей, коммуникаций, сооружений,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 градостроительной деятельности, осуществления страхования в соответствии со страховым законодательством, в целях приобретения услуг по приему платежей от физических лиц, осуществляемых платежными агентами;</w:t>
      </w:r>
    </w:p>
    <w:p w14:paraId="61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муниципальных контрактов (контрактов), исполнителями которых являются муниципальные казенные учреждения;</w:t>
      </w:r>
    </w:p>
    <w:p w14:paraId="62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муниципальных контрактов, исполнение которых подлежит банковскому сопровождению в соответствии с законодательством Российской Федерации;</w:t>
      </w:r>
    </w:p>
    <w:p w14:paraId="63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контрактов (договоров), заключенных в рамках исполнения договоров (соглашений) о предоставлении субсидий (бюджетных инвестиций), по решению Правительства Российской Федерации;</w:t>
      </w:r>
    </w:p>
    <w:p w14:paraId="6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порядке возмещения недополученных доходов или возмещения фактически понесенных затрат в связи с производством (реализацией) товаров, выполнением работ, оказанием услуг;</w:t>
      </w:r>
    </w:p>
    <w:p w14:paraId="6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социально ориентированным некоммерческим организациям.</w:t>
      </w:r>
    </w:p>
    <w:p w14:paraId="66000000">
      <w:pPr>
        <w:pStyle w:val="Style_6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Статья 1</w:t>
      </w:r>
      <w:r>
        <w:rPr>
          <w:rFonts w:ascii="Times New Roman" w:hAnsi="Times New Roman"/>
          <w:b w:val="1"/>
          <w:sz w:val="28"/>
        </w:rPr>
        <w:t>8.</w:t>
      </w:r>
      <w:r>
        <w:rPr>
          <w:rFonts w:ascii="Times New Roman" w:hAnsi="Times New Roman"/>
          <w:sz w:val="28"/>
        </w:rPr>
        <w:t xml:space="preserve"> Настоящее решение вступает в силу после его официального опубликования (обнародования), но не ранее 1 января 2026 года.</w:t>
      </w:r>
    </w:p>
    <w:p w14:paraId="67000000">
      <w:pPr>
        <w:pStyle w:val="Style_6"/>
        <w:ind w:firstLine="567" w:left="0"/>
        <w:jc w:val="both"/>
        <w:outlineLvl w:val="1"/>
        <w:rPr>
          <w:rFonts w:ascii="Times New Roman" w:hAnsi="Times New Roman"/>
          <w:sz w:val="28"/>
        </w:rPr>
      </w:pPr>
    </w:p>
    <w:p w14:paraId="68000000">
      <w:pPr>
        <w:pStyle w:val="Style_6"/>
        <w:ind w:firstLine="567" w:left="0"/>
        <w:jc w:val="both"/>
        <w:outlineLvl w:val="1"/>
        <w:rPr>
          <w:rFonts w:ascii="Times New Roman" w:hAnsi="Times New Roman"/>
          <w:sz w:val="28"/>
        </w:rPr>
      </w:pPr>
    </w:p>
    <w:p w14:paraId="69000000">
      <w:pPr>
        <w:pStyle w:val="Style_6"/>
        <w:ind w:firstLine="567" w:left="0"/>
        <w:jc w:val="both"/>
        <w:outlineLvl w:val="1"/>
        <w:rPr>
          <w:rFonts w:ascii="Times New Roman" w:hAnsi="Times New Roman"/>
          <w:sz w:val="28"/>
        </w:rPr>
      </w:pPr>
    </w:p>
    <w:p w14:paraId="6A000000">
      <w:pPr>
        <w:pStyle w:val="Style_6"/>
        <w:ind w:firstLine="567" w:left="0"/>
        <w:jc w:val="both"/>
        <w:outlineLvl w:val="1"/>
        <w:rPr>
          <w:rFonts w:ascii="Times New Roman" w:hAnsi="Times New Roman"/>
          <w:sz w:val="28"/>
        </w:rPr>
      </w:pPr>
    </w:p>
    <w:p w14:paraId="6B000000">
      <w:pPr>
        <w:pStyle w:val="Style_6"/>
        <w:ind w:firstLine="567" w:left="0"/>
        <w:jc w:val="both"/>
        <w:outlineLvl w:val="1"/>
        <w:rPr>
          <w:rFonts w:ascii="Times New Roman" w:hAnsi="Times New Roman"/>
          <w:sz w:val="28"/>
        </w:rPr>
      </w:pPr>
    </w:p>
    <w:p w14:paraId="6C000000">
      <w:pPr>
        <w:pStyle w:val="Style_6"/>
        <w:ind w:firstLine="567" w:left="0"/>
        <w:jc w:val="both"/>
        <w:outlineLvl w:val="1"/>
        <w:rPr>
          <w:rFonts w:ascii="Times New Roman" w:hAnsi="Times New Roman"/>
          <w:sz w:val="28"/>
        </w:rPr>
      </w:pPr>
    </w:p>
    <w:p w14:paraId="6D000000">
      <w:pPr>
        <w:pStyle w:val="Style_6"/>
        <w:ind w:firstLine="0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Совета депутатов</w:t>
      </w:r>
    </w:p>
    <w:p w14:paraId="6E000000">
      <w:pPr>
        <w:pStyle w:val="Style_6"/>
        <w:ind w:firstLine="0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</w:t>
      </w:r>
      <w:r>
        <w:rPr>
          <w:rFonts w:ascii="Times New Roman" w:hAnsi="Times New Roman"/>
          <w:sz w:val="28"/>
        </w:rPr>
        <w:t>Селиярово</w:t>
      </w:r>
      <w:r>
        <w:rPr>
          <w:rFonts w:ascii="Times New Roman" w:hAnsi="Times New Roman"/>
          <w:sz w:val="28"/>
        </w:rPr>
        <w:t xml:space="preserve">                                                      С.В. Маркова</w:t>
      </w:r>
    </w:p>
    <w:sectPr>
      <w:pgSz w:h="16838" w:orient="portrait" w:w="11906"/>
      <w:pgMar w:bottom="568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firstLine="709" w:left="0"/>
      </w:pPr>
      <w:rPr>
        <w:rFonts w:ascii="Times New Roman" w:hAnsi="Times New Roman"/>
        <w:b w:val="0"/>
        <w:i w:val="0"/>
        <w:caps w:val="0"/>
        <w:strike w:val="0"/>
        <w:shadow w:val="0"/>
        <w:emboss w:val="0"/>
        <w:imprint w:val="0"/>
        <w:sz w:val="28"/>
      </w:rPr>
    </w:lvl>
    <w:lvl w:ilvl="1">
      <w:start w:val="1"/>
      <w:numFmt w:val="decimal"/>
      <w:lvlText w:val="%2)"/>
      <w:lvlJc w:val="left"/>
      <w:pPr>
        <w:ind w:firstLine="709" w:left="0"/>
      </w:pPr>
      <w:rPr>
        <w:rFonts w:ascii="Times New Roman" w:hAnsi="Times New Roman"/>
        <w:b w:val="0"/>
        <w:i w:val="0"/>
        <w:caps w:val="0"/>
        <w:strike w:val="0"/>
        <w:shadow w:val="0"/>
        <w:emboss w:val="0"/>
        <w:imprint w:val="0"/>
        <w:sz w:val="28"/>
      </w:rPr>
    </w:lvl>
    <w:lvl w:ilvl="2">
      <w:start w:val="1"/>
      <w:numFmt w:val="russianLower"/>
      <w:lvlText w:val="%3)"/>
      <w:lvlJc w:val="left"/>
      <w:pPr>
        <w:ind w:firstLine="709" w:left="0"/>
      </w:pPr>
      <w:rPr>
        <w:rFonts w:ascii="Times New Roman" w:hAnsi="Times New Roman"/>
        <w:b w:val="0"/>
        <w:i w:val="0"/>
        <w:caps w:val="0"/>
        <w:strike w:val="0"/>
        <w:shadow w:val="0"/>
        <w:emboss w:val="0"/>
        <w:imprint w:val="0"/>
        <w:sz w:val="28"/>
      </w:rPr>
    </w:lvl>
    <w:lvl w:ilvl="3">
      <w:start w:val="1"/>
      <w:numFmt w:val="decimal"/>
      <w:pStyle w:val="Style_1"/>
      <w:lvlText w:val=""/>
      <w:lvlJc w:val="left"/>
      <w:pPr>
        <w:ind w:firstLine="0" w:left="0"/>
      </w:pPr>
    </w:lvl>
    <w:lvl w:ilvl="4">
      <w:start w:val="1"/>
      <w:numFmt w:val="decimal"/>
      <w:pStyle w:val="Style_20"/>
      <w:lvlText w:val=""/>
      <w:lvlJc w:val="left"/>
      <w:pPr>
        <w:ind w:firstLine="0" w:left="0"/>
      </w:pPr>
    </w:lvl>
    <w:lvl w:ilvl="5">
      <w:start w:val="1"/>
      <w:numFmt w:val="decimal"/>
      <w:pStyle w:val="Style_39"/>
      <w:lvlText w:val=""/>
      <w:lvlJc w:val="left"/>
      <w:pPr>
        <w:ind w:firstLine="0" w:left="0"/>
      </w:pPr>
    </w:lvl>
    <w:lvl w:ilvl="6">
      <w:start w:val="1"/>
      <w:numFmt w:val="decimal"/>
      <w:pStyle w:val="Style_10"/>
      <w:lvlText w:val=""/>
      <w:lvlJc w:val="left"/>
      <w:pPr>
        <w:ind w:firstLine="0" w:left="0"/>
      </w:pPr>
    </w:lvl>
    <w:lvl w:ilvl="7">
      <w:start w:val="1"/>
      <w:numFmt w:val="decimal"/>
      <w:pStyle w:val="Style_24"/>
      <w:lvlText w:val=""/>
      <w:lvlJc w:val="left"/>
      <w:pPr>
        <w:ind w:firstLine="0" w:left="0"/>
      </w:pPr>
    </w:lvl>
    <w:lvl w:ilvl="8">
      <w:start w:val="1"/>
      <w:numFmt w:val="decimal"/>
      <w:pStyle w:val="Style_17"/>
      <w:lvlText w:val=""/>
      <w:lvlJc w:val="left"/>
      <w:pPr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8" w:type="paragraph">
    <w:name w:val="toc 2"/>
    <w:next w:val="Style_2"/>
    <w:link w:val="Style_8_ch"/>
    <w:uiPriority w:val="39"/>
    <w:pPr>
      <w:ind w:firstLine="0"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2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heading 7"/>
    <w:basedOn w:val="Style_2"/>
    <w:next w:val="Style_2"/>
    <w:link w:val="Style_10_ch"/>
    <w:uiPriority w:val="9"/>
    <w:qFormat/>
    <w:pPr>
      <w:numPr>
        <w:ilvl w:val="6"/>
        <w:numId w:val="1"/>
      </w:numPr>
      <w:spacing w:after="60" w:before="240" w:line="240" w:lineRule="auto"/>
      <w:ind/>
      <w:outlineLvl w:val="6"/>
    </w:pPr>
    <w:rPr>
      <w:rFonts w:ascii="Times New Roman" w:hAnsi="Times New Roman"/>
      <w:sz w:val="24"/>
    </w:rPr>
  </w:style>
  <w:style w:styleId="Style_10_ch" w:type="character">
    <w:name w:val="heading 7"/>
    <w:basedOn w:val="Style_2_ch"/>
    <w:link w:val="Style_10"/>
    <w:rPr>
      <w:rFonts w:ascii="Times New Roman" w:hAnsi="Times New Roman"/>
      <w:sz w:val="24"/>
    </w:rPr>
  </w:style>
  <w:style w:styleId="Style_11" w:type="paragraph">
    <w:name w:val="toc 6"/>
    <w:next w:val="Style_2"/>
    <w:link w:val="Style_11_ch"/>
    <w:uiPriority w:val="39"/>
    <w:pPr>
      <w:ind w:firstLine="0"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2"/>
    <w:link w:val="Style_12_ch"/>
    <w:uiPriority w:val="39"/>
    <w:pPr>
      <w:ind w:firstLine="0"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5" w:type="paragraph">
    <w:name w:val="Body Text"/>
    <w:basedOn w:val="Style_2"/>
    <w:link w:val="Style_5_ch"/>
    <w:pPr>
      <w:spacing w:after="120" w:line="240" w:lineRule="auto"/>
      <w:ind w:hanging="284" w:left="284"/>
      <w:jc w:val="both"/>
    </w:pPr>
    <w:rPr>
      <w:sz w:val="20"/>
    </w:rPr>
  </w:style>
  <w:style w:styleId="Style_5_ch" w:type="character">
    <w:name w:val="Body Text"/>
    <w:basedOn w:val="Style_2_ch"/>
    <w:link w:val="Style_5"/>
    <w:rPr>
      <w:sz w:val="20"/>
    </w:rPr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heading 3"/>
    <w:next w:val="Style_2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6" w:type="paragraph">
    <w:name w:val="ConsPlusNormal"/>
    <w:link w:val="Style_6_ch"/>
    <w:pPr>
      <w:ind w:firstLine="720" w:left="0"/>
    </w:pPr>
    <w:rPr>
      <w:rFonts w:ascii="Arial" w:hAnsi="Arial"/>
    </w:rPr>
  </w:style>
  <w:style w:styleId="Style_6_ch" w:type="character">
    <w:name w:val="ConsPlusNormal"/>
    <w:link w:val="Style_6"/>
    <w:rPr>
      <w:rFonts w:ascii="Arial" w:hAnsi="Arial"/>
    </w:rPr>
  </w:style>
  <w:style w:styleId="Style_15" w:type="paragraph">
    <w:name w:val="Основной шрифт абзаца2"/>
    <w:link w:val="Style_15_ch"/>
  </w:style>
  <w:style w:styleId="Style_15_ch" w:type="character">
    <w:name w:val="Основной шрифт абзаца2"/>
    <w:link w:val="Style_15"/>
  </w:style>
  <w:style w:styleId="Style_7" w:type="paragraph">
    <w:name w:val="Статья"/>
    <w:basedOn w:val="Style_16"/>
    <w:link w:val="Style_7_ch"/>
    <w:pPr>
      <w:ind w:firstLine="0" w:left="708"/>
      <w:jc w:val="left"/>
    </w:pPr>
  </w:style>
  <w:style w:styleId="Style_7_ch" w:type="character">
    <w:name w:val="Статья"/>
    <w:basedOn w:val="Style_16_ch"/>
    <w:link w:val="Style_7"/>
  </w:style>
  <w:style w:styleId="Style_17" w:type="paragraph">
    <w:name w:val="heading 9"/>
    <w:basedOn w:val="Style_2"/>
    <w:next w:val="Style_2"/>
    <w:link w:val="Style_17_ch"/>
    <w:uiPriority w:val="9"/>
    <w:qFormat/>
    <w:pPr>
      <w:numPr>
        <w:ilvl w:val="8"/>
        <w:numId w:val="1"/>
      </w:numPr>
      <w:spacing w:after="60" w:before="240" w:line="240" w:lineRule="auto"/>
      <w:ind/>
      <w:outlineLvl w:val="8"/>
    </w:pPr>
    <w:rPr>
      <w:rFonts w:ascii="Arial" w:hAnsi="Arial"/>
      <w:sz w:val="20"/>
    </w:rPr>
  </w:style>
  <w:style w:styleId="Style_17_ch" w:type="character">
    <w:name w:val="heading 9"/>
    <w:basedOn w:val="Style_2_ch"/>
    <w:link w:val="Style_17"/>
    <w:rPr>
      <w:rFonts w:ascii="Arial" w:hAnsi="Arial"/>
      <w:sz w:val="20"/>
    </w:rPr>
  </w:style>
  <w:style w:styleId="Style_18" w:type="paragraph">
    <w:name w:val="toc 3"/>
    <w:next w:val="Style_2"/>
    <w:link w:val="Style_18_ch"/>
    <w:uiPriority w:val="39"/>
    <w:pPr>
      <w:ind w:firstLine="0"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Обычный1"/>
    <w:link w:val="Style_19_ch"/>
    <w:rPr>
      <w:sz w:val="22"/>
    </w:rPr>
  </w:style>
  <w:style w:styleId="Style_19_ch" w:type="character">
    <w:name w:val="Обычный1"/>
    <w:link w:val="Style_19"/>
    <w:rPr>
      <w:sz w:val="22"/>
    </w:rPr>
  </w:style>
  <w:style w:styleId="Style_20" w:type="paragraph">
    <w:name w:val="heading 5"/>
    <w:basedOn w:val="Style_2"/>
    <w:next w:val="Style_2"/>
    <w:link w:val="Style_20_ch"/>
    <w:uiPriority w:val="9"/>
    <w:qFormat/>
    <w:pPr>
      <w:numPr>
        <w:ilvl w:val="4"/>
        <w:numId w:val="1"/>
      </w:numPr>
      <w:spacing w:after="60" w:before="240" w:line="240" w:lineRule="auto"/>
      <w:ind/>
      <w:outlineLvl w:val="4"/>
    </w:pPr>
    <w:rPr>
      <w:rFonts w:ascii="Times New Roman" w:hAnsi="Times New Roman"/>
      <w:b w:val="1"/>
      <w:i w:val="1"/>
      <w:sz w:val="26"/>
    </w:rPr>
  </w:style>
  <w:style w:styleId="Style_20_ch" w:type="character">
    <w:name w:val="heading 5"/>
    <w:basedOn w:val="Style_2_ch"/>
    <w:link w:val="Style_20"/>
    <w:rPr>
      <w:rFonts w:ascii="Times New Roman" w:hAnsi="Times New Roman"/>
      <w:b w:val="1"/>
      <w:i w:val="1"/>
      <w:sz w:val="26"/>
    </w:rPr>
  </w:style>
  <w:style w:styleId="Style_21" w:type="paragraph">
    <w:name w:val="heading 1"/>
    <w:basedOn w:val="Style_2"/>
    <w:next w:val="Style_2"/>
    <w:link w:val="Style_21_ch"/>
    <w:uiPriority w:val="9"/>
    <w:qFormat/>
    <w:pPr>
      <w:keepNext w:val="1"/>
      <w:keepLines w:val="1"/>
      <w:spacing w:after="0" w:before="480"/>
      <w:ind/>
      <w:outlineLvl w:val="0"/>
    </w:pPr>
    <w:rPr>
      <w:rFonts w:ascii="Cambria" w:hAnsi="Cambria"/>
      <w:b w:val="1"/>
      <w:color w:val="365F91"/>
      <w:sz w:val="28"/>
    </w:rPr>
  </w:style>
  <w:style w:styleId="Style_21_ch" w:type="character">
    <w:name w:val="heading 1"/>
    <w:basedOn w:val="Style_2_ch"/>
    <w:link w:val="Style_21"/>
    <w:rPr>
      <w:rFonts w:ascii="Cambria" w:hAnsi="Cambria"/>
      <w:b w:val="1"/>
      <w:color w:val="365F91"/>
      <w:sz w:val="28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heading 8"/>
    <w:basedOn w:val="Style_2"/>
    <w:next w:val="Style_2"/>
    <w:link w:val="Style_24_ch"/>
    <w:uiPriority w:val="9"/>
    <w:qFormat/>
    <w:pPr>
      <w:numPr>
        <w:ilvl w:val="7"/>
        <w:numId w:val="1"/>
      </w:numPr>
      <w:spacing w:after="60" w:before="240" w:line="240" w:lineRule="auto"/>
      <w:ind/>
      <w:outlineLvl w:val="7"/>
    </w:pPr>
    <w:rPr>
      <w:rFonts w:ascii="Times New Roman" w:hAnsi="Times New Roman"/>
      <w:i w:val="1"/>
      <w:sz w:val="24"/>
    </w:rPr>
  </w:style>
  <w:style w:styleId="Style_24_ch" w:type="character">
    <w:name w:val="heading 8"/>
    <w:basedOn w:val="Style_2_ch"/>
    <w:link w:val="Style_24"/>
    <w:rPr>
      <w:rFonts w:ascii="Times New Roman" w:hAnsi="Times New Roman"/>
      <w:i w:val="1"/>
      <w:sz w:val="24"/>
    </w:rPr>
  </w:style>
  <w:style w:styleId="Style_4" w:type="paragraph">
    <w:name w:val="ConsNormal"/>
    <w:link w:val="Style_4_ch"/>
    <w:pPr>
      <w:widowControl w:val="0"/>
      <w:ind w:firstLine="720" w:left="0"/>
    </w:pPr>
    <w:rPr>
      <w:rFonts w:ascii="Arial" w:hAnsi="Arial"/>
    </w:rPr>
  </w:style>
  <w:style w:styleId="Style_4_ch" w:type="character">
    <w:name w:val="ConsNormal"/>
    <w:link w:val="Style_4"/>
    <w:rPr>
      <w:rFonts w:ascii="Arial" w:hAnsi="Arial"/>
    </w:rPr>
  </w:style>
  <w:style w:styleId="Style_25" w:type="paragraph">
    <w:name w:val="toc 1"/>
    <w:next w:val="Style_2"/>
    <w:link w:val="Style_25_ch"/>
    <w:uiPriority w:val="39"/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ind/>
      <w:jc w:val="both"/>
    </w:pPr>
    <w:rPr>
      <w:rFonts w:ascii="XO Thames" w:hAnsi="XO Thames"/>
    </w:rPr>
  </w:style>
  <w:style w:styleId="Style_26_ch" w:type="character">
    <w:name w:val="Header and Footer"/>
    <w:link w:val="Style_26"/>
    <w:rPr>
      <w:rFonts w:ascii="XO Thames" w:hAnsi="XO Thames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Body Text 2"/>
    <w:basedOn w:val="Style_2"/>
    <w:link w:val="Style_28_ch"/>
    <w:pPr>
      <w:spacing w:after="120" w:line="480" w:lineRule="auto"/>
      <w:ind/>
    </w:pPr>
  </w:style>
  <w:style w:styleId="Style_28_ch" w:type="character">
    <w:name w:val="Body Text 2"/>
    <w:basedOn w:val="Style_2_ch"/>
    <w:link w:val="Style_28"/>
  </w:style>
  <w:style w:styleId="Style_29" w:type="paragraph">
    <w:name w:val="Основной шрифт абзаца1"/>
    <w:link w:val="Style_29_ch"/>
  </w:style>
  <w:style w:styleId="Style_29_ch" w:type="character">
    <w:name w:val="Основной шрифт абзаца1"/>
    <w:link w:val="Style_29"/>
  </w:style>
  <w:style w:styleId="Style_30" w:type="paragraph">
    <w:name w:val="Обычный1"/>
    <w:link w:val="Style_30_ch"/>
    <w:rPr>
      <w:sz w:val="22"/>
    </w:rPr>
  </w:style>
  <w:style w:styleId="Style_30_ch" w:type="character">
    <w:name w:val="Обычный1"/>
    <w:link w:val="Style_30"/>
    <w:rPr>
      <w:sz w:val="22"/>
    </w:rPr>
  </w:style>
  <w:style w:styleId="Style_31" w:type="paragraph">
    <w:name w:val="toc 9"/>
    <w:next w:val="Style_2"/>
    <w:link w:val="Style_31_ch"/>
    <w:uiPriority w:val="39"/>
    <w:pPr>
      <w:ind w:firstLine="0" w:left="1600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toc 8"/>
    <w:next w:val="Style_2"/>
    <w:link w:val="Style_32_ch"/>
    <w:uiPriority w:val="39"/>
    <w:pPr>
      <w:ind w:firstLine="0" w:left="1400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Body Text Indent"/>
    <w:basedOn w:val="Style_2"/>
    <w:link w:val="Style_33_ch"/>
    <w:pPr>
      <w:spacing w:after="120"/>
      <w:ind w:firstLine="0" w:left="283"/>
    </w:pPr>
  </w:style>
  <w:style w:styleId="Style_33_ch" w:type="character">
    <w:name w:val="Body Text Indent"/>
    <w:basedOn w:val="Style_2_ch"/>
    <w:link w:val="Style_33"/>
  </w:style>
  <w:style w:styleId="Style_34" w:type="paragraph">
    <w:name w:val="Balloon Text"/>
    <w:basedOn w:val="Style_2"/>
    <w:link w:val="Style_34_ch"/>
    <w:pPr>
      <w:spacing w:after="0" w:line="240" w:lineRule="auto"/>
      <w:ind/>
    </w:pPr>
    <w:rPr>
      <w:rFonts w:ascii="Tahoma" w:hAnsi="Tahoma"/>
      <w:sz w:val="16"/>
    </w:rPr>
  </w:style>
  <w:style w:styleId="Style_34_ch" w:type="character">
    <w:name w:val="Balloon Text"/>
    <w:basedOn w:val="Style_2_ch"/>
    <w:link w:val="Style_34"/>
    <w:rPr>
      <w:rFonts w:ascii="Tahoma" w:hAnsi="Tahoma"/>
      <w:sz w:val="16"/>
    </w:rPr>
  </w:style>
  <w:style w:styleId="Style_35" w:type="paragraph">
    <w:name w:val="toc 5"/>
    <w:next w:val="Style_2"/>
    <w:link w:val="Style_35_ch"/>
    <w:uiPriority w:val="39"/>
    <w:pPr>
      <w:ind w:firstLine="0" w:left="800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Гиперссылка1"/>
    <w:link w:val="Style_36_ch"/>
    <w:rPr>
      <w:color w:val="0000FF"/>
      <w:u w:val="single"/>
    </w:rPr>
  </w:style>
  <w:style w:styleId="Style_36_ch" w:type="character">
    <w:name w:val="Гиперссылка1"/>
    <w:link w:val="Style_36"/>
    <w:rPr>
      <w:color w:val="0000FF"/>
      <w:u w:val="single"/>
    </w:rPr>
  </w:style>
  <w:style w:styleId="Style_37" w:type="paragraph">
    <w:name w:val="Subtitle"/>
    <w:next w:val="Style_2"/>
    <w:link w:val="Style_3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16" w:type="paragraph">
    <w:name w:val="Title"/>
    <w:basedOn w:val="Style_2"/>
    <w:link w:val="Style_16_ch"/>
    <w:uiPriority w:val="10"/>
    <w:qFormat/>
    <w:pPr>
      <w:spacing w:after="0" w:before="400" w:line="360" w:lineRule="auto"/>
      <w:ind/>
      <w:jc w:val="center"/>
    </w:pPr>
    <w:rPr>
      <w:rFonts w:ascii="Times New Roman" w:hAnsi="Times New Roman"/>
      <w:b w:val="1"/>
      <w:sz w:val="28"/>
    </w:rPr>
  </w:style>
  <w:style w:styleId="Style_16_ch" w:type="character">
    <w:name w:val="Title"/>
    <w:basedOn w:val="Style_2_ch"/>
    <w:link w:val="Style_16"/>
    <w:rPr>
      <w:rFonts w:ascii="Times New Roman" w:hAnsi="Times New Roman"/>
      <w:b w:val="1"/>
      <w:sz w:val="28"/>
    </w:rPr>
  </w:style>
  <w:style w:styleId="Style_1" w:type="paragraph">
    <w:name w:val="heading 4"/>
    <w:basedOn w:val="Style_2"/>
    <w:next w:val="Style_2"/>
    <w:link w:val="Style_1_ch"/>
    <w:uiPriority w:val="9"/>
    <w:qFormat/>
    <w:pPr>
      <w:keepNext w:val="1"/>
      <w:numPr>
        <w:ilvl w:val="3"/>
        <w:numId w:val="1"/>
      </w:numPr>
      <w:spacing w:after="60" w:before="240" w:line="240" w:lineRule="auto"/>
      <w:ind/>
      <w:outlineLvl w:val="3"/>
    </w:pPr>
    <w:rPr>
      <w:rFonts w:ascii="Times New Roman" w:hAnsi="Times New Roman"/>
      <w:b w:val="1"/>
      <w:sz w:val="28"/>
    </w:rPr>
  </w:style>
  <w:style w:styleId="Style_1_ch" w:type="character">
    <w:name w:val="heading 4"/>
    <w:basedOn w:val="Style_2_ch"/>
    <w:link w:val="Style_1"/>
    <w:rPr>
      <w:rFonts w:ascii="Times New Roman" w:hAnsi="Times New Roman"/>
      <w:b w:val="1"/>
      <w:sz w:val="28"/>
    </w:rPr>
  </w:style>
  <w:style w:styleId="Style_38" w:type="paragraph">
    <w:name w:val="heading 2"/>
    <w:next w:val="Style_2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" w:type="paragraph">
    <w:name w:val="ConsTitle"/>
    <w:link w:val="Style_3_ch"/>
    <w:pPr>
      <w:widowControl w:val="0"/>
      <w:ind/>
    </w:pPr>
    <w:rPr>
      <w:rFonts w:ascii="Arial" w:hAnsi="Arial"/>
      <w:b w:val="1"/>
    </w:rPr>
  </w:style>
  <w:style w:styleId="Style_3_ch" w:type="character">
    <w:name w:val="ConsTitle"/>
    <w:link w:val="Style_3"/>
    <w:rPr>
      <w:rFonts w:ascii="Arial" w:hAnsi="Arial"/>
      <w:b w:val="1"/>
    </w:rPr>
  </w:style>
  <w:style w:styleId="Style_39" w:type="paragraph">
    <w:name w:val="heading 6"/>
    <w:basedOn w:val="Style_2"/>
    <w:next w:val="Style_2"/>
    <w:link w:val="Style_39_ch"/>
    <w:uiPriority w:val="9"/>
    <w:qFormat/>
    <w:pPr>
      <w:numPr>
        <w:ilvl w:val="5"/>
        <w:numId w:val="1"/>
      </w:numPr>
      <w:spacing w:after="60" w:before="240" w:line="240" w:lineRule="auto"/>
      <w:ind/>
      <w:outlineLvl w:val="5"/>
    </w:pPr>
    <w:rPr>
      <w:rFonts w:ascii="Times New Roman" w:hAnsi="Times New Roman"/>
      <w:b w:val="1"/>
      <w:sz w:val="20"/>
    </w:rPr>
  </w:style>
  <w:style w:styleId="Style_39_ch" w:type="character">
    <w:name w:val="heading 6"/>
    <w:basedOn w:val="Style_2_ch"/>
    <w:link w:val="Style_39"/>
    <w:rPr>
      <w:rFonts w:ascii="Times New Roman" w:hAnsi="Times New Roman"/>
      <w:b w:val="1"/>
      <w:sz w:val="20"/>
    </w:rPr>
  </w:style>
  <w:style w:default="1" w:styleId="Style_4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2025-10-29T11:13:24Z</dcterms:modified>
</cp:coreProperties>
</file>