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343B" w:rsidRDefault="009A14D4">
      <w:pPr>
        <w:pStyle w:val="afc"/>
        <w:jc w:val="right"/>
        <w:rPr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Приложение 4</w:t>
      </w:r>
      <w:r>
        <w:rPr>
          <w:rFonts w:ascii="Times New Roman" w:hAnsi="Times New Roman" w:cs="Times New Roman"/>
          <w:sz w:val="20"/>
          <w:szCs w:val="20"/>
        </w:rPr>
        <w:br/>
        <w:t xml:space="preserve">к приказу Департамента промышленности </w:t>
      </w:r>
    </w:p>
    <w:p w:rsidR="0038343B" w:rsidRDefault="009A14D4">
      <w:pPr>
        <w:pStyle w:val="afc"/>
        <w:jc w:val="right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Ханты-Мансийского автономного округа – Югры </w:t>
      </w:r>
    </w:p>
    <w:p w:rsidR="0038343B" w:rsidRDefault="009A14D4">
      <w:pPr>
        <w:pStyle w:val="afc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от 10.06.2026 № 38-п-238</w:t>
      </w:r>
    </w:p>
    <w:p w:rsidR="0038343B" w:rsidRDefault="0038343B">
      <w:pPr>
        <w:pStyle w:val="afc"/>
        <w:jc w:val="right"/>
        <w:rPr>
          <w:rFonts w:ascii="Times New Roman" w:hAnsi="Times New Roman" w:cs="Times New Roman"/>
          <w:sz w:val="28"/>
          <w:szCs w:val="28"/>
        </w:rPr>
      </w:pPr>
    </w:p>
    <w:p w:rsidR="0038343B" w:rsidRDefault="009A14D4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38343B" w:rsidRDefault="009A14D4">
      <w:pPr>
        <w:pStyle w:val="af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подачи и рассмотрения </w:t>
      </w:r>
      <w:r>
        <w:rPr>
          <w:rFonts w:ascii="Times New Roman" w:hAnsi="Times New Roman" w:cs="Times New Roman"/>
          <w:sz w:val="28"/>
          <w:szCs w:val="28"/>
        </w:rPr>
        <w:t xml:space="preserve">заявок на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Ханты-Мансийском автономном округе – Югре </w:t>
      </w:r>
      <w:r>
        <w:rPr>
          <w:rFonts w:ascii="Times New Roman" w:hAnsi="Times New Roman" w:cs="Times New Roman"/>
          <w:sz w:val="28"/>
          <w:szCs w:val="28"/>
        </w:rPr>
        <w:t>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 подачи и рассмотрения заявок)</w:t>
      </w:r>
    </w:p>
    <w:p w:rsidR="0038343B" w:rsidRDefault="0038343B">
      <w:pPr>
        <w:pStyle w:val="afc"/>
        <w:rPr>
          <w:rFonts w:ascii="Times New Roman" w:hAnsi="Times New Roman" w:cs="Times New Roman"/>
          <w:sz w:val="28"/>
          <w:szCs w:val="28"/>
        </w:rPr>
      </w:pP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соответствии с </w:t>
      </w:r>
      <w:r>
        <w:rPr>
          <w:sz w:val="28"/>
          <w:szCs w:val="28"/>
        </w:rPr>
        <w:t>приказом Министерства сельского хозяйства Российской Федерации от 7 мая 2018 года № 196 «Об утверждении Административного регламента органов исполнительной власти субъектов Российской Фед</w:t>
      </w:r>
      <w:r>
        <w:rPr>
          <w:sz w:val="28"/>
          <w:szCs w:val="28"/>
        </w:rPr>
        <w:t xml:space="preserve">ерации по предоставлению государственной услуги в сфере переданных полномочий Российской Федерации по подготовке и принятию решении о предоставлении водных биологических ресурсов в пользование для осуществления рыболовства </w:t>
      </w:r>
      <w:r>
        <w:rPr>
          <w:sz w:val="28"/>
          <w:szCs w:val="28"/>
        </w:rPr>
        <w:t>в целях обеспечения ведения тради</w:t>
      </w:r>
      <w:r>
        <w:rPr>
          <w:sz w:val="28"/>
          <w:szCs w:val="28"/>
        </w:rPr>
        <w:t>ционного образа жизни и осуществления традиционной хозяйственной деятельности коренных малочисленных народов Север</w:t>
      </w:r>
      <w:r>
        <w:rPr>
          <w:sz w:val="28"/>
          <w:szCs w:val="28"/>
        </w:rPr>
        <w:t>а, Сибири и Дальнего Востока Российской Федерации»</w:t>
      </w:r>
      <w:r>
        <w:rPr>
          <w:sz w:val="28"/>
          <w:szCs w:val="28"/>
        </w:rPr>
        <w:t xml:space="preserve"> (далее – административный регламент № 196) Департамент промышленности Ханты-Мансийского авт</w:t>
      </w:r>
      <w:r>
        <w:rPr>
          <w:sz w:val="28"/>
          <w:szCs w:val="28"/>
        </w:rPr>
        <w:t>ономного округа – Югры (далее – Департамент) осуществляет предоставление государственной услуги по подготовке и принятию решения о предоставлении водных биологических ресурсов в пользование для осуществления рыболовства в целях обеспечения ведения традицио</w:t>
      </w:r>
      <w:r>
        <w:rPr>
          <w:sz w:val="28"/>
          <w:szCs w:val="28"/>
        </w:rPr>
        <w:t>нного образа жизни и осуществления традиционной хозяйственной деятельности коренных малочисленных народов Севера (далее – государственная услуга, традиционное рыболовство)</w:t>
      </w:r>
      <w:r>
        <w:rPr>
          <w:sz w:val="28"/>
          <w:szCs w:val="28"/>
        </w:rPr>
        <w:t>.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 осуществляет прием заявок </w:t>
      </w:r>
      <w:r>
        <w:rPr>
          <w:sz w:val="28"/>
          <w:szCs w:val="28"/>
        </w:rPr>
        <w:t xml:space="preserve">на предоставление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br/>
        <w:t>Ханты-Мансийском авто</w:t>
      </w:r>
      <w:r>
        <w:rPr>
          <w:sz w:val="28"/>
          <w:szCs w:val="28"/>
        </w:rPr>
        <w:t xml:space="preserve">номном округе – Югре </w:t>
      </w:r>
      <w:r>
        <w:rPr>
          <w:sz w:val="28"/>
          <w:szCs w:val="28"/>
        </w:rPr>
        <w:t xml:space="preserve">водных биологических ресурсов в пользование для осуществления традиционного рыболовства (далее – заявка) по установленным настоящим приказом формам </w:t>
      </w:r>
      <w:r>
        <w:rPr>
          <w:sz w:val="28"/>
          <w:szCs w:val="28"/>
        </w:rPr>
        <w:t xml:space="preserve">(приложение 1, 2) до 1 сентября года, предшествующего году осуществления традиционного </w:t>
      </w:r>
      <w:r>
        <w:rPr>
          <w:sz w:val="28"/>
          <w:szCs w:val="28"/>
        </w:rPr>
        <w:t>рыболовства.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Общий срок предоставления государственной услуги составляет не более 120 дней с даты окончания приема заявок.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Заявителями являются лица, относящиеся к коренным малочисленным народам Севера, Сибири и Дальнего Востока Российской Федерации, а </w:t>
      </w:r>
      <w:r>
        <w:rPr>
          <w:sz w:val="28"/>
          <w:szCs w:val="28"/>
        </w:rPr>
        <w:t xml:space="preserve">также их общины в соответствии с Единым </w:t>
      </w:r>
      <w:hyperlink r:id="rId8" w:tooltip="Постановление Правительства РФ от 24.03.2000 N 255 (ред. от 18.12.2021) &quot;О Едином перечне коренных малочисленных народов Российской Федерации&quot; {КонсультантПлюс}" w:history="1">
        <w:r>
          <w:rPr>
            <w:color w:val="000000" w:themeColor="text1"/>
            <w:sz w:val="28"/>
            <w:szCs w:val="28"/>
          </w:rPr>
          <w:t>перечнем</w:t>
        </w:r>
      </w:hyperlink>
      <w:r>
        <w:rPr>
          <w:sz w:val="28"/>
          <w:szCs w:val="28"/>
        </w:rPr>
        <w:t xml:space="preserve"> коренных малочисленных народов Российской Федерации, утвержденным постановлением Правительства Российской Федерации от 24 марта 2000 года № 255, </w:t>
      </w:r>
      <w:hyperlink r:id="rId9" w:tooltip="Распоряжение Правительства РФ от 17.04.2006 N 536-р (ред. от 26.12.2011) &lt;Об утверждении перечня коренных малочисленных народов Севера, Сибири и Дальнего Востока Российской Федерации&gt; {КонсультантПлюс}" w:history="1">
        <w:r>
          <w:rPr>
            <w:color w:val="000000" w:themeColor="text1"/>
            <w:sz w:val="28"/>
            <w:szCs w:val="28"/>
          </w:rPr>
          <w:t>перечнем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коренных малочисленных народов Севера, Сибири и </w:t>
      </w:r>
      <w:r>
        <w:rPr>
          <w:sz w:val="28"/>
          <w:szCs w:val="28"/>
        </w:rPr>
        <w:lastRenderedPageBreak/>
        <w:t xml:space="preserve">Дальнего Востока Российской Федерации, утвержденным распоряжением Правительства Российской Федерации от 17 апреля 2006 г. № 536-р, </w:t>
      </w:r>
      <w:hyperlink r:id="rId10" w:tooltip="Распоряжение Правительства РФ от 08.05.2009 N 631-р (ред. от 15.11.2025) &lt;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" w:history="1">
        <w:r>
          <w:rPr>
            <w:color w:val="000000" w:themeColor="text1"/>
            <w:sz w:val="28"/>
            <w:szCs w:val="28"/>
          </w:rPr>
          <w:t>перечнем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мест традиционного проживания и традиционной хозяйственной деятельности коренных малочисленных народов Российской Федерации, утвержденным распоряжением Правительства</w:t>
      </w:r>
      <w:r>
        <w:rPr>
          <w:sz w:val="28"/>
          <w:szCs w:val="28"/>
        </w:rPr>
        <w:t xml:space="preserve"> Российской Федерации от 8 мая 2009 года № 631-р (далее - заявители).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bookmarkStart w:id="1" w:name="P156"/>
      <w:bookmarkEnd w:id="1"/>
      <w:r>
        <w:rPr>
          <w:sz w:val="28"/>
          <w:szCs w:val="28"/>
        </w:rPr>
        <w:t>4. Заявитель может подать заявку следующими способами: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лично в Департамент по адресу:</w:t>
      </w:r>
      <w:r w:rsidRPr="00824461">
        <w:rPr>
          <w:sz w:val="28"/>
          <w:szCs w:val="28"/>
        </w:rPr>
        <w:t xml:space="preserve"> 628011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г.Ханты</w:t>
      </w:r>
      <w:proofErr w:type="spellEnd"/>
      <w:r>
        <w:rPr>
          <w:sz w:val="28"/>
          <w:szCs w:val="28"/>
        </w:rPr>
        <w:t xml:space="preserve">-Мансийск, </w:t>
      </w:r>
      <w:proofErr w:type="spellStart"/>
      <w:r>
        <w:rPr>
          <w:sz w:val="28"/>
          <w:szCs w:val="28"/>
        </w:rPr>
        <w:t>ул.Рознина</w:t>
      </w:r>
      <w:proofErr w:type="spellEnd"/>
      <w:r>
        <w:rPr>
          <w:sz w:val="28"/>
          <w:szCs w:val="28"/>
        </w:rPr>
        <w:t xml:space="preserve">, д.64,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306, контактный номер телефона для получения дополнительной информации: 8(3467) 35-34-04, доб.3835, доб.3878, доб.3834;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посредством почтовой связи (заказным почтовым отправлением) по адресу: Департамент промышл</w:t>
      </w:r>
      <w:r>
        <w:rPr>
          <w:sz w:val="28"/>
          <w:szCs w:val="28"/>
        </w:rPr>
        <w:t xml:space="preserve">енности Ханты-Мансийского автономного округа – Югры, </w:t>
      </w:r>
      <w:r w:rsidRPr="00824461">
        <w:rPr>
          <w:sz w:val="28"/>
          <w:szCs w:val="28"/>
        </w:rPr>
        <w:t>628011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г.Ханты</w:t>
      </w:r>
      <w:proofErr w:type="spellEnd"/>
      <w:r>
        <w:rPr>
          <w:sz w:val="28"/>
          <w:szCs w:val="28"/>
        </w:rPr>
        <w:t xml:space="preserve">-Мансийск, </w:t>
      </w:r>
      <w:proofErr w:type="spellStart"/>
      <w:r>
        <w:rPr>
          <w:sz w:val="28"/>
          <w:szCs w:val="28"/>
        </w:rPr>
        <w:t>ул.Рознина</w:t>
      </w:r>
      <w:proofErr w:type="spellEnd"/>
      <w:r>
        <w:rPr>
          <w:sz w:val="28"/>
          <w:szCs w:val="28"/>
        </w:rPr>
        <w:t xml:space="preserve">, д.64,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Pr="00824461">
        <w:rPr>
          <w:sz w:val="28"/>
          <w:szCs w:val="28"/>
        </w:rPr>
        <w:t>315</w:t>
      </w:r>
      <w:r>
        <w:rPr>
          <w:sz w:val="28"/>
          <w:szCs w:val="28"/>
        </w:rPr>
        <w:t>, 306;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в форме электронного документа, подписанного усиленной квалифицированной электронной подписью, по адресу электронной почты Департамента промы</w:t>
      </w:r>
      <w:r>
        <w:rPr>
          <w:sz w:val="28"/>
          <w:szCs w:val="28"/>
        </w:rPr>
        <w:t xml:space="preserve">шленности Ханты-Мансийского автономного </w:t>
      </w:r>
      <w:r>
        <w:rPr>
          <w:sz w:val="28"/>
          <w:szCs w:val="28"/>
        </w:rPr>
        <w:br/>
        <w:t xml:space="preserve">округа – Югры: </w:t>
      </w:r>
      <w:hyperlink r:id="rId11" w:tooltip="mailto:depprom@admhmao.ru" w:history="1">
        <w:r>
          <w:rPr>
            <w:sz w:val="28"/>
            <w:szCs w:val="28"/>
            <w:highlight w:val="white"/>
          </w:rPr>
          <w:t>depprom@admhmao.ru</w:t>
        </w:r>
      </w:hyperlink>
      <w:r>
        <w:rPr>
          <w:sz w:val="28"/>
          <w:szCs w:val="28"/>
        </w:rPr>
        <w:t>;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в форме электронного документа, подписанного простой электронной подписью, через федеральную государстве</w:t>
      </w:r>
      <w:r>
        <w:rPr>
          <w:sz w:val="28"/>
          <w:szCs w:val="28"/>
        </w:rPr>
        <w:t>нную информационную систему «Единый портал государственных и муниципальных услуг (функций)», портал государственных и муниципальных услуг субъекта Российской Федерации.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>
        <w:rPr>
          <w:sz w:val="28"/>
          <w:szCs w:val="28"/>
        </w:rPr>
        <w:t>Заявка после поступления в Департамент регистрируется в срок не позднее 1 рабочего д</w:t>
      </w:r>
      <w:r>
        <w:rPr>
          <w:sz w:val="28"/>
          <w:szCs w:val="28"/>
        </w:rPr>
        <w:t>ня, следующего за днем ее поступления в Департамент, с указанием даты получения и присвоением регистрационного номера.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заявитель подал заявку в электронной форме, в том числе с использованием федеральной государственной информационной системы</w:t>
      </w:r>
      <w:r>
        <w:rPr>
          <w:sz w:val="28"/>
          <w:szCs w:val="28"/>
        </w:rPr>
        <w:t xml:space="preserve"> «Единый портал государственных и муниципальных услуг (функций)», портала государственных и муниципальных услуг субъекта Российской Федерации, ему направляется уведомление в форме электронного документа о получении его заявки с указанием даты и времени ее </w:t>
      </w:r>
      <w:r>
        <w:rPr>
          <w:sz w:val="28"/>
          <w:szCs w:val="28"/>
        </w:rPr>
        <w:t>получения.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Заявка, поступившая после окончания срока, указанного в пункте 2 Порядка</w:t>
      </w:r>
      <w:r>
        <w:rPr>
          <w:sz w:val="28"/>
          <w:szCs w:val="28"/>
        </w:rPr>
        <w:t xml:space="preserve"> подачи и рассмотрения заявок</w:t>
      </w:r>
      <w:r>
        <w:rPr>
          <w:sz w:val="28"/>
          <w:szCs w:val="28"/>
        </w:rPr>
        <w:t>, не рассматривается и в тот же день возвращается заявителю.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 подлежат приему заявки: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оформленные на иностранном языке;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имеющие подчистк</w:t>
      </w:r>
      <w:r>
        <w:rPr>
          <w:sz w:val="28"/>
          <w:szCs w:val="28"/>
        </w:rPr>
        <w:t>и, либо приписки, зачеркнутые слова или иные, не оговоренные в них исправления, заполненные карандашом, а также документы с повреждениями, не позволяющими однозначно истолковать их содержание.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bookmarkStart w:id="2" w:name="undefined"/>
      <w:bookmarkEnd w:id="2"/>
      <w:r>
        <w:rPr>
          <w:sz w:val="28"/>
          <w:szCs w:val="28"/>
        </w:rPr>
        <w:t>Также не подлежат приему заявки, представленные в форме электро</w:t>
      </w:r>
      <w:r>
        <w:rPr>
          <w:sz w:val="28"/>
          <w:szCs w:val="28"/>
        </w:rPr>
        <w:t>нного документа, в том числе: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не подписанные простой или усиленной квалифицированной электронной подписью;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имеющие не оговоренные в них исправления;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не пригодные для восприятия с использованием электронных вычислительных машин, а также для передач</w:t>
      </w:r>
      <w:r>
        <w:rPr>
          <w:sz w:val="28"/>
          <w:szCs w:val="28"/>
        </w:rPr>
        <w:t>и по информационно-телекоммуникационным сетям или обработки в информационных системах;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если в результате проверки действительности используемой усиленной квалифицированной электронной подписи выявлено несоблюдение установленных </w:t>
      </w:r>
      <w:hyperlink r:id="rId12" w:tooltip="Федеральный закон от 06.04.2011 N 63-ФЗ (ред. от 31.07.2025) &quot;Об электронной подписи&quot; {КонсультантПлюс}" w:history="1">
        <w:r>
          <w:rPr>
            <w:color w:val="000000" w:themeColor="text1"/>
            <w:sz w:val="28"/>
            <w:szCs w:val="28"/>
          </w:rPr>
          <w:t>статьей 11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6 апреля 2011 года № 63</w:t>
      </w:r>
      <w:r>
        <w:rPr>
          <w:sz w:val="28"/>
          <w:szCs w:val="28"/>
        </w:rPr>
        <w:t>-ФЗ «Об электронной подписи» условий признания ее действительности.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Заявитель вправе изменить или отозвать заявку до окончания срока ее подачи, указанного в абзаце 1 пункта 2 настоящего порядка.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Основаниями для отказа в предоставлении государственной услуги являются: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представление заявки не по установленной форме;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недостоверной, искаженной или неполной информации в заявке;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несоответствие заявителя требованиям, установленным пункт</w:t>
      </w:r>
      <w:r>
        <w:rPr>
          <w:color w:val="000000" w:themeColor="text1"/>
          <w:sz w:val="28"/>
          <w:szCs w:val="28"/>
        </w:rPr>
        <w:t xml:space="preserve">ом </w:t>
      </w:r>
      <w:hyperlink w:anchor="P53" w:tooltip="2. Заявителями в целях получения государственной услуги в сфере переданных полномочий Российской Федерации по подготовке и принятию решения о предоставлении водных биологических ресурсов в пользование для осуществления традиционного рыболовства являются лица, " w:history="1">
        <w:r>
          <w:rPr>
            <w:color w:val="000000" w:themeColor="text1"/>
            <w:sz w:val="28"/>
            <w:szCs w:val="28"/>
          </w:rPr>
          <w:t>3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Порядок подачи и рассмотрения заявок</w:t>
      </w:r>
      <w:r>
        <w:rPr>
          <w:sz w:val="28"/>
          <w:szCs w:val="28"/>
        </w:rPr>
        <w:t>;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отсутствие квот добычи (вылова) водных биологических ресурсов для осуществления традиционного рыболовства (в отношении водных биологических ресурсов, общий допустимый улов которых ус</w:t>
      </w:r>
      <w:r>
        <w:rPr>
          <w:sz w:val="28"/>
          <w:szCs w:val="28"/>
        </w:rPr>
        <w:t>танавливается) или отсутствие возможности добычи (вылова) водных биологических ресурсов в объеме и в районе добычи (вылова) водных биологических ресурсов, указанных в заявке, на основании данных научных исследований (в отношении водных биологических ресурс</w:t>
      </w:r>
      <w:r>
        <w:rPr>
          <w:sz w:val="28"/>
          <w:szCs w:val="28"/>
        </w:rPr>
        <w:t>ов, общий допустимый улов которых не устанавливается).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Заявитель, заявка которого признается Департаментом как не подлежащая удовлетворению, вправе направить новую заявку при условии, что она будет предоставлена до окончания срока подачи заявок, </w:t>
      </w:r>
      <w:r>
        <w:rPr>
          <w:sz w:val="28"/>
          <w:szCs w:val="28"/>
        </w:rPr>
        <w:t>указанного</w:t>
      </w:r>
      <w:r>
        <w:rPr>
          <w:sz w:val="28"/>
          <w:szCs w:val="28"/>
        </w:rPr>
        <w:t xml:space="preserve"> в абзаце 1 пункта 2 настоящего порядка.</w:t>
      </w:r>
    </w:p>
    <w:p w:rsidR="0038343B" w:rsidRDefault="009A14D4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color w:val="000000" w:themeColor="text1"/>
          <w:sz w:val="28"/>
          <w:szCs w:val="28"/>
        </w:rPr>
        <w:t xml:space="preserve">По результатам рассмотрения заявок Департамент в течение срока, указанного в </w:t>
      </w:r>
      <w:hyperlink w:anchor="P356" w:tooltip="62. Должностное лицо Уполномоченного органа, ответственное за предоставление государственной услуги, рассматривает заявку в срок не более 120 дней с даты окончания приема заявок." w:history="1">
        <w:r>
          <w:rPr>
            <w:color w:val="000000" w:themeColor="text1"/>
            <w:sz w:val="28"/>
            <w:szCs w:val="28"/>
          </w:rPr>
          <w:t>абзаце 2</w:t>
        </w:r>
      </w:hyperlink>
      <w:r>
        <w:rPr>
          <w:color w:val="000000" w:themeColor="text1"/>
          <w:sz w:val="28"/>
          <w:szCs w:val="28"/>
        </w:rPr>
        <w:t xml:space="preserve"> пункта 2 Порядка</w:t>
      </w:r>
      <w:r>
        <w:rPr>
          <w:sz w:val="28"/>
          <w:szCs w:val="28"/>
        </w:rPr>
        <w:t xml:space="preserve"> подачи и рассмотрения заявок</w:t>
      </w:r>
      <w:r>
        <w:rPr>
          <w:color w:val="000000" w:themeColor="text1"/>
          <w:sz w:val="28"/>
          <w:szCs w:val="28"/>
        </w:rPr>
        <w:t>, принимает решение о предоставлении водных биологических ресурсов в пользование для осуществления традиционного рыболовства, либ</w:t>
      </w:r>
      <w:r>
        <w:rPr>
          <w:color w:val="000000" w:themeColor="text1"/>
          <w:sz w:val="28"/>
          <w:szCs w:val="28"/>
        </w:rPr>
        <w:t>о решение об отказе в предоставлении водных биологических ресурсов в пользование для осуществления традиционного рыболовства.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Решение о предоставлении водных биологических ресурсов в пользование для осуществления традиционного рыболовства формируется и утв</w:t>
      </w:r>
      <w:r>
        <w:rPr>
          <w:color w:val="000000" w:themeColor="text1"/>
          <w:sz w:val="28"/>
          <w:szCs w:val="28"/>
        </w:rPr>
        <w:t xml:space="preserve">ерждается в форме приказа Департамента и размещается </w:t>
      </w:r>
      <w:r>
        <w:rPr>
          <w:sz w:val="28"/>
          <w:szCs w:val="28"/>
        </w:rPr>
        <w:t>в информационно-телекоммуникационной сети «Интернет»</w:t>
      </w:r>
      <w:r>
        <w:rPr>
          <w:color w:val="000000" w:themeColor="text1"/>
          <w:sz w:val="28"/>
          <w:szCs w:val="28"/>
        </w:rPr>
        <w:t xml:space="preserve"> на </w:t>
      </w:r>
      <w:r>
        <w:rPr>
          <w:color w:val="000000" w:themeColor="text1"/>
          <w:sz w:val="28"/>
          <w:szCs w:val="28"/>
        </w:rPr>
        <w:t>официальном сайте Департамента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https://depprom.admhmao.ru</w:t>
      </w:r>
      <w:r>
        <w:rPr>
          <w:color w:val="000000" w:themeColor="text1"/>
          <w:sz w:val="28"/>
          <w:szCs w:val="28"/>
        </w:rPr>
        <w:t>.</w:t>
      </w:r>
    </w:p>
    <w:p w:rsidR="0038343B" w:rsidRDefault="009A14D4">
      <w:pPr>
        <w:pStyle w:val="ConsPlusNormal"/>
        <w:ind w:firstLine="540"/>
        <w:jc w:val="both"/>
      </w:pPr>
      <w:r>
        <w:rPr>
          <w:sz w:val="28"/>
          <w:szCs w:val="28"/>
        </w:rPr>
        <w:t xml:space="preserve">Департамент в течение 3-х рабочих дней со дня принятия решения </w:t>
      </w:r>
      <w:r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lastRenderedPageBreak/>
        <w:t>предоставлении водных б</w:t>
      </w:r>
      <w:r>
        <w:rPr>
          <w:color w:val="000000" w:themeColor="text1"/>
          <w:sz w:val="28"/>
          <w:szCs w:val="28"/>
        </w:rPr>
        <w:t>иологических ресурсов в пользование для осуществления традиционного рыболовства</w:t>
      </w:r>
      <w:r>
        <w:rPr>
          <w:sz w:val="28"/>
          <w:szCs w:val="28"/>
        </w:rPr>
        <w:t xml:space="preserve"> предоставляет заявителю копию приказа Департамента о предоставлении водных биологических ресурсов в пользование для традиционного рыболовства либо уведомление об отказе в предо</w:t>
      </w:r>
      <w:r>
        <w:rPr>
          <w:sz w:val="28"/>
          <w:szCs w:val="28"/>
        </w:rPr>
        <w:t>ставлении водных биологических ресурсов в пользование для традиционного рыболовства путем личного вручения или почтового отправления или на адрес электронной почты, указанный в заявке, либо направляет в личный кабинет заявителя в федеральной государственно</w:t>
      </w:r>
      <w:r>
        <w:rPr>
          <w:sz w:val="28"/>
          <w:szCs w:val="28"/>
        </w:rPr>
        <w:t>й информационной системе «Единый портал государственных и муниципальных услуг (функций)», либо портале государственных и муниципальных услуг субъекта Российской Федерации.</w:t>
      </w:r>
    </w:p>
    <w:p w:rsidR="0038343B" w:rsidRDefault="009A14D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принятия </w:t>
      </w:r>
      <w:r>
        <w:rPr>
          <w:sz w:val="28"/>
          <w:szCs w:val="28"/>
        </w:rPr>
        <w:t xml:space="preserve">решения </w:t>
      </w:r>
      <w:r>
        <w:rPr>
          <w:color w:val="000000" w:themeColor="text1"/>
          <w:sz w:val="28"/>
          <w:szCs w:val="28"/>
        </w:rPr>
        <w:t>о предоставлении либо об отказе в предоставлении водных био</w:t>
      </w:r>
      <w:r>
        <w:rPr>
          <w:color w:val="000000" w:themeColor="text1"/>
          <w:sz w:val="28"/>
          <w:szCs w:val="28"/>
        </w:rPr>
        <w:t>логических ресурсов в пользование для осуществления традиционного рыболовства</w:t>
      </w:r>
      <w:r>
        <w:rPr>
          <w:sz w:val="28"/>
          <w:szCs w:val="28"/>
        </w:rPr>
        <w:t xml:space="preserve"> и порядок уведомления заявителей о принятых решениях осуществляется в соответствии с положениями административного регламента № 196.</w:t>
      </w:r>
    </w:p>
    <w:sectPr w:rsidR="0038343B">
      <w:headerReference w:type="default" r:id="rId13"/>
      <w:headerReference w:type="first" r:id="rId14"/>
      <w:footerReference w:type="first" r:id="rId15"/>
      <w:pgSz w:w="11906" w:h="16838"/>
      <w:pgMar w:top="1417" w:right="1276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14D4" w:rsidRDefault="009A14D4">
      <w:pPr>
        <w:spacing w:after="0" w:line="240" w:lineRule="auto"/>
      </w:pPr>
      <w:r>
        <w:separator/>
      </w:r>
    </w:p>
  </w:endnote>
  <w:endnote w:type="continuationSeparator" w:id="0">
    <w:p w:rsidR="009A14D4" w:rsidRDefault="009A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343B" w:rsidRDefault="0038343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14D4" w:rsidRDefault="009A14D4">
      <w:pPr>
        <w:spacing w:after="0" w:line="240" w:lineRule="auto"/>
      </w:pPr>
      <w:r>
        <w:separator/>
      </w:r>
    </w:p>
  </w:footnote>
  <w:footnote w:type="continuationSeparator" w:id="0">
    <w:p w:rsidR="009A14D4" w:rsidRDefault="009A1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343B" w:rsidRDefault="0038343B">
    <w:pPr>
      <w:pStyle w:val="af6"/>
      <w:jc w:val="center"/>
    </w:pPr>
  </w:p>
  <w:p w:rsidR="0038343B" w:rsidRDefault="0038343B">
    <w:pPr>
      <w:pStyle w:val="af6"/>
      <w:jc w:val="center"/>
    </w:pPr>
  </w:p>
  <w:p w:rsidR="0038343B" w:rsidRDefault="009A14D4">
    <w:pPr>
      <w:pStyle w:val="af6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Times New Roman" w:hAnsi="Times New Roman" w:cs="Times New Roman"/>
        <w:sz w:val="24"/>
        <w:szCs w:val="24"/>
      </w:rPr>
      <w:t>1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38343B" w:rsidRDefault="0038343B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8343B" w:rsidRDefault="0038343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37DA8"/>
    <w:multiLevelType w:val="hybridMultilevel"/>
    <w:tmpl w:val="F8A8FEA8"/>
    <w:lvl w:ilvl="0" w:tplc="16FC1ED6">
      <w:start w:val="1"/>
      <w:numFmt w:val="decimal"/>
      <w:lvlText w:val="%1."/>
      <w:lvlJc w:val="left"/>
    </w:lvl>
    <w:lvl w:ilvl="1" w:tplc="5514474A">
      <w:start w:val="1"/>
      <w:numFmt w:val="lowerLetter"/>
      <w:lvlText w:val="%2."/>
      <w:lvlJc w:val="left"/>
      <w:pPr>
        <w:ind w:left="1440" w:hanging="360"/>
      </w:pPr>
    </w:lvl>
    <w:lvl w:ilvl="2" w:tplc="4CD4BCD0">
      <w:start w:val="1"/>
      <w:numFmt w:val="lowerRoman"/>
      <w:lvlText w:val="%3."/>
      <w:lvlJc w:val="right"/>
      <w:pPr>
        <w:ind w:left="2160" w:hanging="180"/>
      </w:pPr>
    </w:lvl>
    <w:lvl w:ilvl="3" w:tplc="FAF2E15E">
      <w:start w:val="1"/>
      <w:numFmt w:val="decimal"/>
      <w:lvlText w:val="%4."/>
      <w:lvlJc w:val="left"/>
      <w:pPr>
        <w:ind w:left="2880" w:hanging="360"/>
      </w:pPr>
    </w:lvl>
    <w:lvl w:ilvl="4" w:tplc="6F7694E4">
      <w:start w:val="1"/>
      <w:numFmt w:val="lowerLetter"/>
      <w:lvlText w:val="%5."/>
      <w:lvlJc w:val="left"/>
      <w:pPr>
        <w:ind w:left="3600" w:hanging="360"/>
      </w:pPr>
    </w:lvl>
    <w:lvl w:ilvl="5" w:tplc="9DD68310">
      <w:start w:val="1"/>
      <w:numFmt w:val="lowerRoman"/>
      <w:lvlText w:val="%6."/>
      <w:lvlJc w:val="right"/>
      <w:pPr>
        <w:ind w:left="4320" w:hanging="180"/>
      </w:pPr>
    </w:lvl>
    <w:lvl w:ilvl="6" w:tplc="9AD43FC4">
      <w:start w:val="1"/>
      <w:numFmt w:val="decimal"/>
      <w:lvlText w:val="%7."/>
      <w:lvlJc w:val="left"/>
      <w:pPr>
        <w:ind w:left="5040" w:hanging="360"/>
      </w:pPr>
    </w:lvl>
    <w:lvl w:ilvl="7" w:tplc="9822C712">
      <w:start w:val="1"/>
      <w:numFmt w:val="lowerLetter"/>
      <w:lvlText w:val="%8."/>
      <w:lvlJc w:val="left"/>
      <w:pPr>
        <w:ind w:left="5760" w:hanging="360"/>
      </w:pPr>
    </w:lvl>
    <w:lvl w:ilvl="8" w:tplc="999EA76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B66E6"/>
    <w:multiLevelType w:val="hybridMultilevel"/>
    <w:tmpl w:val="9CFCECBE"/>
    <w:lvl w:ilvl="0" w:tplc="F11A2866">
      <w:start w:val="1"/>
      <w:numFmt w:val="decimal"/>
      <w:lvlText w:val="%1."/>
      <w:lvlJc w:val="left"/>
    </w:lvl>
    <w:lvl w:ilvl="1" w:tplc="25569F1E">
      <w:start w:val="1"/>
      <w:numFmt w:val="lowerLetter"/>
      <w:lvlText w:val="%2."/>
      <w:lvlJc w:val="left"/>
      <w:pPr>
        <w:ind w:left="1440" w:hanging="360"/>
      </w:pPr>
    </w:lvl>
    <w:lvl w:ilvl="2" w:tplc="E1866342">
      <w:start w:val="1"/>
      <w:numFmt w:val="lowerRoman"/>
      <w:lvlText w:val="%3."/>
      <w:lvlJc w:val="right"/>
      <w:pPr>
        <w:ind w:left="2160" w:hanging="180"/>
      </w:pPr>
    </w:lvl>
    <w:lvl w:ilvl="3" w:tplc="609258A6">
      <w:start w:val="1"/>
      <w:numFmt w:val="decimal"/>
      <w:lvlText w:val="%4."/>
      <w:lvlJc w:val="left"/>
      <w:pPr>
        <w:ind w:left="2880" w:hanging="360"/>
      </w:pPr>
    </w:lvl>
    <w:lvl w:ilvl="4" w:tplc="2E665196">
      <w:start w:val="1"/>
      <w:numFmt w:val="lowerLetter"/>
      <w:lvlText w:val="%5."/>
      <w:lvlJc w:val="left"/>
      <w:pPr>
        <w:ind w:left="3600" w:hanging="360"/>
      </w:pPr>
    </w:lvl>
    <w:lvl w:ilvl="5" w:tplc="58DA1370">
      <w:start w:val="1"/>
      <w:numFmt w:val="lowerRoman"/>
      <w:lvlText w:val="%6."/>
      <w:lvlJc w:val="right"/>
      <w:pPr>
        <w:ind w:left="4320" w:hanging="180"/>
      </w:pPr>
    </w:lvl>
    <w:lvl w:ilvl="6" w:tplc="EFCACD7E">
      <w:start w:val="1"/>
      <w:numFmt w:val="decimal"/>
      <w:lvlText w:val="%7."/>
      <w:lvlJc w:val="left"/>
      <w:pPr>
        <w:ind w:left="5040" w:hanging="360"/>
      </w:pPr>
    </w:lvl>
    <w:lvl w:ilvl="7" w:tplc="15B8B62A">
      <w:start w:val="1"/>
      <w:numFmt w:val="lowerLetter"/>
      <w:lvlText w:val="%8."/>
      <w:lvlJc w:val="left"/>
      <w:pPr>
        <w:ind w:left="5760" w:hanging="360"/>
      </w:pPr>
    </w:lvl>
    <w:lvl w:ilvl="8" w:tplc="F1BC68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3B"/>
    <w:rsid w:val="0038343B"/>
    <w:rsid w:val="00824461"/>
    <w:rsid w:val="009A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4AD8B-C78B-49DE-B7D2-B0C978FF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ConsPlusTitle">
    <w:name w:val="ConsPlusTitl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a">
    <w:name w:val="Body Text Indent"/>
    <w:basedOn w:val="a"/>
    <w:link w:val="afb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fb">
    <w:name w:val="Основной текст с отступом Знак"/>
    <w:basedOn w:val="a0"/>
    <w:link w:val="afa"/>
    <w:rPr>
      <w:rFonts w:ascii="Century Gothic" w:eastAsia="Times New Roman" w:hAnsi="Century Gothic" w:cs="Times New Roman"/>
      <w:lang w:val="en-US"/>
    </w:rPr>
  </w:style>
  <w:style w:type="paragraph" w:styleId="afc">
    <w:name w:val="No Spacing"/>
    <w:uiPriority w:val="1"/>
    <w:qFormat/>
    <w:pPr>
      <w:spacing w:after="0" w:line="240" w:lineRule="auto"/>
    </w:pPr>
  </w:style>
  <w:style w:type="paragraph" w:styleId="25">
    <w:name w:val="Body Text 2"/>
    <w:basedOn w:val="a"/>
    <w:link w:val="26"/>
    <w:uiPriority w:val="99"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</w:style>
  <w:style w:type="paragraph" w:customStyle="1" w:styleId="Default">
    <w:name w:val="Default"/>
    <w:pPr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extended-textshort">
    <w:name w:val="extended-text__short"/>
    <w:basedOn w:val="a0"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ConsPlusNonformat">
    <w:name w:val="ConsPlusNonforma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Courier New" w:hAnsi="Courier New" w:cs="Courier New"/>
      <w:sz w:val="20"/>
      <w:szCs w:val="20"/>
      <w:lang w:val="en-US" w:eastAsia="zh-CN"/>
    </w:rPr>
  </w:style>
  <w:style w:type="paragraph" w:customStyle="1" w:styleId="ConsPlusNonformat0">
    <w:name w:val="ConsPlusNonformat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4"/>
      <w:szCs w:val="20"/>
      <w:lang w:eastAsia="ru-RU"/>
    </w:rPr>
  </w:style>
  <w:style w:type="paragraph" w:customStyle="1" w:styleId="ConsPlusTitlePage">
    <w:name w:val="ConsPlusTitlePag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4144&amp;date=09.06.2026&amp;dst=100012&amp;field=13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11602&amp;date=09.06.2026&amp;dst=100088&amp;fie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pprom@admhmao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19000&amp;date=09.06.2026&amp;dst=100008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261&amp;date=09.06.2026&amp;dst=100006&amp;field=134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5E99F-2F4A-4E96-8C25-1A0EE42FA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1528</Words>
  <Characters>8714</Characters>
  <Application>Microsoft Office Word</Application>
  <DocSecurity>0</DocSecurity>
  <Lines>72</Lines>
  <Paragraphs>20</Paragraphs>
  <ScaleCrop>false</ScaleCrop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2026-06-16T03:23:00Z</cp:lastPrinted>
  <dcterms:created xsi:type="dcterms:W3CDTF">2026-06-16T03:23:00Z</dcterms:created>
  <dcterms:modified xsi:type="dcterms:W3CDTF">2026-06-16T03:23:00Z</dcterms:modified>
</cp:coreProperties>
</file>