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F51" w:rsidRDefault="001D3F51">
      <w:pPr>
        <w:jc w:val="center"/>
        <w:rPr>
          <w:b w:val="0"/>
          <w:bCs/>
          <w:szCs w:val="28"/>
        </w:rPr>
      </w:pPr>
      <w:bookmarkStart w:id="0" w:name="_GoBack"/>
      <w:bookmarkEnd w:id="0"/>
    </w:p>
    <w:p w:rsidR="001D3F51" w:rsidRDefault="005E6AB5">
      <w:pPr>
        <w:spacing w:after="0"/>
        <w:jc w:val="center"/>
        <w:rPr>
          <w:sz w:val="56"/>
          <w:szCs w:val="56"/>
        </w:rPr>
      </w:pPr>
      <w:r>
        <w:rPr>
          <w:bCs/>
          <w:sz w:val="56"/>
          <w:szCs w:val="56"/>
        </w:rPr>
        <w:t xml:space="preserve">Государственная кадастровая оценка объектов недвижимости </w:t>
      </w:r>
    </w:p>
    <w:p w:rsidR="001D3F51" w:rsidRDefault="005E6AB5">
      <w:pPr>
        <w:spacing w:after="0"/>
        <w:jc w:val="center"/>
        <w:rPr>
          <w:sz w:val="56"/>
          <w:szCs w:val="56"/>
        </w:rPr>
      </w:pPr>
      <w:r>
        <w:rPr>
          <w:bCs/>
          <w:sz w:val="56"/>
          <w:szCs w:val="56"/>
        </w:rPr>
        <w:t xml:space="preserve">в 2026 году: </w:t>
      </w:r>
    </w:p>
    <w:p w:rsidR="001D3F51" w:rsidRDefault="001D3F51">
      <w:pPr>
        <w:spacing w:after="0"/>
        <w:jc w:val="center"/>
        <w:rPr>
          <w:bCs/>
          <w:sz w:val="56"/>
          <w:szCs w:val="56"/>
        </w:rPr>
      </w:pPr>
    </w:p>
    <w:p w:rsidR="001D3F51" w:rsidRDefault="005E6AB5">
      <w:pPr>
        <w:spacing w:after="0"/>
        <w:jc w:val="center"/>
        <w:rPr>
          <w:sz w:val="56"/>
          <w:szCs w:val="56"/>
        </w:rPr>
      </w:pPr>
      <w:r>
        <w:rPr>
          <w:bCs/>
          <w:sz w:val="56"/>
          <w:szCs w:val="56"/>
        </w:rPr>
        <w:t xml:space="preserve">как ознакомиться </w:t>
      </w:r>
      <w:r>
        <w:rPr>
          <w:bCs/>
          <w:sz w:val="56"/>
          <w:szCs w:val="56"/>
        </w:rPr>
        <w:br/>
        <w:t xml:space="preserve">с предварительными результатами кадастровой оценки объектов недвижимости и подать замечания </w:t>
      </w:r>
      <w:r>
        <w:rPr>
          <w:bCs/>
          <w:sz w:val="56"/>
          <w:szCs w:val="56"/>
        </w:rPr>
        <w:br/>
        <w:t>к проекту отчета</w:t>
      </w:r>
    </w:p>
    <w:p w:rsidR="001D3F51" w:rsidRDefault="005E6AB5">
      <w:pPr>
        <w:pStyle w:val="afa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1D3F51" w:rsidRDefault="001D3F51">
      <w:pPr>
        <w:pStyle w:val="afa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D3F51" w:rsidRDefault="001D3F51">
      <w:pPr>
        <w:pStyle w:val="afa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D3F51" w:rsidRDefault="001D3F51">
      <w:pPr>
        <w:pStyle w:val="afa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D3F51" w:rsidRDefault="001D3F51">
      <w:pPr>
        <w:pStyle w:val="afa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D3F51" w:rsidRDefault="001D3F51">
      <w:pPr>
        <w:pStyle w:val="afa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D3F51" w:rsidRDefault="001D3F51">
      <w:pPr>
        <w:pStyle w:val="afa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D3F51" w:rsidRDefault="001D3F51">
      <w:pPr>
        <w:pStyle w:val="afa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D3F51" w:rsidRDefault="001D3F51">
      <w:pPr>
        <w:pStyle w:val="afa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D3F51" w:rsidRDefault="001D3F51">
      <w:pPr>
        <w:pStyle w:val="afa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D3F51" w:rsidRDefault="001D3F51">
      <w:pPr>
        <w:pStyle w:val="afa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D3F51" w:rsidRDefault="001D3F51">
      <w:pPr>
        <w:pStyle w:val="afa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D3F51" w:rsidRDefault="001D3F51">
      <w:pPr>
        <w:pStyle w:val="afa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D3F51" w:rsidRDefault="001D3F51">
      <w:pPr>
        <w:pStyle w:val="afa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D3F51" w:rsidRDefault="001D3F51">
      <w:pPr>
        <w:pStyle w:val="afa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1D3F51" w:rsidRDefault="005E6AB5">
      <w:pPr>
        <w:pStyle w:val="af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соответствии с Распоряжением Департамента по управлению государственным имуществом Ханты-Мансийского автономного округа – Югры (далее – Депимущества Югры) от 14.01.2025 № 13-Р-6 «О проведении государственной кадастровой оценки», бюджетным учреждением Хан</w:t>
      </w:r>
      <w:r>
        <w:rPr>
          <w:sz w:val="28"/>
          <w:szCs w:val="28"/>
        </w:rPr>
        <w:t xml:space="preserve">ты-Мансийского автономного округа – Югры «Центр имущественных отношений» (далее – БУ «Центр имущественных отношений») в 2026 году проведена государственная кадастровая оценка в отношении всех учтенных </w:t>
      </w:r>
      <w:r>
        <w:rPr>
          <w:sz w:val="28"/>
          <w:szCs w:val="28"/>
        </w:rPr>
        <w:br/>
        <w:t xml:space="preserve">в Едином государственном реестре недвижимости </w:t>
      </w:r>
      <w:r>
        <w:rPr>
          <w:sz w:val="28"/>
          <w:szCs w:val="28"/>
        </w:rPr>
        <w:t>земельны</w:t>
      </w:r>
      <w:r>
        <w:rPr>
          <w:sz w:val="28"/>
          <w:szCs w:val="28"/>
        </w:rPr>
        <w:t xml:space="preserve">х участков </w:t>
      </w:r>
      <w:r>
        <w:rPr>
          <w:sz w:val="28"/>
          <w:szCs w:val="28"/>
        </w:rPr>
        <w:br/>
      </w:r>
      <w:r>
        <w:rPr>
          <w:sz w:val="28"/>
          <w:szCs w:val="28"/>
        </w:rPr>
        <w:t>на территории Ханты-Мансийского автономного округа – Югры.</w:t>
      </w:r>
    </w:p>
    <w:p w:rsidR="001D3F51" w:rsidRDefault="005E6AB5">
      <w:pPr>
        <w:pStyle w:val="af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1 января 2026 года в перечень объектов оценки включены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552 275</w:t>
      </w:r>
      <w:r>
        <w:rPr>
          <w:sz w:val="28"/>
          <w:szCs w:val="28"/>
        </w:rPr>
        <w:t xml:space="preserve"> объектов недвижимости.  </w:t>
      </w:r>
    </w:p>
    <w:p w:rsidR="001D3F51" w:rsidRDefault="005E6AB5">
      <w:pPr>
        <w:pStyle w:val="Standard"/>
        <w:spacing w:line="360" w:lineRule="auto"/>
        <w:ind w:right="74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3 июля 2016 года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№ 237-ФЗ «О государственной кадастровой оценке» (далее – Закон </w:t>
      </w:r>
      <w:r>
        <w:rPr>
          <w:sz w:val="28"/>
          <w:szCs w:val="28"/>
        </w:rPr>
        <w:br/>
        <w:t>о кадастровой оценке), 09</w:t>
      </w:r>
      <w:r>
        <w:rPr>
          <w:color w:val="000000" w:themeColor="text1"/>
          <w:sz w:val="28"/>
          <w:szCs w:val="28"/>
        </w:rPr>
        <w:t xml:space="preserve">.09.2026 </w:t>
      </w:r>
      <w:r>
        <w:rPr>
          <w:sz w:val="28"/>
          <w:szCs w:val="28"/>
        </w:rPr>
        <w:t xml:space="preserve">Росреестром размещен в Фонде данных государственной кадастровой оценки проект отчета от 06.08.2026 </w:t>
      </w:r>
      <w:r>
        <w:rPr>
          <w:sz w:val="28"/>
          <w:szCs w:val="28"/>
        </w:rPr>
        <w:br/>
        <w:t xml:space="preserve">№ 01/ЗУ-2026 об итогах государственной кадастровой оценки </w:t>
      </w:r>
      <w:r>
        <w:rPr>
          <w:sz w:val="28"/>
          <w:szCs w:val="28"/>
        </w:rPr>
        <w:t>всех учтенных в Едином государственном реестре недвижимости земельных участков на территории</w:t>
      </w:r>
      <w:r>
        <w:rPr>
          <w:color w:val="000000"/>
          <w:sz w:val="28"/>
          <w:szCs w:val="28"/>
        </w:rPr>
        <w:t xml:space="preserve"> Ханты-Мансийского автономного округа – Югры по состоянию на 01.01.2026 года (далее – проект отчета). </w:t>
      </w:r>
    </w:p>
    <w:p w:rsidR="001D3F51" w:rsidRDefault="005E6AB5">
      <w:pPr>
        <w:spacing w:after="0" w:line="360" w:lineRule="auto"/>
        <w:ind w:firstLine="708"/>
        <w:jc w:val="both"/>
        <w:rPr>
          <w:b w:val="0"/>
          <w:color w:val="000000"/>
          <w:szCs w:val="28"/>
        </w:rPr>
      </w:pPr>
      <w:r>
        <w:rPr>
          <w:b w:val="0"/>
          <w:color w:val="000000"/>
          <w:szCs w:val="28"/>
        </w:rPr>
        <w:t>Ознакомиться с проектом отчета можно на официальном сайте Рос</w:t>
      </w:r>
      <w:r>
        <w:rPr>
          <w:b w:val="0"/>
          <w:color w:val="000000"/>
          <w:szCs w:val="28"/>
        </w:rPr>
        <w:t>реестра в информационно-телекоммуникационной сети «Интернет» (</w:t>
      </w:r>
      <w:hyperlink r:id="rId7" w:tooltip="https://rosreestr.ru/" w:history="1">
        <w:r>
          <w:rPr>
            <w:rStyle w:val="af9"/>
            <w:b w:val="0"/>
            <w:color w:val="000000"/>
            <w:szCs w:val="28"/>
          </w:rPr>
          <w:t>https://rosreestr.ru/</w:t>
        </w:r>
      </w:hyperlink>
      <w:r>
        <w:rPr>
          <w:b w:val="0"/>
          <w:color w:val="000000"/>
          <w:szCs w:val="28"/>
        </w:rPr>
        <w:t>) в разделе «Услуги и сервисы» / «Сервисы» / «Фонд данных государственной кадастровой оценки», а также на оф</w:t>
      </w:r>
      <w:r>
        <w:rPr>
          <w:b w:val="0"/>
          <w:color w:val="000000"/>
          <w:szCs w:val="28"/>
        </w:rPr>
        <w:t>ициальном сайте БУ «Центр имущественных отношений» (</w:t>
      </w:r>
      <w:hyperlink r:id="rId8" w:tooltip="https://cio-hmao.ru/" w:history="1">
        <w:r>
          <w:rPr>
            <w:rStyle w:val="af9"/>
            <w:b w:val="0"/>
            <w:color w:val="000000"/>
            <w:szCs w:val="28"/>
          </w:rPr>
          <w:t>https://cio-hmao.ru</w:t>
        </w:r>
      </w:hyperlink>
      <w:r>
        <w:rPr>
          <w:b w:val="0"/>
          <w:color w:val="000000"/>
          <w:szCs w:val="28"/>
        </w:rPr>
        <w:t xml:space="preserve">/) </w:t>
      </w:r>
      <w:r>
        <w:rPr>
          <w:b w:val="0"/>
          <w:color w:val="000000"/>
          <w:szCs w:val="28"/>
        </w:rPr>
        <w:br/>
        <w:t>в разделе «Определение кадастровой стоимости» / «Отчеты об оценке» / «Проект отчета».</w:t>
      </w:r>
    </w:p>
    <w:p w:rsidR="001D3F51" w:rsidRDefault="005E6AB5">
      <w:pPr>
        <w:pStyle w:val="af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14 Зак</w:t>
      </w:r>
      <w:r>
        <w:rPr>
          <w:sz w:val="28"/>
          <w:szCs w:val="28"/>
        </w:rPr>
        <w:t>она о кадастровой оценке, БУ «Центр имущественных отношений» принимает замечания к проекту отчета.</w:t>
      </w:r>
    </w:p>
    <w:p w:rsidR="001D3F51" w:rsidRDefault="005E6AB5">
      <w:pPr>
        <w:pStyle w:val="afa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Замечания к проекту отчета представляются любыми заинтересованными лицами в течение тридцати календарных дней со дня размещения проекта отчета в Фонде данных</w:t>
      </w:r>
      <w:r>
        <w:rPr>
          <w:sz w:val="28"/>
          <w:szCs w:val="28"/>
        </w:rPr>
        <w:t xml:space="preserve"> государственной кадастровой оценки </w:t>
      </w:r>
      <w:r>
        <w:rPr>
          <w:color w:val="000000" w:themeColor="text1"/>
          <w:sz w:val="28"/>
          <w:szCs w:val="28"/>
        </w:rPr>
        <w:t>(последний день приема замечаний 08.10.2026). Замечания</w:t>
      </w:r>
      <w:r>
        <w:rPr>
          <w:sz w:val="28"/>
          <w:szCs w:val="28"/>
        </w:rPr>
        <w:t xml:space="preserve"> к проекту отчета наряду с изложением их сути в обязательном порядке должны содержать:</w:t>
      </w:r>
    </w:p>
    <w:p w:rsidR="001D3F51" w:rsidRDefault="005E6AB5">
      <w:pPr>
        <w:pStyle w:val="afa"/>
        <w:numPr>
          <w:ilvl w:val="0"/>
          <w:numId w:val="3"/>
        </w:numPr>
        <w:tabs>
          <w:tab w:val="left" w:pos="992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фамилию, имя и отчество (при наличии) физического лица, полное наименование юр</w:t>
      </w:r>
      <w:r>
        <w:rPr>
          <w:sz w:val="28"/>
          <w:szCs w:val="28"/>
        </w:rPr>
        <w:t xml:space="preserve">идического лица, номер контактного телефона, адрес электронной почты (при наличии) лица, представившего замечание </w:t>
      </w:r>
      <w:r>
        <w:rPr>
          <w:sz w:val="28"/>
          <w:szCs w:val="28"/>
        </w:rPr>
        <w:br/>
        <w:t>к проекту отчета;</w:t>
      </w:r>
    </w:p>
    <w:p w:rsidR="001D3F51" w:rsidRDefault="005E6AB5">
      <w:pPr>
        <w:pStyle w:val="afa"/>
        <w:numPr>
          <w:ilvl w:val="0"/>
          <w:numId w:val="3"/>
        </w:numPr>
        <w:tabs>
          <w:tab w:val="left" w:pos="992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кадастровый номер объекта недвижимости, в отношении определения кадастровой стоимости которого предоставляется замечание </w:t>
      </w:r>
      <w:r>
        <w:rPr>
          <w:sz w:val="28"/>
          <w:szCs w:val="28"/>
        </w:rPr>
        <w:br/>
        <w:t>к</w:t>
      </w:r>
      <w:r>
        <w:rPr>
          <w:sz w:val="28"/>
          <w:szCs w:val="28"/>
        </w:rPr>
        <w:t xml:space="preserve"> проекту отчета;</w:t>
      </w:r>
    </w:p>
    <w:p w:rsidR="001D3F51" w:rsidRDefault="005E6AB5">
      <w:pPr>
        <w:pStyle w:val="afa"/>
        <w:numPr>
          <w:ilvl w:val="0"/>
          <w:numId w:val="3"/>
        </w:numPr>
        <w:tabs>
          <w:tab w:val="left" w:pos="992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указание на номера страниц (разделов) проекта отчета, к которым представляется замечание (при необходимости).</w:t>
      </w:r>
    </w:p>
    <w:p w:rsidR="001D3F51" w:rsidRDefault="005E6A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themeColor="background1" w:fill="FFFFFF" w:themeFill="background1"/>
        <w:spacing w:after="0" w:line="360" w:lineRule="auto"/>
        <w:ind w:firstLine="708"/>
        <w:jc w:val="both"/>
        <w:rPr>
          <w:b w:val="0"/>
          <w:szCs w:val="28"/>
          <w:highlight w:val="white"/>
        </w:rPr>
      </w:pPr>
      <w:r>
        <w:rPr>
          <w:rFonts w:eastAsia="Arial"/>
          <w:b w:val="0"/>
          <w:szCs w:val="28"/>
          <w:highlight w:val="white"/>
        </w:rPr>
        <w:t>Замечания к проекту отчета могут быть поданы следующими способами:</w:t>
      </w:r>
    </w:p>
    <w:p w:rsidR="001D3F51" w:rsidRDefault="005E6AB5">
      <w:pPr>
        <w:pStyle w:val="a3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themeColor="background1" w:fill="FFFFFF" w:themeFill="background1"/>
        <w:tabs>
          <w:tab w:val="left" w:pos="992"/>
        </w:tabs>
        <w:spacing w:after="0" w:line="360" w:lineRule="auto"/>
        <w:ind w:left="0" w:firstLine="709"/>
        <w:jc w:val="both"/>
        <w:rPr>
          <w:b w:val="0"/>
          <w:szCs w:val="28"/>
          <w:highlight w:val="white"/>
        </w:rPr>
      </w:pPr>
      <w:r>
        <w:rPr>
          <w:rFonts w:eastAsia="Arial"/>
          <w:b w:val="0"/>
          <w:szCs w:val="28"/>
          <w:highlight w:val="white"/>
        </w:rPr>
        <w:t>почтовым отправлением в БУ «Центр имущественных отношений» по адресу: 628012, г. Ханты-Мансийск, ул. Студенческая, д. 22, каб. 309;</w:t>
      </w:r>
    </w:p>
    <w:p w:rsidR="001D3F51" w:rsidRDefault="005E6AB5">
      <w:pPr>
        <w:pStyle w:val="a3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themeColor="background1" w:fill="FFFFFF" w:themeFill="background1"/>
        <w:tabs>
          <w:tab w:val="left" w:pos="992"/>
        </w:tabs>
        <w:spacing w:after="0" w:line="360" w:lineRule="auto"/>
        <w:ind w:left="0" w:firstLine="709"/>
        <w:jc w:val="both"/>
        <w:rPr>
          <w:b w:val="0"/>
          <w:szCs w:val="28"/>
          <w:highlight w:val="white"/>
        </w:rPr>
      </w:pPr>
      <w:r>
        <w:rPr>
          <w:rFonts w:eastAsia="Arial"/>
          <w:b w:val="0"/>
          <w:szCs w:val="28"/>
          <w:highlight w:val="white"/>
        </w:rPr>
        <w:t>при личном обращении в БУ «Центр имущественных отношений» по адресу: г. Ханты-Мансийск, ул. Студенческая, д. 22, каб. 309, в</w:t>
      </w:r>
      <w:r>
        <w:rPr>
          <w:rFonts w:eastAsia="Arial"/>
          <w:b w:val="0"/>
          <w:szCs w:val="28"/>
          <w:highlight w:val="white"/>
        </w:rPr>
        <w:t>ремя приема: пн.- пт. с 9:00 до 17:00, (перерыв 13:00 - 14:00);</w:t>
      </w:r>
    </w:p>
    <w:p w:rsidR="001D3F51" w:rsidRDefault="005E6AB5">
      <w:pPr>
        <w:pStyle w:val="a3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themeColor="background1" w:fill="FFFFFF" w:themeFill="background1"/>
        <w:tabs>
          <w:tab w:val="left" w:pos="992"/>
        </w:tabs>
        <w:spacing w:after="0" w:line="360" w:lineRule="auto"/>
        <w:ind w:left="0" w:firstLine="709"/>
        <w:jc w:val="both"/>
        <w:rPr>
          <w:b w:val="0"/>
          <w:szCs w:val="28"/>
          <w:highlight w:val="white"/>
        </w:rPr>
      </w:pPr>
      <w:r>
        <w:rPr>
          <w:rFonts w:eastAsia="Arial"/>
          <w:b w:val="0"/>
          <w:szCs w:val="28"/>
          <w:highlight w:val="white"/>
        </w:rPr>
        <w:t>по электронной почте БУ «Центр имущественных отношений»: </w:t>
      </w:r>
      <w:hyperlink r:id="rId9" w:tooltip="mailto:fondim86@cio-hmao.ru" w:history="1">
        <w:r>
          <w:rPr>
            <w:rStyle w:val="af9"/>
            <w:rFonts w:eastAsia="Arial"/>
            <w:b w:val="0"/>
            <w:color w:val="auto"/>
            <w:szCs w:val="28"/>
            <w:highlight w:val="white"/>
            <w:u w:val="none"/>
          </w:rPr>
          <w:t>fondim86@cio-hmao.ru</w:t>
        </w:r>
      </w:hyperlink>
      <w:r>
        <w:rPr>
          <w:rFonts w:eastAsia="Arial"/>
          <w:b w:val="0"/>
          <w:szCs w:val="28"/>
          <w:highlight w:val="white"/>
        </w:rPr>
        <w:t>;</w:t>
      </w:r>
    </w:p>
    <w:p w:rsidR="001D3F51" w:rsidRDefault="005E6AB5">
      <w:pPr>
        <w:pStyle w:val="a3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themeColor="background1" w:fill="FFFFFF" w:themeFill="background1"/>
        <w:tabs>
          <w:tab w:val="left" w:pos="992"/>
        </w:tabs>
        <w:spacing w:after="0" w:line="360" w:lineRule="auto"/>
        <w:ind w:left="0" w:firstLine="709"/>
        <w:jc w:val="both"/>
        <w:rPr>
          <w:rFonts w:eastAsia="Arial"/>
          <w:b w:val="0"/>
          <w:szCs w:val="28"/>
        </w:rPr>
      </w:pPr>
      <w:hyperlink r:id="rId10" w:tooltip="https://mfc.admhmao.ru/" w:history="1">
        <w:r>
          <w:rPr>
            <w:rStyle w:val="af9"/>
            <w:rFonts w:eastAsia="Arial"/>
            <w:b w:val="0"/>
            <w:color w:val="auto"/>
            <w:szCs w:val="28"/>
            <w:highlight w:val="white"/>
            <w:u w:val="none"/>
          </w:rPr>
          <w:t>через многофункциональные центры Ханты-Мансийского автономного округа</w:t>
        </w:r>
      </w:hyperlink>
      <w:r>
        <w:rPr>
          <w:rFonts w:eastAsia="Arial"/>
          <w:b w:val="0"/>
          <w:szCs w:val="28"/>
          <w:highlight w:val="white"/>
        </w:rPr>
        <w:t xml:space="preserve"> – Югры;</w:t>
      </w:r>
    </w:p>
    <w:p w:rsidR="001D3F51" w:rsidRDefault="005E6AB5">
      <w:pPr>
        <w:pStyle w:val="a3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themeColor="background1" w:fill="FFFFFF" w:themeFill="background1"/>
        <w:tabs>
          <w:tab w:val="left" w:pos="992"/>
        </w:tabs>
        <w:spacing w:after="0" w:line="360" w:lineRule="auto"/>
        <w:ind w:left="0" w:firstLine="709"/>
        <w:jc w:val="both"/>
        <w:rPr>
          <w:rFonts w:eastAsia="Times New Roman"/>
          <w:b w:val="0"/>
          <w:color w:val="000000" w:themeColor="text1"/>
          <w:szCs w:val="28"/>
        </w:rPr>
      </w:pPr>
      <w:r>
        <w:rPr>
          <w:rFonts w:eastAsia="Times New Roman"/>
          <w:b w:val="0"/>
          <w:color w:val="000000"/>
          <w:szCs w:val="28"/>
        </w:rPr>
        <w:t>через Федеральную государственную географическую информационную систему «Единая цифровая платформа «Национальная система пространственных данн</w:t>
      </w:r>
      <w:r>
        <w:rPr>
          <w:rFonts w:eastAsia="Times New Roman"/>
          <w:b w:val="0"/>
          <w:color w:val="000000" w:themeColor="text1"/>
          <w:szCs w:val="28"/>
        </w:rPr>
        <w:t>ых»</w:t>
      </w:r>
      <w:r>
        <w:rPr>
          <w:rFonts w:eastAsia="Times New Roman"/>
          <w:b w:val="0"/>
          <w:color w:val="000000" w:themeColor="text1"/>
          <w:szCs w:val="28"/>
        </w:rPr>
        <w:t xml:space="preserve"> (</w:t>
      </w:r>
      <w:hyperlink r:id="rId11" w:tooltip="https://nspd.gov.ru/cadastral-price/submission" w:history="1">
        <w:r>
          <w:rPr>
            <w:rStyle w:val="af9"/>
            <w:rFonts w:eastAsia="Times New Roman"/>
            <w:b w:val="0"/>
            <w:color w:val="000000" w:themeColor="text1"/>
            <w:szCs w:val="28"/>
          </w:rPr>
          <w:t>https://nspd.gov.ru/</w:t>
        </w:r>
      </w:hyperlink>
      <w:r>
        <w:rPr>
          <w:rFonts w:eastAsia="Times New Roman"/>
          <w:b w:val="0"/>
          <w:color w:val="000000" w:themeColor="text1"/>
          <w:szCs w:val="28"/>
        </w:rPr>
        <w:t>);</w:t>
      </w:r>
    </w:p>
    <w:p w:rsidR="001D3F51" w:rsidRDefault="005E6AB5">
      <w:pPr>
        <w:pStyle w:val="a3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992"/>
        </w:tabs>
        <w:spacing w:after="0" w:line="360" w:lineRule="auto"/>
        <w:ind w:left="0" w:firstLine="709"/>
        <w:jc w:val="both"/>
        <w:rPr>
          <w:rFonts w:eastAsia="Times New Roman"/>
          <w:b w:val="0"/>
          <w:color w:val="000000"/>
          <w:szCs w:val="28"/>
        </w:rPr>
      </w:pPr>
      <w:r>
        <w:rPr>
          <w:rFonts w:eastAsia="Times New Roman"/>
          <w:b w:val="0"/>
          <w:color w:val="000000"/>
          <w:szCs w:val="28"/>
        </w:rPr>
        <w:lastRenderedPageBreak/>
        <w:t>через Единый портал государственных и муниципальных услуг.</w:t>
      </w:r>
    </w:p>
    <w:p w:rsidR="001D3F51" w:rsidRDefault="005E6A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themeColor="background1" w:fill="FFFFFF" w:themeFill="background1"/>
        <w:spacing w:after="0" w:line="360" w:lineRule="auto"/>
        <w:ind w:firstLine="708"/>
        <w:jc w:val="both"/>
        <w:rPr>
          <w:b w:val="0"/>
          <w:szCs w:val="28"/>
          <w:highlight w:val="white"/>
        </w:rPr>
      </w:pPr>
      <w:r>
        <w:rPr>
          <w:rFonts w:eastAsia="Arial"/>
          <w:b w:val="0"/>
          <w:szCs w:val="28"/>
          <w:highlight w:val="white"/>
        </w:rPr>
        <w:t xml:space="preserve">Примерная форма замечаний к проекту отчета размещена </w:t>
      </w:r>
      <w:r>
        <w:rPr>
          <w:rFonts w:eastAsia="Arial"/>
          <w:b w:val="0"/>
          <w:szCs w:val="28"/>
          <w:highlight w:val="white"/>
        </w:rPr>
        <w:br/>
        <w:t xml:space="preserve">на </w:t>
      </w:r>
      <w:r>
        <w:rPr>
          <w:rFonts w:eastAsia="Arial"/>
          <w:b w:val="0"/>
          <w:szCs w:val="28"/>
          <w:highlight w:val="white"/>
        </w:rPr>
        <w:t>официальном сайте </w:t>
      </w:r>
      <w:hyperlink r:id="rId12" w:tooltip="https://cio-hmao.ru/services/opredelenie-kadastrovoy-stoimosti/uslugi/rassmotrenie-zamechaniya-k-promezhu/" w:history="1">
        <w:r>
          <w:rPr>
            <w:rStyle w:val="af9"/>
            <w:rFonts w:eastAsia="Arial"/>
            <w:b w:val="0"/>
            <w:color w:val="auto"/>
            <w:szCs w:val="28"/>
            <w:highlight w:val="white"/>
            <w:u w:val="none"/>
          </w:rPr>
          <w:t xml:space="preserve">БУ </w:t>
        </w:r>
        <w:r>
          <w:rPr>
            <w:rStyle w:val="af9"/>
            <w:rFonts w:eastAsia="Arial"/>
            <w:b w:val="0"/>
            <w:color w:val="auto"/>
            <w:szCs w:val="28"/>
            <w:highlight w:val="white"/>
            <w:u w:val="none"/>
          </w:rPr>
          <w:t>«Центр имущественных отношений»</w:t>
        </w:r>
      </w:hyperlink>
      <w:r>
        <w:rPr>
          <w:b w:val="0"/>
          <w:szCs w:val="28"/>
          <w:highlight w:val="white"/>
        </w:rPr>
        <w:t xml:space="preserve"> </w:t>
      </w:r>
      <w:r>
        <w:rPr>
          <w:b w:val="0"/>
          <w:szCs w:val="28"/>
          <w:highlight w:val="white"/>
        </w:rPr>
        <w:br/>
      </w:r>
      <w:hyperlink r:id="rId13" w:tooltip="https://cio-hmao.ru/" w:history="1">
        <w:r>
          <w:rPr>
            <w:rStyle w:val="af9"/>
            <w:b w:val="0"/>
            <w:color w:val="000000"/>
            <w:szCs w:val="28"/>
            <w:highlight w:val="white"/>
          </w:rPr>
          <w:t>https://cio-hmao.ru/</w:t>
        </w:r>
      </w:hyperlink>
      <w:r>
        <w:rPr>
          <w:b w:val="0"/>
          <w:szCs w:val="28"/>
          <w:highlight w:val="white"/>
        </w:rPr>
        <w:t xml:space="preserve"> в разделе «Определение кадастровой стоимости» / «Услуги» / «Рассмотрение замечаний к проекту отчета об итогах государственной кадастровой о</w:t>
      </w:r>
      <w:r>
        <w:rPr>
          <w:b w:val="0"/>
          <w:szCs w:val="28"/>
          <w:highlight w:val="white"/>
        </w:rPr>
        <w:t>ценки».</w:t>
      </w:r>
    </w:p>
    <w:p w:rsidR="001D3F51" w:rsidRDefault="005E6AB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themeColor="background1" w:fill="FFFFFF" w:themeFill="background1"/>
        <w:spacing w:after="0" w:line="360" w:lineRule="auto"/>
        <w:ind w:firstLine="708"/>
        <w:jc w:val="both"/>
        <w:rPr>
          <w:b w:val="0"/>
          <w:szCs w:val="28"/>
          <w:highlight w:val="white"/>
        </w:rPr>
      </w:pPr>
      <w:r>
        <w:rPr>
          <w:rFonts w:eastAsia="Times New Roman"/>
          <w:b w:val="0"/>
          <w:color w:val="000000"/>
          <w:szCs w:val="28"/>
        </w:rPr>
        <w:t xml:space="preserve">К замечаниям могут быть приложены документы, подтверждающие наличие ошибок, допущенных при определении кадастровой стоимости, </w:t>
      </w:r>
      <w:r>
        <w:rPr>
          <w:rFonts w:eastAsia="Times New Roman"/>
          <w:b w:val="0"/>
          <w:color w:val="000000"/>
          <w:szCs w:val="28"/>
        </w:rPr>
        <w:br/>
        <w:t>а также иные документы, содержащие сведения о характеристиках объектов недвижимости, которые не были учтены при определен</w:t>
      </w:r>
      <w:r>
        <w:rPr>
          <w:rFonts w:eastAsia="Times New Roman"/>
          <w:b w:val="0"/>
          <w:color w:val="000000"/>
          <w:szCs w:val="28"/>
        </w:rPr>
        <w:t>ии их кадастровой стоимости.</w:t>
      </w:r>
    </w:p>
    <w:p w:rsidR="001D3F51" w:rsidRDefault="005E6AB5">
      <w:pPr>
        <w:spacing w:after="0" w:line="360" w:lineRule="auto"/>
        <w:ind w:firstLine="708"/>
        <w:jc w:val="both"/>
        <w:rPr>
          <w:b w:val="0"/>
        </w:rPr>
      </w:pPr>
      <w:r>
        <w:rPr>
          <w:b w:val="0"/>
          <w:szCs w:val="28"/>
        </w:rPr>
        <w:t>Замечания к проекту отчета, не соответствующие требованиям, установленным статьей 14 Закона о кадастровой оценке, не подлежат рассмотрению.</w:t>
      </w:r>
    </w:p>
    <w:sectPr w:rsidR="001D3F51">
      <w:pgSz w:w="11906" w:h="16838"/>
      <w:pgMar w:top="1417" w:right="1276" w:bottom="1134" w:left="155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AB5" w:rsidRDefault="005E6AB5">
      <w:pPr>
        <w:spacing w:after="0" w:line="240" w:lineRule="auto"/>
      </w:pPr>
      <w:r>
        <w:separator/>
      </w:r>
    </w:p>
  </w:endnote>
  <w:endnote w:type="continuationSeparator" w:id="0">
    <w:p w:rsidR="005E6AB5" w:rsidRDefault="005E6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AB5" w:rsidRDefault="005E6AB5">
      <w:pPr>
        <w:spacing w:after="0" w:line="240" w:lineRule="auto"/>
      </w:pPr>
      <w:r>
        <w:separator/>
      </w:r>
    </w:p>
  </w:footnote>
  <w:footnote w:type="continuationSeparator" w:id="0">
    <w:p w:rsidR="005E6AB5" w:rsidRDefault="005E6A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F0228"/>
    <w:multiLevelType w:val="hybridMultilevel"/>
    <w:tmpl w:val="CC6E2446"/>
    <w:lvl w:ilvl="0" w:tplc="D876BAA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AD1E07D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A26737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578DC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E5E83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794CC9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64A7E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23696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F8811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31BE72D0"/>
    <w:multiLevelType w:val="hybridMultilevel"/>
    <w:tmpl w:val="F258B7E8"/>
    <w:lvl w:ilvl="0" w:tplc="D842135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C0C4BA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DA025A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92C0B2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0BE642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6B2A36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B82AA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15EF8A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C0E6D4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4BF81F76"/>
    <w:multiLevelType w:val="hybridMultilevel"/>
    <w:tmpl w:val="34249330"/>
    <w:lvl w:ilvl="0" w:tplc="1A3833A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D15A00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6BA45A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6A83E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092D60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85A9D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CDA5B1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222DDB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D26757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743F6975"/>
    <w:multiLevelType w:val="hybridMultilevel"/>
    <w:tmpl w:val="15A8455E"/>
    <w:lvl w:ilvl="0" w:tplc="A2F668E2">
      <w:start w:val="1"/>
      <w:numFmt w:val="bullet"/>
      <w:lvlText w:val="–"/>
      <w:lvlJc w:val="left"/>
      <w:pPr>
        <w:ind w:left="1417" w:hanging="360"/>
      </w:pPr>
      <w:rPr>
        <w:rFonts w:ascii="Liberation Sans" w:eastAsia="Liberation Sans" w:hAnsi="Liberation Sans" w:cs="Liberation Sans" w:hint="default"/>
      </w:rPr>
    </w:lvl>
    <w:lvl w:ilvl="1" w:tplc="04E4FD2A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C842484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D70AA4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AC4C7BA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A31C19D2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F1748DE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A69C3AB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DEECBD66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F51"/>
    <w:rsid w:val="001D3F51"/>
    <w:rsid w:val="001F5630"/>
    <w:rsid w:val="005E6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325EFA-A9CF-4BE4-92F4-2699E5637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Calibri" w:hAnsi="Times New Roman" w:cs="Times New Roman"/>
      <w:b/>
      <w:sz w:val="28"/>
      <w:szCs w:val="26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Cs/>
      <w:sz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link w:val="ae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styleId="af9">
    <w:name w:val="Hyperlink"/>
    <w:rPr>
      <w:color w:val="0000FF"/>
      <w:u w:val="single"/>
    </w:rPr>
  </w:style>
  <w:style w:type="paragraph" w:customStyle="1" w:styleId="Standard">
    <w:name w:val="Standar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eastAsia="Times New Roman"/>
      <w:b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o-hmao.ru/" TargetMode="External"/><Relationship Id="rId13" Type="http://schemas.openxmlformats.org/officeDocument/2006/relationships/hyperlink" Target="https://cio-hma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sreestr.ru/" TargetMode="External"/><Relationship Id="rId12" Type="http://schemas.openxmlformats.org/officeDocument/2006/relationships/hyperlink" Target="https://cio-hmao.ru/services/opredelenie-kadastrovoy-stoimosti/uslugi/rassmotrenie-zamechaniya-k-promezh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spd.gov.ru/cadastral-price/submission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mfc.admhma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ondim86@cio-hma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Хохрева Яна Владимировна</dc:creator>
  <cp:keywords/>
  <dc:description/>
  <cp:lastModifiedBy>asus</cp:lastModifiedBy>
  <cp:revision>2</cp:revision>
  <dcterms:created xsi:type="dcterms:W3CDTF">2026-09-23T06:00:00Z</dcterms:created>
  <dcterms:modified xsi:type="dcterms:W3CDTF">2026-09-23T06:00:00Z</dcterms:modified>
</cp:coreProperties>
</file>