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Ind w:type="dxa" w:w="-72"/>
        <w:tblLayout w:type="fixed"/>
      </w:tblPr>
      <w:tblGrid>
        <w:gridCol w:w="1777"/>
        <w:gridCol w:w="8626"/>
      </w:tblGrid>
      <w:tr>
        <w:trPr>
          <w:trHeight w:hRule="atLeast" w:val="1148"/>
        </w:trPr>
        <w:tc>
          <w:tcPr>
            <w:tcW w:type="dxa" w:w="1777"/>
          </w:tcPr>
          <w:p w14:paraId="01000000">
            <w:pPr>
              <w:widowControl w:val="1"/>
              <w:spacing w:after="0" w:line="240" w:lineRule="auto"/>
              <w:ind w:right="28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127635</wp:posOffset>
                  </wp:positionV>
                  <wp:extent cx="952500" cy="1014095"/>
                  <wp:effectExtent b="0" l="0" r="0" t="0"/>
                  <wp:wrapTight distL="114300" distR="114300" wrapText="bothSides">
                    <wp:wrapPolygon>
                      <wp:start x="0" y="0"/>
                      <wp:lineTo x="0" y="21100"/>
                      <wp:lineTo x="21168" y="21100"/>
                      <wp:lineTo x="21168" y="0"/>
                      <wp:lineTo x="0" y="0"/>
                    </wp:wrapPolygon>
                  </wp:wrapTight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tretch/>
                        </pic:blipFill>
                        <pic:spPr>
                          <a:xfrm flipH="false" flipV="false" rot="0">
                            <a:ext cx="952500" cy="101409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8626"/>
          </w:tcPr>
          <w:p w14:paraId="02000000">
            <w:pPr>
              <w:widowControl w:val="1"/>
              <w:spacing w:after="0" w:before="407" w:line="738" w:lineRule="exact"/>
              <w:ind w:left="18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4294967295" distL="114300" distR="114300" distT="4294967295" layoutInCell="true" locked="false" relativeHeight="251658240" simplePos="fals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138429</wp:posOffset>
                      </wp:positionV>
                      <wp:extent cx="4740910" cy="0"/>
                      <wp:wrapNone/>
                      <wp:docPr hidden="false" id="3" name="Picture 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74091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headEnd len="med" type="none" w="med"/>
                                <a:tailEnd len="med" type="none" w="med"/>
                              </a:ln>
                            </wps:spPr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b w:val="1"/>
                <w:spacing w:val="-4"/>
                <w:sz w:val="28"/>
              </w:rPr>
              <w:t xml:space="preserve">ХАНТЫ-МАНСИЙСКАЯ МЕЖРАЙОННАЯ ПРОКУРАТУРА </w:t>
            </w:r>
          </w:p>
          <w:p w14:paraId="03000000">
            <w:pPr>
              <w:widowControl w:val="1"/>
              <w:spacing w:after="0" w:before="90" w:line="240" w:lineRule="auto"/>
              <w:ind w:left="18"/>
              <w:jc w:val="both"/>
              <w:rPr>
                <w:rFonts w:ascii="Times New Roman" w:hAnsi="Times New Roman"/>
                <w:b w:val="1"/>
                <w:spacing w:val="8"/>
                <w:sz w:val="28"/>
              </w:rPr>
            </w:pPr>
            <w:r>
              <w:rPr>
                <w:rFonts w:ascii="Times New Roman" w:hAnsi="Times New Roman"/>
                <w:b w:val="1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4294967295" distL="114300" distR="114300" distT="4294967295" layoutInCell="true" locked="false" relativeHeight="251658240" simplePos="fals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414654</wp:posOffset>
                      </wp:positionV>
                      <wp:extent cx="4740910" cy="0"/>
                      <wp:wrapNone/>
                      <wp:docPr hidden="false" id="4" name="Picture 4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74091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prstDash val="solid"/>
                                <a:headEnd len="med" type="none" w="med"/>
                                <a:tailEnd len="med" type="none" w="med"/>
                              </a:ln>
                            </wps:spPr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b w:val="1"/>
                <w:spacing w:val="8"/>
                <w:sz w:val="28"/>
              </w:rPr>
              <w:t>Ханты-Мансийского автономного округа-Югры</w:t>
            </w:r>
          </w:p>
          <w:p w14:paraId="0400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14:paraId="05000000">
      <w:pPr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6000000">
      <w:pPr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7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color w:val="00000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 xml:space="preserve">Межрайонная прокуратура информирует об изменениях и разъяснениях законодательства в сфере ЖКХ. </w:t>
      </w:r>
    </w:p>
    <w:p w14:paraId="08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color w:val="000000"/>
          <w:sz w:val="28"/>
          <w:u w:val="none"/>
        </w:rPr>
      </w:pP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Постановление</w:t>
      </w:r>
      <w:r>
        <w:rPr>
          <w:rFonts w:ascii="Times New Roman" w:hAnsi="Times New Roman"/>
          <w:b w:val="0"/>
          <w:color w:val="000000"/>
          <w:sz w:val="28"/>
          <w:u w:val="none"/>
        </w:rPr>
        <w:t>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Главного государственного санитарного врача РФ от 10.09.2026 № 25 «О внесении изменения в санитарные правила и нормы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утвержденные Постановлением Главного государственного санитарного врача Российской Федерации от 28.01.2021 № 3» у</w:t>
      </w:r>
      <w:r>
        <w:rPr>
          <w:rFonts w:ascii="Times New Roman" w:hAnsi="Times New Roman"/>
          <w:b w:val="0"/>
          <w:color w:val="000000"/>
          <w:sz w:val="28"/>
          <w:u w:val="none"/>
        </w:rPr>
        <w:t>точнены санитарно-эпидемиологические требования к содержанию территорий городских и сельских поселений в районах Крайнего Севера и приравненных к ним местностях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Закреплено, что в районах Крайнего Севера и местностях, приравненных к районам Крайнего Севера, допускается складирование снега, не содержащего противогололедные реагенты, на площадках без организации водонепроницаемого покрытия и обвалования сплошным земляным валом.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В письме Минстроя России от 23.09.2026 № 22662-ОГ/04 «О расчете платы за отопление и горячее водоснабжение при наличии крышной газовой котельной»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даны разъяснения по вопросу определения размера платы за коммунальные услуги по отоплению и горячему водоснабжению в многоквартирном доме при наличии крышной газовой котельной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Рассмотрены, в частности, положения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354, разъяснен порядок определения объема произведенной в многоквартирном доме тепловой энергии при отсутствии прибора учета, измеряющего ее количество, приведен порядок определения размера платы за коммунальные услуги по отоплению и горячему водоснабжению в многоквартирном доме, когда крышная котельная оборудована прибором учета газа для определения размера платы за коммунальные услуги по отоплению и горячему водоснабжению.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Согласно Постановлению Правительства РФ от 21.09.2026 № 1206 «О внесении изменений в Постановление Правительства Российской Федерации от 30 мая 2016 г. № 484»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с 1 марта 2027 года вступают в силу изменения в Правила регулирования тарифов в сфере обращения с твердыми коммунальными отходами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частности:</w:t>
      </w: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уточнены требования к заявлению об установлении тарифов;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указаны основные положения, которые должны содержаться в заявлении;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скорректирован перечень обосновывающих материалов, которые содержатся в заявлении;</w:t>
      </w: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закреплены основные положения, которые содержатся в экспертном заключении органа регулирования;</w:t>
      </w: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предусмотрено, что экспертное заключение формируется в электронном виде в федеральной государственной информационной системе «Единая информационно-аналитическая система тарифного регулирования».</w:t>
      </w: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Согласно письму Минстроя России от 25.08.2026 № 19925-ОГ/00 «Об индексации размера платы за содержание жилого помещения в многоквартирном доме»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размер платы за содержание жилого помещения в МКД определяется исходя из утвержденного Правительством минимального перечня необходимых работ и услуг, а также дополнительных работ и услуг с учетом предложений управляющей компании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1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предложении управляющей организации должны содержаться расчет (смета) и обоснование размера платы за содержание жилого помещения. В случае если предложенный размер платы превышает размер платы для собственников жилых помещений, которые не приняли решение о выборе способа управления МКД, установленный органом МСУ, - в том числе обоснование такого превышения, предусматривающее его детализацию с расчетом годовой стоимости каждого вида работ и услуг по содержанию и ремонту общего имущества в МКД с указанием периодичности их выполнения и с обязательным отражением в договоре управления МКД.</w:t>
      </w:r>
    </w:p>
    <w:p w14:paraId="1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Порядок индексации размера платы за содержание жилого помещения определяется соглашением сторон.</w:t>
      </w:r>
    </w:p>
    <w:p w14:paraId="1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Размер платы устанавливается на срок не менее чем один год.</w:t>
      </w:r>
    </w:p>
    <w:p w14:paraId="1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Утверждаемый на общем собрании собственников размер платы определяется без учета расходов на коммунальные ресурсы. В этой связи отсутствует необходимость указывать о таком исключении в решении ОСС.</w:t>
      </w:r>
    </w:p>
    <w:p w14:paraId="1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Сообщены также отдельные требования, предъявляемые к оформлению протоколов ОСС в МКД.</w:t>
      </w:r>
    </w:p>
    <w:p w14:paraId="1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1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В письме Минстроя России от 25.08.2026 № 19919-ОГ/00 «О сетях связи, необходимых для оказания услуг связи собственникам помещений или нанимателям жилых помещений в многоквартирном доме»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даны разъяснения по вопросу размещения сетей связи на объектах общего имущества в многоквартирном доме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1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Сообщается, в частности, что в случае если монтаж, эксплуатация и демонтаж сетей связи на объектах общего имущества в МКД, необходимых для оказания услуг связи по договору об оказании услуг связи предоставляется абоненту-гражданину, являющемуся собственником помещения в МКД или нанимателем жилого помещения в МКД по договору социального найма, то вышеперечисленные работы осуществляются без решения общего собрания собственников помещений (далее - ОСС) в этом МКД. Если договор об оказании услуг связи собственником помещения в МКД или нанимателем жилого помещения в МКД по договору социального найма не заключался, то монтаж, эксплуатация и демонтаж сетей связи на объектах общего имущества в МКД, необходимых для оказания услуг связи, предоставляются по решению ОСС.</w:t>
      </w:r>
    </w:p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случае нарушения со стороны управляющей организации действующего законодательства РФ в части допуска оператора связи к общему имуществу в МКД оператор связи вправе обратиться в ФАС России.</w:t>
      </w: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Если монтаж, эксплуатация и демонтаж сетей связи повлекли нарушение требований пожарной безопасности, законодательства о градостроительной деятельности, санитарных норм и правил, оператор связи несет ответственность, предусмотренную законодательством РФ.</w:t>
      </w:r>
    </w:p>
    <w:p w14:paraId="2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Вред, причиненный оператором связи общему имуществу в МКД в результате монтажа, эксплуатации и демонтажа сетей связи на объектах общего имущества в МКД, подлежит возмещению в полном объеме оператором связи, причинившим такой вред (часть 4.3 статьи 36 ЖК РФ). Оператор связи обязан возместить лицу, осуществляющему управление МКД, расходы на устранение повреждений, причиненных в результате монтажа, эксплуатации и демонтажа сетей связи общему имуществу в МКД, указанных в акте о выявлении повреждений, либо устранить такие повреждения собственными силами и за свой счет (пункт 44 Правил взаимодействия оператора связи и лица, осуществляющего управление МКД, при монтаже, эксплуатации и демонтаже сетей связи на объектах общего имущества в МКД, утвержденных Постановлением Правительства РФ от 06.08.2024 № 1055).</w:t>
      </w:r>
    </w:p>
    <w:p w14:paraId="2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2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В письме Минстроя России от 25.09.2026 № 59871-ДН/04 «О приборах учета электрической энергии»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даны разъяснения по вопросу ввода в эксплуатацию прибора учета электрической энергии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2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Сообщается, в частности, что согласно пункту 81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 (далее - Правила), оснащение жилого или нежилого помещения приборами учета, ввод установленных приборов учета в эксплуатацию, их надлежащая техническая эксплуатация, сохранность и своевременная замена должны быть обеспечены собственником жилого или нежилого помещения, за исключением случаев, предусмотренных пунктом 80(1) Правил.</w:t>
      </w: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Пунктами 80(1) и 80(2) Правил конкретизирована обязанность гарантирующего поставщика по установке, замене или поверке приборов учета электрической энергии, определены сроки ее исполнения.</w:t>
      </w:r>
    </w:p>
    <w:p w14:paraId="2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Обязанность по замене и поверке приборов учета электрической энергии возложены на гарантирующего поставщика, которую он должен исполнить не позднее шести месяцев: с даты истечения срока межповерочного интервала; обращения потребителя; либо при выявлении неисправности прибора учета (истечения межповерочного интервала).</w:t>
      </w:r>
    </w:p>
    <w:p w14:paraId="2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соответствии с пунктом 81(14) Правил ввод в эксплуатацию прибора учета после его ремонта, замены и поверки осуществляется в порядке, предусмотренном пунктами 81 - 81(9) Правил. Установленный прибор учета, в том числе после поверки, опломбируется лицом, указанным в пункте 81(8) Правил, без взимания платы с потребителя, за исключением случаев, когда опломбирование соответствующих приборов учета производится повторно в связи с нарушением пломбы или знаков поверки потребителем или третьим лицом.</w:t>
      </w:r>
    </w:p>
    <w:p w14:paraId="2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Ввод прибора учета электрической энергии в эксплуатацию, как и его первичная опломбировка, осуществляется гарантирующим поставщиком без взимания платы, за исключением случаев, когда опломбирование соответствующих приборов учета производится указанным лицом повторно в связи с нарушением пломбы или знаков поверки потребителем или третьим лицом.</w:t>
      </w:r>
    </w:p>
    <w:p w14:paraId="2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2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В письме от 22.09.2026 № 59006-ДН/04 «О плате за содержание жилого помещения»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Минстрой России разъяснил особенности определения размера платы за коммунальные ресурсы, потребляемые при использовании и содержании общего имущества в многоквартирном доме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2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частности, сообщается, что переход на прямые договоры не затрагивает отношения лица, осуществляющего управление многоквартирным домом, с ресурсоснабжающей организацией, сложившиеся в рамках договоров в отношении коммунальных ресурсов, потребляемых при содержании общего имущества в многоквартирном доме.</w:t>
      </w:r>
    </w:p>
    <w:p w14:paraId="2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Соответственно, плата за коммунальные ресурсы, потребляемые в целях использования и содержания общего имущества в многоквартирном доме, выставляется ресурсоснабжающей организацией лицу, осуществляющему управление многоквартирным домом, а это лицо выставляет соответствующую плату собственникам помещений в многоквартирном доме в составе платы за содержание жилого помещения.</w:t>
      </w:r>
    </w:p>
    <w:p w14:paraId="2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Во всех многоквартирных домах, оборудованных коллективным (общедомовым) прибором учета (далее - ОДПУ) коммунального ресурса, все потребители рассчитываются за коммунальные ресурсы, потребленные на содержание общего имущества в многоквартирном доме, исходя из показаний ОДПУ (ежемесячно или на дату проведения перерасчета).</w:t>
      </w:r>
    </w:p>
    <w:p w14:paraId="2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3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>Верховный Суд РФ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потребовал учитывать тяжелое материальное положение должника при взыскании неустойки.</w:t>
      </w:r>
    </w:p>
    <w:p w14:paraId="3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Оператор по обращению с твердыми коммунальными отходами направил в суд заявление о взыскании с потребителя задолженности и неустойки. Истец указал, что Юлия Жоржолиани не оплатила оказанные ей услуги по вывозу мусора. Три инстанции поддержали требование юрлица, взыскав с ответчицы сумму долга в размере 34 639 рублей, а также 83 460 рублей пеней. </w:t>
      </w:r>
    </w:p>
    <w:p w14:paraId="3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жалобе, поданной в Верховный Суд РФ, ответчица попросила отменить решения в части выплаты неустойки, сославшись на то, что она не работает, поскольку осуществляет уход за недееспособным сыном — инвалидом I группы, а также имеет на иждивении еще одного несовершеннолетнего ребенка. </w:t>
      </w:r>
    </w:p>
    <w:p w14:paraId="3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Коллегия по гражданским делам </w:t>
      </w:r>
      <w:r>
        <w:rPr>
          <w:rFonts w:ascii="Times New Roman" w:hAnsi="Times New Roman"/>
          <w:sz w:val="28"/>
        </w:rPr>
        <w:t>Верховного Суда РФ</w:t>
      </w:r>
      <w:r>
        <w:rPr>
          <w:rFonts w:ascii="Times New Roman" w:hAnsi="Times New Roman"/>
          <w:sz w:val="28"/>
        </w:rPr>
        <w:t xml:space="preserve"> направила дело на новое рассмотрение, указав, что суды формально отнеслись к разрешению спора, оставив без исследования и правовой оценки доводы ответчицы.</w:t>
      </w:r>
    </w:p>
    <w:p w14:paraId="3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Верховный Суд РФ</w:t>
      </w:r>
      <w:r>
        <w:rPr>
          <w:rFonts w:ascii="Times New Roman" w:hAnsi="Times New Roman"/>
          <w:sz w:val="28"/>
        </w:rPr>
        <w:t xml:space="preserve"> отметил, что нижестоящие инстанции никак не обосновали правомерность установления размера неустойки, которая более чем в два раза превышает сумму задолженности.</w:t>
      </w:r>
    </w:p>
    <w:p w14:paraId="3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6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Межрайонный прокурор                                                                    С.П. Мингалев</w:t>
      </w:r>
    </w:p>
    <w:p w14:paraId="37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38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39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3A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3B000000">
      <w:pPr>
        <w:widowControl w:val="0"/>
        <w:ind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Карпенко Е.С., 8-3467-333-067</w:t>
      </w:r>
    </w:p>
    <w:p w14:paraId="3C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Balloon Text"/>
    <w:basedOn w:val="Style_2"/>
    <w:link w:val="Style_11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1_ch" w:type="character">
    <w:name w:val="Balloon Text"/>
    <w:basedOn w:val="Style_2_ch"/>
    <w:link w:val="Style_11"/>
    <w:rPr>
      <w:rFonts w:ascii="Tahoma" w:hAnsi="Tahoma"/>
      <w:sz w:val="16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List Paragraph"/>
    <w:basedOn w:val="Style_2"/>
    <w:link w:val="Style_22_ch"/>
    <w:pPr>
      <w:widowControl w:val="1"/>
      <w:ind w:left="720"/>
      <w:contextualSpacing w:val="1"/>
    </w:pPr>
  </w:style>
  <w:style w:styleId="Style_22_ch" w:type="character">
    <w:name w:val="List Paragraph"/>
    <w:basedOn w:val="Style_2_ch"/>
    <w:link w:val="Style_22"/>
  </w:style>
  <w:style w:styleId="Style_23" w:type="paragraph">
    <w:name w:val="Title"/>
    <w:next w:val="Style_2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2026-10-09T15:22:39Z</dcterms:created>
  <dcterms:modified xsi:type="dcterms:W3CDTF">2026-10-09T15:46:06Z</dcterms:modified>
</cp:coreProperties>
</file>