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FB" w:rsidRDefault="00B145FB">
      <w:pPr>
        <w:spacing w:after="0" w:line="240" w:lineRule="auto"/>
        <w:ind w:firstLine="709"/>
        <w:jc w:val="both"/>
        <w:rPr>
          <w:rFonts w:ascii="Times New Roman" w:hAnsi="Times New Roman"/>
          <w:sz w:val="28"/>
        </w:rPr>
      </w:pPr>
      <w:r>
        <w:rPr>
          <w:rFonts w:ascii="Times New Roman" w:hAnsi="Times New Roman"/>
          <w:b/>
          <w:sz w:val="28"/>
        </w:rPr>
        <w:t>Ханты-Мансийская межрайонная прокуратура разъясняет:</w:t>
      </w:r>
    </w:p>
    <w:p w:rsidR="00B145FB" w:rsidRDefault="00B145FB">
      <w:pPr>
        <w:spacing w:after="0" w:line="240" w:lineRule="auto"/>
        <w:ind w:firstLine="709"/>
      </w:pPr>
    </w:p>
    <w:p w:rsidR="00B145FB" w:rsidRDefault="00B145FB">
      <w:pPr>
        <w:spacing w:after="0" w:line="240" w:lineRule="auto"/>
        <w:ind w:firstLine="709"/>
        <w:jc w:val="center"/>
        <w:rPr>
          <w:rFonts w:ascii="Times New Roman" w:hAnsi="Times New Roman"/>
          <w:b/>
          <w:sz w:val="28"/>
        </w:rPr>
      </w:pPr>
      <w:r>
        <w:rPr>
          <w:rFonts w:ascii="Times New Roman" w:hAnsi="Times New Roman"/>
          <w:b/>
          <w:sz w:val="28"/>
        </w:rPr>
        <w:t>«За мелкое хищение чужого имущества предусмотрена уголовная ответственность»</w:t>
      </w:r>
    </w:p>
    <w:p w:rsidR="00B145FB" w:rsidRDefault="00B145FB">
      <w:pPr>
        <w:spacing w:after="0" w:line="240" w:lineRule="auto"/>
        <w:ind w:firstLine="709"/>
        <w:rPr>
          <w:rFonts w:ascii="Times New Roman" w:hAnsi="Times New Roman"/>
          <w:sz w:val="28"/>
        </w:rPr>
      </w:pPr>
    </w:p>
    <w:p w:rsidR="00B145FB" w:rsidRDefault="00B145FB">
      <w:pPr>
        <w:spacing w:after="0" w:line="240" w:lineRule="auto"/>
        <w:ind w:firstLine="709"/>
        <w:jc w:val="both"/>
        <w:rPr>
          <w:rFonts w:ascii="Times New Roman" w:hAnsi="Times New Roman"/>
          <w:sz w:val="28"/>
        </w:rPr>
      </w:pPr>
      <w:r>
        <w:rPr>
          <w:rFonts w:ascii="Times New Roman" w:hAnsi="Times New Roman"/>
          <w:sz w:val="28"/>
        </w:rPr>
        <w:t xml:space="preserve">Статья 158.1 УК РФ устанавливает уголовную ответственность за повторное мелкое хищение чужого имущества. </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 xml:space="preserve">Мелкое хищение в соответствии со ст. 7.27 КоАП РФ представляет собой хищение на сумму, не превышающую 2,5 тыс. рублей при отсутствии квалифицирующих признаков хищения (при их наличии независимо от стоимости похищенного содеянное расценивается как преступление). </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 xml:space="preserve">При этом в случае, если лицо ранее привлекалось к административной ответственности по ч. 1 ст. 7.27 КоАП РФ и вновь совершило мелкое хищение (предусмотренное как ч. 1, так и ч. 2 указанной статьи), содеянное продолжает оставаться административным правонарушением. </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 xml:space="preserve">Повторность для целей ст. 158.1 УК РФ образует совершение мелкого хищения при условии предшествующего привлечения к административной ответственности именно по ч. 2 ст. 7.27 КоАП РФ. </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В силу статьи 4.6 КоАП РФ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Количество вновь совершенных мелких хищений и их размер не влияют на квалификацию, однако в случае, если сумма вновь похищенного превышает 2,5 тыс. рублей, содеянное квалифицируется по общим нормам главы 21 УК РФ (т.е. в зависимости от формы хищения как кража и т.п.).</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Наказание за данное преступление предусмотрено в виде штрафа в размере до 40 тысяч рублей или в размере заработной платы или иного дохода осужденного за период до 3 месяцев, обязательных работ на срок до 180 часов, исправительных работ на срок до 6 месяцев, ограничения свободы на срок  о 1 года, принудительных работ на срок до 1 года, ареста на срок до 2 месяцев, лишения свободы на срок до 1 года.</w:t>
      </w: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center"/>
        <w:rPr>
          <w:rFonts w:ascii="Times New Roman" w:hAnsi="Times New Roman"/>
          <w:b/>
          <w:sz w:val="28"/>
        </w:rPr>
      </w:pPr>
      <w:r>
        <w:rPr>
          <w:rFonts w:ascii="Times New Roman" w:hAnsi="Times New Roman"/>
          <w:b/>
          <w:sz w:val="28"/>
        </w:rPr>
        <w:t xml:space="preserve"> «Уголовная ответственность за вовлечение несовершеннолетних в совершение преступлений»</w:t>
      </w: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r>
        <w:rPr>
          <w:rFonts w:ascii="Times New Roman" w:hAnsi="Times New Roman"/>
          <w:sz w:val="28"/>
        </w:rPr>
        <w:t>На территории автономного округа из года в год регистрируется значительное количество преступлений, совершенных несовершеннолетними, в том числе совместно с совершеннолетними гражданами, которые различными способами вовлекают детей в совершение преступных деяний.</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Вовлечение детей в совершение преступлений нарушает их нормальное психологическое, духовно-нравственное развитие, оказывает неизгладимые последствия для их неокрепшей психики.</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Законодательством за вовлечение несовершеннолетних в совершение преступления ст. 150 Уголовного кодекса Российской Федерации (далее – УК РФ) предусмотрена уголовная ответственность.</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Вовлечение несовершеннолетнего в совершение преступления представляет собой действия взрослого лица, направленные на возбуждение желания совершить преступление, которые могут выражаться как в форме обещаний, обмана и угроз, так и в форме предложения совершить преступление, разжигания чувства зависти, мести и иных действий.</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В зависимости от обстоятельств предусмотрены различные виды наказаний за вовлечение несовершеннолетнего в совершение преступления.</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Так, ч. 2 ст. 150 УК РФ предусмотрена уголовная ответственность родителей, педагогических работников либо иных лиц, на которые законом возложены обязанности по воспитанию несовершеннолетнего, а также за вовлечение с использованием информационно-телекоммуникационных сетей (включая сеть «Интернет»), установив наказание в виде лишения свободы на срок от 3 до 6 лет с возможностью лишения права занимать определенные должности или заниматься определенной деятельностью на срок до 3 лет.</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Более строгая уголовная ответственность наступает в случаях применения к несовершеннолетнему (либо иному лицу, жизнь и здоровье которого для него дороги в силу сложившихся взаимоотношений) насилия, а также угрозы применения насилия (ч. 3 ст. 150 УК РФ, лишение свободы на срок от 4 до 9 лет с ограничением свободы на срок до 2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Самое суровое наказание предусмотрено за вовлечение несовершеннолетнего в преступление, совершаемое преступной группой, вовлечение в совершение тяжкого или особо тяжкого преступления, либо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(ч. 4 ст. 150 УК РФ, от 5 до 10 лет лишения свободы с ограничением свободы на срок до двух лет либо без такового).</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Своевременное выявление и привлечение к установленной законом ответственности лиц, вовлекающих детей в преступные деяний, способствует предупреждению подростковой преступности, нормальному формированию и нравственному развитию несовершеннолетних.</w:t>
      </w: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center"/>
        <w:rPr>
          <w:rFonts w:ascii="Times New Roman" w:hAnsi="Times New Roman"/>
          <w:b/>
          <w:sz w:val="28"/>
        </w:rPr>
      </w:pPr>
      <w:r>
        <w:rPr>
          <w:rFonts w:ascii="Times New Roman" w:hAnsi="Times New Roman"/>
          <w:b/>
          <w:sz w:val="28"/>
        </w:rPr>
        <w:t xml:space="preserve"> «Об уголовной ответственности за фиктивную регистрацию»</w:t>
      </w: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r>
        <w:rPr>
          <w:rFonts w:ascii="Times New Roman" w:hAnsi="Times New Roman"/>
          <w:sz w:val="28"/>
        </w:rPr>
        <w:t xml:space="preserve">Статьёй 322.2 УК РФ предусмотрена уголовная 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 а также за фиктивную регистрацию иностранного гражданина или лица без гражданства по месту жительства в жилом помещении в Российской Федерации. </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Порядок постановки и снятия граждан РФ с регистрационного учета установлен Законом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 По смыслу закона, фиктивная регистрация гражданина РФ по месту пребывания или по месту жительства – совершение указанных действий на основании представления заведомо недостоверных сведений или документов для такой регистрации, а также его регистрация в жилом помещении без намерения указанного лица пребывать (проживать) в этом помещении, либо без намерения нанимателя (собственника) жилого помещения предоставить регистрируемому лицу это жилое помещение для пребывания (проживания).</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Применительно к иностранному гражданину и лицу без гражданства  понятие фиктивной регистрации раскрыто в п. 10 ч. 1 ст. 2 Федерального закона от 18.07.2006 № 109-ФЗ «О миграционном учете иностранных граждан и лиц без гражданства в Российской Федерации», его содержание аналогично вышеприведенному.</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Санкция ст. 322.2 УК РФ предусматривает наказание в виде штрафа в размере от ста тысяч до пятисот тысяч рублей или в размере заработной платы или иного дохода осужденного за период до пяти лет, либо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лишения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Уголовным законом установлена возможность освобождения от уголовной ответственности лица, совершившего данное преступление, при наличии двух условий: если оно способствовало раскрытию этого преступления и если в его действиях нет иного состава преступления.</w:t>
      </w:r>
    </w:p>
    <w:p w:rsidR="00B145FB" w:rsidRDefault="00B145FB">
      <w:pPr>
        <w:spacing w:after="0" w:line="240" w:lineRule="auto"/>
        <w:ind w:firstLine="709"/>
        <w:jc w:val="both"/>
        <w:rPr>
          <w:rFonts w:ascii="Times New Roman" w:hAnsi="Times New Roman"/>
          <w:sz w:val="28"/>
        </w:rPr>
      </w:pPr>
      <w:r>
        <w:rPr>
          <w:rFonts w:ascii="Times New Roman" w:hAnsi="Times New Roman"/>
          <w:sz w:val="28"/>
        </w:rPr>
        <w:t xml:space="preserve">При этом, под способствованием раскрытию преступления в данном случае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w:t>
      </w: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center"/>
        <w:rPr>
          <w:rFonts w:ascii="Times New Roman" w:hAnsi="Times New Roman"/>
          <w:b/>
          <w:sz w:val="28"/>
          <w:highlight w:val="white"/>
        </w:rPr>
      </w:pPr>
      <w:r>
        <w:rPr>
          <w:rFonts w:ascii="Times New Roman" w:hAnsi="Times New Roman"/>
          <w:b/>
          <w:sz w:val="28"/>
          <w:highlight w:val="white"/>
        </w:rPr>
        <w:t>Административная ответственность должника в деле о банкротстве</w:t>
      </w:r>
    </w:p>
    <w:p w:rsidR="00B145FB" w:rsidRDefault="00B145FB">
      <w:pPr>
        <w:spacing w:after="0" w:line="240" w:lineRule="auto"/>
        <w:ind w:firstLine="709"/>
        <w:jc w:val="both"/>
        <w:rPr>
          <w:rFonts w:ascii="Times New Roman" w:hAnsi="Times New Roman"/>
          <w:b/>
          <w:sz w:val="28"/>
          <w:highlight w:val="white"/>
        </w:rPr>
      </w:pPr>
    </w:p>
    <w:p w:rsidR="00B145FB" w:rsidRDefault="00B145FB">
      <w:pPr>
        <w:spacing w:after="0" w:line="240" w:lineRule="auto"/>
        <w:ind w:firstLine="709"/>
        <w:jc w:val="both"/>
        <w:rPr>
          <w:rFonts w:ascii="Times New Roman" w:hAnsi="Times New Roman"/>
          <w:sz w:val="28"/>
          <w:highlight w:val="white"/>
        </w:rPr>
      </w:pPr>
      <w:r>
        <w:rPr>
          <w:rFonts w:ascii="Times New Roman" w:hAnsi="Times New Roman"/>
          <w:sz w:val="28"/>
          <w:highlight w:val="white"/>
        </w:rPr>
        <w:t>В соответствии с пунктом 9 статьи 213.9 Федерального закона от 26.10.2002 № 127-ФЗ «О несостоятельности (банкротстве)» гражданин обязан предоставлять финансовому управляющему по его требованию любые сведения о составе своего имущества, месте нахождения этого имущества, составе своих обязательств, кредиторах и иные имеющие отношение к делу о банкротстве гражданина сведения в течение пятнадцати дней с даты получения требования об этом.</w:t>
      </w:r>
    </w:p>
    <w:p w:rsidR="00B145FB" w:rsidRDefault="00B145FB">
      <w:pPr>
        <w:spacing w:after="0" w:line="240" w:lineRule="auto"/>
        <w:ind w:firstLine="709"/>
        <w:jc w:val="both"/>
        <w:rPr>
          <w:rFonts w:ascii="Times New Roman" w:hAnsi="Times New Roman"/>
          <w:sz w:val="28"/>
          <w:highlight w:val="white"/>
        </w:rPr>
      </w:pPr>
      <w:r>
        <w:rPr>
          <w:rFonts w:ascii="Times New Roman" w:hAnsi="Times New Roman"/>
          <w:sz w:val="28"/>
          <w:highlight w:val="white"/>
        </w:rPr>
        <w:t>При неисполнении гражданином указанной обязанности финансовый управляющий направляет в арбитражный суд ходатайство об истребовании доказательств, на основании которого в установленном процессуальным законодательством порядке арбитражный суд выдает финансовому управляющему запросы с правом получения ответов на руки.</w:t>
      </w:r>
    </w:p>
    <w:p w:rsidR="00B145FB" w:rsidRDefault="00B145FB">
      <w:pPr>
        <w:spacing w:after="0" w:line="240" w:lineRule="auto"/>
        <w:ind w:firstLine="709"/>
        <w:jc w:val="both"/>
        <w:rPr>
          <w:rFonts w:ascii="Times New Roman" w:hAnsi="Times New Roman"/>
          <w:sz w:val="28"/>
          <w:highlight w:val="white"/>
        </w:rPr>
      </w:pPr>
      <w:r>
        <w:rPr>
          <w:rFonts w:ascii="Times New Roman" w:hAnsi="Times New Roman"/>
          <w:sz w:val="28"/>
          <w:highlight w:val="white"/>
        </w:rPr>
        <w:t>Сокрытие имущества, имущественных прав или имущественных обязанностей, сведений о размере имущества, месте его нахождения или иных сведений об имуществе, имущественных правах или имущественных обязанностях, передача имущества во владение другим лицам, отчуждение или уничтожение имущества, а также незаконное воспрепятствование деятельности финансового управляющего, в том числе уклонение или отказ от предоставления финансовому управляющему сведений в случаях, предусмотренных Федеральным законом, передачи финансовому управляющему документов, необходимых для исполнения возложенных на него обязанностей, влечет за собой ответственность в соответствии с законодательством Российской Федерации.</w:t>
      </w:r>
    </w:p>
    <w:p w:rsidR="00B145FB" w:rsidRDefault="00B145FB">
      <w:pPr>
        <w:spacing w:after="0" w:line="240" w:lineRule="auto"/>
        <w:ind w:firstLine="709"/>
        <w:jc w:val="both"/>
        <w:rPr>
          <w:rFonts w:ascii="Times New Roman" w:hAnsi="Times New Roman"/>
          <w:sz w:val="28"/>
          <w:highlight w:val="white"/>
        </w:rPr>
      </w:pPr>
      <w:r>
        <w:rPr>
          <w:rFonts w:ascii="Times New Roman" w:hAnsi="Times New Roman"/>
          <w:sz w:val="28"/>
          <w:highlight w:val="white"/>
        </w:rPr>
        <w:t>В случае непередачи и необеспечения передачи финансовому управляющему истребованных арбитражным управляющим документов у должника, перечисленных в направленном должнику уведомлении-запросе, прокурор возбуждает дело об административном правонарушении по части 7 статьи 14.13 КоАП РФ за незаконное воспрепятствование гражданином деятельности арбитражного управляющего, утвержденного арбитражным судом в деле о банкротстве гражданина.</w:t>
      </w:r>
    </w:p>
    <w:p w:rsidR="00B145FB" w:rsidRDefault="00B145FB">
      <w:pPr>
        <w:spacing w:after="0" w:line="240" w:lineRule="auto"/>
        <w:ind w:firstLine="709"/>
        <w:jc w:val="both"/>
        <w:rPr>
          <w:rFonts w:ascii="Times New Roman" w:hAnsi="Times New Roman"/>
          <w:sz w:val="28"/>
          <w:highlight w:val="white"/>
        </w:rPr>
      </w:pPr>
      <w:r>
        <w:rPr>
          <w:rFonts w:ascii="Times New Roman" w:hAnsi="Times New Roman"/>
          <w:sz w:val="28"/>
          <w:highlight w:val="white"/>
        </w:rPr>
        <w:t>Привлечение должника к административной ответственности за неправомерные действия при банкротстве является основанием для признания поведения должника недобросовестным и неприменением в отношении гражданина правил об освобождении от исполнения обязательств при завершении процедуры банкротства.</w:t>
      </w: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both"/>
        <w:rPr>
          <w:rFonts w:ascii="Times New Roman" w:hAnsi="Times New Roman"/>
          <w:sz w:val="28"/>
        </w:rPr>
      </w:pPr>
    </w:p>
    <w:p w:rsidR="00B145FB" w:rsidRDefault="00B145FB">
      <w:pPr>
        <w:spacing w:after="0" w:line="240" w:lineRule="auto"/>
        <w:ind w:firstLine="709"/>
        <w:jc w:val="center"/>
        <w:rPr>
          <w:rFonts w:ascii="Times New Roman" w:hAnsi="Times New Roman"/>
          <w:b/>
          <w:sz w:val="28"/>
        </w:rPr>
      </w:pPr>
    </w:p>
    <w:p w:rsidR="00B145FB" w:rsidRDefault="00B145FB">
      <w:pPr>
        <w:spacing w:after="0" w:line="240" w:lineRule="auto"/>
        <w:ind w:firstLine="709"/>
        <w:jc w:val="center"/>
        <w:rPr>
          <w:rFonts w:ascii="Times New Roman" w:hAnsi="Times New Roman"/>
          <w:b/>
          <w:sz w:val="28"/>
        </w:rPr>
      </w:pPr>
      <w:bookmarkStart w:id="0" w:name="_GoBack"/>
      <w:bookmarkEnd w:id="0"/>
    </w:p>
    <w:sectPr w:rsidR="00B145FB" w:rsidSect="00F65AAB">
      <w:headerReference w:type="default" r:id="rId6"/>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5FB" w:rsidRDefault="00B145FB" w:rsidP="00F65AAB">
      <w:pPr>
        <w:spacing w:after="0" w:line="240" w:lineRule="auto"/>
      </w:pPr>
      <w:r>
        <w:separator/>
      </w:r>
    </w:p>
  </w:endnote>
  <w:endnote w:type="continuationSeparator" w:id="0">
    <w:p w:rsidR="00B145FB" w:rsidRDefault="00B145FB" w:rsidP="00F65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5FB" w:rsidRDefault="00B145FB" w:rsidP="00F65AAB">
      <w:pPr>
        <w:spacing w:after="0" w:line="240" w:lineRule="auto"/>
      </w:pPr>
      <w:r>
        <w:separator/>
      </w:r>
    </w:p>
  </w:footnote>
  <w:footnote w:type="continuationSeparator" w:id="0">
    <w:p w:rsidR="00B145FB" w:rsidRDefault="00B145FB" w:rsidP="00F65A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FB" w:rsidRDefault="00B145FB">
    <w:pPr>
      <w:pStyle w:val="Header"/>
      <w:jc w:val="center"/>
    </w:pPr>
    <w:fldSimple w:instr="PAGE ">
      <w:r>
        <w:rPr>
          <w:noProof/>
        </w:rPr>
        <w:t>1</w:t>
      </w:r>
    </w:fldSimple>
  </w:p>
  <w:p w:rsidR="00B145FB" w:rsidRDefault="00B145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5AAB"/>
    <w:rsid w:val="003C1CD9"/>
    <w:rsid w:val="008E5DAA"/>
    <w:rsid w:val="00B145FB"/>
    <w:rsid w:val="00F65AAB"/>
    <w:rsid w:val="00FC30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AB"/>
    <w:pPr>
      <w:spacing w:after="160" w:line="264" w:lineRule="auto"/>
    </w:pPr>
    <w:rPr>
      <w:color w:val="000000"/>
      <w:szCs w:val="20"/>
    </w:rPr>
  </w:style>
  <w:style w:type="paragraph" w:styleId="Heading1">
    <w:name w:val="heading 1"/>
    <w:basedOn w:val="Normal"/>
    <w:next w:val="Normal"/>
    <w:link w:val="Heading1Char"/>
    <w:uiPriority w:val="99"/>
    <w:qFormat/>
    <w:rsid w:val="00F65AAB"/>
    <w:pPr>
      <w:spacing w:before="120" w:after="120" w:line="240" w:lineRule="auto"/>
      <w:jc w:val="both"/>
      <w:outlineLvl w:val="0"/>
    </w:pPr>
    <w:rPr>
      <w:rFonts w:ascii="XO Thames" w:hAnsi="XO Thames"/>
      <w:b/>
      <w:color w:val="auto"/>
      <w:sz w:val="32"/>
    </w:rPr>
  </w:style>
  <w:style w:type="paragraph" w:styleId="Heading2">
    <w:name w:val="heading 2"/>
    <w:basedOn w:val="Normal"/>
    <w:next w:val="Normal"/>
    <w:link w:val="Heading2Char"/>
    <w:uiPriority w:val="99"/>
    <w:qFormat/>
    <w:rsid w:val="00F65AAB"/>
    <w:pPr>
      <w:spacing w:before="120" w:after="120" w:line="240" w:lineRule="auto"/>
      <w:jc w:val="both"/>
      <w:outlineLvl w:val="1"/>
    </w:pPr>
    <w:rPr>
      <w:rFonts w:ascii="XO Thames" w:hAnsi="XO Thames"/>
      <w:b/>
      <w:color w:val="auto"/>
      <w:sz w:val="28"/>
    </w:rPr>
  </w:style>
  <w:style w:type="paragraph" w:styleId="Heading3">
    <w:name w:val="heading 3"/>
    <w:basedOn w:val="Normal"/>
    <w:next w:val="Normal"/>
    <w:link w:val="Heading3Char"/>
    <w:uiPriority w:val="99"/>
    <w:qFormat/>
    <w:rsid w:val="00F65AAB"/>
    <w:pPr>
      <w:spacing w:before="120" w:after="120" w:line="240" w:lineRule="auto"/>
      <w:jc w:val="both"/>
      <w:outlineLvl w:val="2"/>
    </w:pPr>
    <w:rPr>
      <w:rFonts w:ascii="XO Thames" w:hAnsi="XO Thames"/>
      <w:b/>
      <w:color w:val="auto"/>
      <w:sz w:val="26"/>
    </w:rPr>
  </w:style>
  <w:style w:type="paragraph" w:styleId="Heading4">
    <w:name w:val="heading 4"/>
    <w:basedOn w:val="Normal"/>
    <w:next w:val="Normal"/>
    <w:link w:val="Heading4Char"/>
    <w:uiPriority w:val="99"/>
    <w:qFormat/>
    <w:rsid w:val="00F65AAB"/>
    <w:pPr>
      <w:spacing w:before="120" w:after="120" w:line="240" w:lineRule="auto"/>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F65AAB"/>
    <w:pPr>
      <w:spacing w:before="120" w:after="120" w:line="240" w:lineRule="auto"/>
      <w:jc w:val="both"/>
      <w:outlineLvl w:val="4"/>
    </w:pPr>
    <w:rPr>
      <w:rFonts w:ascii="XO Thames" w:hAnsi="XO Thames"/>
      <w:b/>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5AAB"/>
    <w:rPr>
      <w:rFonts w:ascii="XO Thames" w:hAnsi="XO Thames"/>
      <w:b/>
      <w:sz w:val="32"/>
    </w:rPr>
  </w:style>
  <w:style w:type="character" w:customStyle="1" w:styleId="Heading2Char">
    <w:name w:val="Heading 2 Char"/>
    <w:basedOn w:val="DefaultParagraphFont"/>
    <w:link w:val="Heading2"/>
    <w:uiPriority w:val="99"/>
    <w:locked/>
    <w:rsid w:val="00F65AAB"/>
    <w:rPr>
      <w:rFonts w:ascii="XO Thames" w:hAnsi="XO Thames"/>
      <w:b/>
      <w:sz w:val="28"/>
    </w:rPr>
  </w:style>
  <w:style w:type="character" w:customStyle="1" w:styleId="Heading3Char">
    <w:name w:val="Heading 3 Char"/>
    <w:basedOn w:val="DefaultParagraphFont"/>
    <w:link w:val="Heading3"/>
    <w:uiPriority w:val="99"/>
    <w:locked/>
    <w:rsid w:val="00F65AAB"/>
    <w:rPr>
      <w:rFonts w:ascii="XO Thames" w:hAnsi="XO Thames"/>
      <w:b/>
      <w:sz w:val="26"/>
    </w:rPr>
  </w:style>
  <w:style w:type="character" w:customStyle="1" w:styleId="Heading4Char">
    <w:name w:val="Heading 4 Char"/>
    <w:basedOn w:val="DefaultParagraphFont"/>
    <w:link w:val="Heading4"/>
    <w:uiPriority w:val="99"/>
    <w:locked/>
    <w:rsid w:val="00F65AAB"/>
    <w:rPr>
      <w:rFonts w:ascii="XO Thames" w:hAnsi="XO Thames"/>
      <w:b/>
      <w:sz w:val="24"/>
    </w:rPr>
  </w:style>
  <w:style w:type="character" w:customStyle="1" w:styleId="Heading5Char">
    <w:name w:val="Heading 5 Char"/>
    <w:basedOn w:val="DefaultParagraphFont"/>
    <w:link w:val="Heading5"/>
    <w:uiPriority w:val="99"/>
    <w:locked/>
    <w:rsid w:val="00F65AAB"/>
    <w:rPr>
      <w:rFonts w:ascii="XO Thames" w:hAnsi="XO Thames"/>
      <w:b/>
      <w:sz w:val="22"/>
    </w:rPr>
  </w:style>
  <w:style w:type="character" w:customStyle="1" w:styleId="Normal1">
    <w:name w:val="Normal1"/>
    <w:uiPriority w:val="99"/>
    <w:rsid w:val="00F65AAB"/>
    <w:rPr>
      <w:color w:val="000000"/>
    </w:rPr>
  </w:style>
  <w:style w:type="paragraph" w:styleId="TOC2">
    <w:name w:val="toc 2"/>
    <w:basedOn w:val="Normal"/>
    <w:next w:val="Normal"/>
    <w:link w:val="TOC2Char"/>
    <w:uiPriority w:val="99"/>
    <w:rsid w:val="00F65AAB"/>
    <w:pPr>
      <w:spacing w:after="0" w:line="240" w:lineRule="auto"/>
      <w:ind w:left="200"/>
    </w:pPr>
    <w:rPr>
      <w:rFonts w:ascii="XO Thames" w:hAnsi="XO Thames"/>
      <w:color w:val="auto"/>
      <w:sz w:val="28"/>
    </w:rPr>
  </w:style>
  <w:style w:type="character" w:customStyle="1" w:styleId="TOC2Char">
    <w:name w:val="TOC 2 Char"/>
    <w:link w:val="TOC2"/>
    <w:uiPriority w:val="99"/>
    <w:locked/>
    <w:rsid w:val="00F65AAB"/>
    <w:rPr>
      <w:rFonts w:ascii="XO Thames" w:hAnsi="XO Thames"/>
      <w:sz w:val="28"/>
    </w:rPr>
  </w:style>
  <w:style w:type="paragraph" w:styleId="TOC4">
    <w:name w:val="toc 4"/>
    <w:basedOn w:val="Normal"/>
    <w:next w:val="Normal"/>
    <w:link w:val="TOC4Char"/>
    <w:uiPriority w:val="99"/>
    <w:rsid w:val="00F65AAB"/>
    <w:pPr>
      <w:spacing w:after="0" w:line="240" w:lineRule="auto"/>
      <w:ind w:left="600"/>
    </w:pPr>
    <w:rPr>
      <w:rFonts w:ascii="XO Thames" w:hAnsi="XO Thames"/>
      <w:color w:val="auto"/>
      <w:sz w:val="28"/>
    </w:rPr>
  </w:style>
  <w:style w:type="character" w:customStyle="1" w:styleId="TOC4Char">
    <w:name w:val="TOC 4 Char"/>
    <w:link w:val="TOC4"/>
    <w:uiPriority w:val="99"/>
    <w:locked/>
    <w:rsid w:val="00F65AAB"/>
    <w:rPr>
      <w:rFonts w:ascii="XO Thames" w:hAnsi="XO Thames"/>
      <w:sz w:val="28"/>
    </w:rPr>
  </w:style>
  <w:style w:type="paragraph" w:styleId="TOC6">
    <w:name w:val="toc 6"/>
    <w:basedOn w:val="Normal"/>
    <w:next w:val="Normal"/>
    <w:link w:val="TOC6Char"/>
    <w:uiPriority w:val="99"/>
    <w:rsid w:val="00F65AAB"/>
    <w:pPr>
      <w:spacing w:after="0" w:line="240" w:lineRule="auto"/>
      <w:ind w:left="1000"/>
    </w:pPr>
    <w:rPr>
      <w:rFonts w:ascii="XO Thames" w:hAnsi="XO Thames"/>
      <w:color w:val="auto"/>
      <w:sz w:val="28"/>
    </w:rPr>
  </w:style>
  <w:style w:type="character" w:customStyle="1" w:styleId="TOC6Char">
    <w:name w:val="TOC 6 Char"/>
    <w:link w:val="TOC6"/>
    <w:uiPriority w:val="99"/>
    <w:locked/>
    <w:rsid w:val="00F65AAB"/>
    <w:rPr>
      <w:rFonts w:ascii="XO Thames" w:hAnsi="XO Thames"/>
      <w:sz w:val="28"/>
    </w:rPr>
  </w:style>
  <w:style w:type="paragraph" w:styleId="TOC7">
    <w:name w:val="toc 7"/>
    <w:basedOn w:val="Normal"/>
    <w:next w:val="Normal"/>
    <w:link w:val="TOC7Char"/>
    <w:uiPriority w:val="99"/>
    <w:rsid w:val="00F65AAB"/>
    <w:pPr>
      <w:spacing w:after="0" w:line="240" w:lineRule="auto"/>
      <w:ind w:left="1200"/>
    </w:pPr>
    <w:rPr>
      <w:rFonts w:ascii="XO Thames" w:hAnsi="XO Thames"/>
      <w:color w:val="auto"/>
      <w:sz w:val="28"/>
    </w:rPr>
  </w:style>
  <w:style w:type="character" w:customStyle="1" w:styleId="TOC7Char">
    <w:name w:val="TOC 7 Char"/>
    <w:link w:val="TOC7"/>
    <w:uiPriority w:val="99"/>
    <w:locked/>
    <w:rsid w:val="00F65AAB"/>
    <w:rPr>
      <w:rFonts w:ascii="XO Thames" w:hAnsi="XO Thames"/>
      <w:sz w:val="28"/>
    </w:rPr>
  </w:style>
  <w:style w:type="paragraph" w:customStyle="1" w:styleId="Endnote">
    <w:name w:val="Endnote"/>
    <w:link w:val="Endnote1"/>
    <w:uiPriority w:val="99"/>
    <w:rsid w:val="00F65AAB"/>
    <w:pPr>
      <w:ind w:firstLine="851"/>
      <w:jc w:val="both"/>
    </w:pPr>
    <w:rPr>
      <w:rFonts w:ascii="XO Thames" w:hAnsi="XO Thames"/>
      <w:szCs w:val="20"/>
    </w:rPr>
  </w:style>
  <w:style w:type="character" w:customStyle="1" w:styleId="Endnote1">
    <w:name w:val="Endnote1"/>
    <w:link w:val="Endnote"/>
    <w:uiPriority w:val="99"/>
    <w:locked/>
    <w:rsid w:val="00F65AAB"/>
    <w:rPr>
      <w:rFonts w:ascii="XO Thames" w:hAnsi="XO Thames"/>
      <w:sz w:val="22"/>
    </w:rPr>
  </w:style>
  <w:style w:type="paragraph" w:styleId="TOC3">
    <w:name w:val="toc 3"/>
    <w:basedOn w:val="Normal"/>
    <w:next w:val="Normal"/>
    <w:link w:val="TOC3Char"/>
    <w:uiPriority w:val="99"/>
    <w:rsid w:val="00F65AAB"/>
    <w:pPr>
      <w:spacing w:after="0" w:line="240" w:lineRule="auto"/>
      <w:ind w:left="400"/>
    </w:pPr>
    <w:rPr>
      <w:rFonts w:ascii="XO Thames" w:hAnsi="XO Thames"/>
      <w:color w:val="auto"/>
      <w:sz w:val="28"/>
    </w:rPr>
  </w:style>
  <w:style w:type="character" w:customStyle="1" w:styleId="TOC3Char">
    <w:name w:val="TOC 3 Char"/>
    <w:link w:val="TOC3"/>
    <w:uiPriority w:val="99"/>
    <w:locked/>
    <w:rsid w:val="00F65AAB"/>
    <w:rPr>
      <w:rFonts w:ascii="XO Thames" w:hAnsi="XO Thames"/>
      <w:sz w:val="28"/>
    </w:rPr>
  </w:style>
  <w:style w:type="paragraph" w:customStyle="1" w:styleId="DefaultParagraphFont1">
    <w:name w:val="Default Paragraph Font1"/>
    <w:uiPriority w:val="99"/>
    <w:rsid w:val="00F65AAB"/>
    <w:pPr>
      <w:spacing w:after="200" w:line="276" w:lineRule="auto"/>
    </w:pPr>
    <w:rPr>
      <w:color w:val="000000"/>
      <w:szCs w:val="20"/>
    </w:rPr>
  </w:style>
  <w:style w:type="paragraph" w:customStyle="1" w:styleId="Hyperlink1">
    <w:name w:val="Hyperlink1"/>
    <w:link w:val="Hyperlink"/>
    <w:uiPriority w:val="99"/>
    <w:rsid w:val="00F65AAB"/>
    <w:pPr>
      <w:spacing w:after="200" w:line="276" w:lineRule="auto"/>
    </w:pPr>
    <w:rPr>
      <w:color w:val="0000FF"/>
      <w:szCs w:val="20"/>
      <w:u w:val="single"/>
    </w:rPr>
  </w:style>
  <w:style w:type="character" w:styleId="Hyperlink">
    <w:name w:val="Hyperlink"/>
    <w:basedOn w:val="DefaultParagraphFont"/>
    <w:link w:val="Hyperlink1"/>
    <w:uiPriority w:val="99"/>
    <w:locked/>
    <w:rsid w:val="00F65AAB"/>
    <w:rPr>
      <w:rFonts w:cs="Times New Roman"/>
      <w:color w:val="0000FF"/>
      <w:sz w:val="22"/>
      <w:u w:val="single"/>
    </w:rPr>
  </w:style>
  <w:style w:type="paragraph" w:customStyle="1" w:styleId="Footnote">
    <w:name w:val="Footnote"/>
    <w:link w:val="Footnote1"/>
    <w:uiPriority w:val="99"/>
    <w:rsid w:val="00F65AAB"/>
    <w:pPr>
      <w:ind w:firstLine="851"/>
      <w:jc w:val="both"/>
    </w:pPr>
    <w:rPr>
      <w:rFonts w:ascii="XO Thames" w:hAnsi="XO Thames"/>
      <w:szCs w:val="20"/>
    </w:rPr>
  </w:style>
  <w:style w:type="character" w:customStyle="1" w:styleId="Footnote1">
    <w:name w:val="Footnote1"/>
    <w:link w:val="Footnote"/>
    <w:uiPriority w:val="99"/>
    <w:locked/>
    <w:rsid w:val="00F65AAB"/>
    <w:rPr>
      <w:rFonts w:ascii="XO Thames" w:hAnsi="XO Thames"/>
      <w:sz w:val="22"/>
    </w:rPr>
  </w:style>
  <w:style w:type="paragraph" w:styleId="BalloonText">
    <w:name w:val="Balloon Text"/>
    <w:basedOn w:val="Normal"/>
    <w:link w:val="BalloonTextChar"/>
    <w:uiPriority w:val="99"/>
    <w:rsid w:val="00F65AAB"/>
    <w:pPr>
      <w:spacing w:after="0" w:line="240" w:lineRule="auto"/>
    </w:pPr>
    <w:rPr>
      <w:rFonts w:ascii="Tahoma" w:hAnsi="Tahoma"/>
      <w:sz w:val="16"/>
    </w:rPr>
  </w:style>
  <w:style w:type="character" w:customStyle="1" w:styleId="BalloonTextChar">
    <w:name w:val="Balloon Text Char"/>
    <w:basedOn w:val="Normal1"/>
    <w:link w:val="BalloonText"/>
    <w:uiPriority w:val="99"/>
    <w:locked/>
    <w:rsid w:val="00F65AAB"/>
    <w:rPr>
      <w:rFonts w:ascii="Tahoma" w:hAnsi="Tahoma" w:cs="Times New Roman"/>
      <w:sz w:val="16"/>
    </w:rPr>
  </w:style>
  <w:style w:type="paragraph" w:styleId="TOC1">
    <w:name w:val="toc 1"/>
    <w:basedOn w:val="Normal"/>
    <w:next w:val="Normal"/>
    <w:link w:val="TOC1Char"/>
    <w:uiPriority w:val="99"/>
    <w:rsid w:val="00F65AAB"/>
    <w:pPr>
      <w:spacing w:after="200" w:line="276" w:lineRule="auto"/>
    </w:pPr>
    <w:rPr>
      <w:rFonts w:ascii="XO Thames" w:hAnsi="XO Thames"/>
      <w:b/>
      <w:color w:val="auto"/>
      <w:sz w:val="28"/>
    </w:rPr>
  </w:style>
  <w:style w:type="character" w:customStyle="1" w:styleId="TOC1Char">
    <w:name w:val="TOC 1 Char"/>
    <w:link w:val="TOC1"/>
    <w:uiPriority w:val="99"/>
    <w:locked/>
    <w:rsid w:val="00F65AAB"/>
    <w:rPr>
      <w:rFonts w:ascii="XO Thames" w:hAnsi="XO Thames"/>
      <w:b/>
      <w:sz w:val="28"/>
    </w:rPr>
  </w:style>
  <w:style w:type="paragraph" w:customStyle="1" w:styleId="HeaderandFooter">
    <w:name w:val="Header and Footer"/>
    <w:link w:val="HeaderandFooter1"/>
    <w:uiPriority w:val="99"/>
    <w:rsid w:val="00F65AAB"/>
    <w:pPr>
      <w:jc w:val="both"/>
    </w:pPr>
    <w:rPr>
      <w:rFonts w:ascii="XO Thames" w:hAnsi="XO Thames"/>
      <w:sz w:val="28"/>
      <w:szCs w:val="20"/>
    </w:rPr>
  </w:style>
  <w:style w:type="character" w:customStyle="1" w:styleId="HeaderandFooter1">
    <w:name w:val="Header and Footer1"/>
    <w:link w:val="HeaderandFooter"/>
    <w:uiPriority w:val="99"/>
    <w:locked/>
    <w:rsid w:val="00F65AAB"/>
    <w:rPr>
      <w:rFonts w:ascii="XO Thames" w:hAnsi="XO Thames"/>
      <w:sz w:val="28"/>
    </w:rPr>
  </w:style>
  <w:style w:type="paragraph" w:styleId="TOC9">
    <w:name w:val="toc 9"/>
    <w:basedOn w:val="Normal"/>
    <w:next w:val="Normal"/>
    <w:link w:val="TOC9Char"/>
    <w:uiPriority w:val="99"/>
    <w:rsid w:val="00F65AAB"/>
    <w:pPr>
      <w:spacing w:after="0" w:line="240" w:lineRule="auto"/>
      <w:ind w:left="1600"/>
    </w:pPr>
    <w:rPr>
      <w:rFonts w:ascii="XO Thames" w:hAnsi="XO Thames"/>
      <w:color w:val="auto"/>
      <w:sz w:val="28"/>
    </w:rPr>
  </w:style>
  <w:style w:type="character" w:customStyle="1" w:styleId="TOC9Char">
    <w:name w:val="TOC 9 Char"/>
    <w:link w:val="TOC9"/>
    <w:uiPriority w:val="99"/>
    <w:locked/>
    <w:rsid w:val="00F65AAB"/>
    <w:rPr>
      <w:rFonts w:ascii="XO Thames" w:hAnsi="XO Thames"/>
      <w:sz w:val="28"/>
    </w:rPr>
  </w:style>
  <w:style w:type="paragraph" w:styleId="TOC8">
    <w:name w:val="toc 8"/>
    <w:basedOn w:val="Normal"/>
    <w:next w:val="Normal"/>
    <w:link w:val="TOC8Char"/>
    <w:uiPriority w:val="99"/>
    <w:rsid w:val="00F65AAB"/>
    <w:pPr>
      <w:spacing w:after="0" w:line="240" w:lineRule="auto"/>
      <w:ind w:left="1400"/>
    </w:pPr>
    <w:rPr>
      <w:rFonts w:ascii="XO Thames" w:hAnsi="XO Thames"/>
      <w:color w:val="auto"/>
      <w:sz w:val="28"/>
    </w:rPr>
  </w:style>
  <w:style w:type="character" w:customStyle="1" w:styleId="TOC8Char">
    <w:name w:val="TOC 8 Char"/>
    <w:link w:val="TOC8"/>
    <w:uiPriority w:val="99"/>
    <w:locked/>
    <w:rsid w:val="00F65AAB"/>
    <w:rPr>
      <w:rFonts w:ascii="XO Thames" w:hAnsi="XO Thames"/>
      <w:sz w:val="28"/>
    </w:rPr>
  </w:style>
  <w:style w:type="paragraph" w:styleId="Header">
    <w:name w:val="header"/>
    <w:basedOn w:val="Normal"/>
    <w:link w:val="HeaderChar"/>
    <w:uiPriority w:val="99"/>
    <w:rsid w:val="00F65AAB"/>
    <w:pPr>
      <w:tabs>
        <w:tab w:val="center" w:pos="4677"/>
        <w:tab w:val="right" w:pos="9355"/>
      </w:tabs>
      <w:spacing w:after="0" w:line="240" w:lineRule="auto"/>
    </w:pPr>
  </w:style>
  <w:style w:type="character" w:customStyle="1" w:styleId="HeaderChar">
    <w:name w:val="Header Char"/>
    <w:basedOn w:val="Normal1"/>
    <w:link w:val="Header"/>
    <w:uiPriority w:val="99"/>
    <w:locked/>
    <w:rsid w:val="00F65AAB"/>
    <w:rPr>
      <w:rFonts w:cs="Times New Roman"/>
    </w:rPr>
  </w:style>
  <w:style w:type="paragraph" w:styleId="TOC5">
    <w:name w:val="toc 5"/>
    <w:basedOn w:val="Normal"/>
    <w:next w:val="Normal"/>
    <w:link w:val="TOC5Char"/>
    <w:uiPriority w:val="99"/>
    <w:rsid w:val="00F65AAB"/>
    <w:pPr>
      <w:spacing w:after="0" w:line="240" w:lineRule="auto"/>
      <w:ind w:left="800"/>
    </w:pPr>
    <w:rPr>
      <w:rFonts w:ascii="XO Thames" w:hAnsi="XO Thames"/>
      <w:color w:val="auto"/>
      <w:sz w:val="28"/>
    </w:rPr>
  </w:style>
  <w:style w:type="character" w:customStyle="1" w:styleId="TOC5Char">
    <w:name w:val="TOC 5 Char"/>
    <w:link w:val="TOC5"/>
    <w:uiPriority w:val="99"/>
    <w:locked/>
    <w:rsid w:val="00F65AAB"/>
    <w:rPr>
      <w:rFonts w:ascii="XO Thames" w:hAnsi="XO Thames"/>
      <w:sz w:val="28"/>
    </w:rPr>
  </w:style>
  <w:style w:type="paragraph" w:styleId="Subtitle">
    <w:name w:val="Subtitle"/>
    <w:basedOn w:val="Normal"/>
    <w:next w:val="Normal"/>
    <w:link w:val="SubtitleChar"/>
    <w:uiPriority w:val="99"/>
    <w:qFormat/>
    <w:rsid w:val="00F65AAB"/>
    <w:pPr>
      <w:spacing w:after="0" w:line="240" w:lineRule="auto"/>
      <w:jc w:val="both"/>
    </w:pPr>
    <w:rPr>
      <w:rFonts w:ascii="XO Thames" w:hAnsi="XO Thames"/>
      <w:i/>
      <w:color w:val="auto"/>
      <w:sz w:val="24"/>
    </w:rPr>
  </w:style>
  <w:style w:type="character" w:customStyle="1" w:styleId="SubtitleChar">
    <w:name w:val="Subtitle Char"/>
    <w:basedOn w:val="DefaultParagraphFont"/>
    <w:link w:val="Subtitle"/>
    <w:uiPriority w:val="99"/>
    <w:locked/>
    <w:rsid w:val="00F65AAB"/>
    <w:rPr>
      <w:rFonts w:ascii="XO Thames" w:hAnsi="XO Thames"/>
      <w:i/>
      <w:sz w:val="24"/>
    </w:rPr>
  </w:style>
  <w:style w:type="paragraph" w:styleId="Title">
    <w:name w:val="Title"/>
    <w:basedOn w:val="Normal"/>
    <w:next w:val="Normal"/>
    <w:link w:val="TitleChar"/>
    <w:uiPriority w:val="99"/>
    <w:qFormat/>
    <w:rsid w:val="00F65AAB"/>
    <w:pPr>
      <w:spacing w:before="567" w:after="567" w:line="240" w:lineRule="auto"/>
      <w:jc w:val="center"/>
    </w:pPr>
    <w:rPr>
      <w:rFonts w:ascii="XO Thames" w:hAnsi="XO Thames"/>
      <w:b/>
      <w:caps/>
      <w:color w:val="auto"/>
      <w:sz w:val="40"/>
    </w:rPr>
  </w:style>
  <w:style w:type="character" w:customStyle="1" w:styleId="TitleChar">
    <w:name w:val="Title Char"/>
    <w:basedOn w:val="DefaultParagraphFont"/>
    <w:link w:val="Title"/>
    <w:uiPriority w:val="99"/>
    <w:locked/>
    <w:rsid w:val="00F65AAB"/>
    <w:rPr>
      <w:rFonts w:ascii="XO Thames" w:hAnsi="XO Thames"/>
      <w:b/>
      <w:caps/>
      <w:sz w:val="40"/>
    </w:rPr>
  </w:style>
  <w:style w:type="paragraph" w:styleId="Footer">
    <w:name w:val="footer"/>
    <w:basedOn w:val="Normal"/>
    <w:link w:val="FooterChar"/>
    <w:uiPriority w:val="99"/>
    <w:rsid w:val="00F65AAB"/>
    <w:pPr>
      <w:tabs>
        <w:tab w:val="center" w:pos="4677"/>
        <w:tab w:val="right" w:pos="9355"/>
      </w:tabs>
      <w:spacing w:after="0" w:line="240" w:lineRule="auto"/>
    </w:pPr>
  </w:style>
  <w:style w:type="character" w:customStyle="1" w:styleId="FooterChar">
    <w:name w:val="Footer Char"/>
    <w:basedOn w:val="Normal1"/>
    <w:link w:val="Footer"/>
    <w:uiPriority w:val="99"/>
    <w:locked/>
    <w:rsid w:val="00F65AAB"/>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1455</Words>
  <Characters>8298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Ханты-Мансийская межрайонная прокуратура разъясняет:</dc:title>
  <dc:subject/>
  <dc:creator/>
  <cp:keywords/>
  <dc:description/>
  <cp:lastModifiedBy>1</cp:lastModifiedBy>
  <cp:revision>2</cp:revision>
  <dcterms:created xsi:type="dcterms:W3CDTF">2025-12-29T10:01:00Z</dcterms:created>
  <dcterms:modified xsi:type="dcterms:W3CDTF">2025-12-29T10:01:00Z</dcterms:modified>
</cp:coreProperties>
</file>