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drawing>
          <wp:inline>
            <wp:extent cx="861822" cy="103123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861822" cy="103123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ПРОКУРАТУРА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ХАНТЫ-МАНСИ</w:t>
      </w:r>
      <w:r>
        <w:rPr>
          <w:rFonts w:ascii="Times New Roman" w:hAnsi="Times New Roman"/>
          <w:b w:val="1"/>
          <w:sz w:val="28"/>
        </w:rPr>
        <w:t>ЙСКОГО АВТОНОМНОГО ОКРУГА – ЮГРЫ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ХАНТЫ-МАНСИЙСКАЯ МЕЖРАЙОННАЯ </w:t>
      </w:r>
      <w:r>
        <w:rPr>
          <w:rFonts w:ascii="Times New Roman" w:hAnsi="Times New Roman"/>
          <w:b w:val="1"/>
          <w:sz w:val="28"/>
        </w:rPr>
        <w:t xml:space="preserve">ПРОКУРАТУРА </w:t>
      </w:r>
    </w:p>
    <w:p w14:paraId="09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1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ПАМЯТКА</w:t>
      </w:r>
    </w:p>
    <w:p w14:paraId="0B000000">
      <w:pPr>
        <w:widowControl w:val="0"/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1"/>
          <w:sz w:val="28"/>
          <w:u w:val="single"/>
        </w:rPr>
        <w:t>«Ответственность</w:t>
      </w:r>
      <w:r>
        <w:rPr>
          <w:rFonts w:ascii="Times New Roman" w:hAnsi="Times New Roman"/>
          <w:b w:val="1"/>
          <w:i w:val="1"/>
          <w:sz w:val="28"/>
          <w:u w:val="single"/>
        </w:rPr>
        <w:t xml:space="preserve"> дропперов</w:t>
      </w:r>
      <w:r>
        <w:rPr>
          <w:rFonts w:ascii="Times New Roman" w:hAnsi="Times New Roman"/>
          <w:b w:val="1"/>
          <w:i w:val="1"/>
          <w:sz w:val="28"/>
          <w:u w:val="single"/>
        </w:rPr>
        <w:t>»</w:t>
      </w: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 xml:space="preserve">Статьёй 187 Уголовного кодекса РФ предусмотрена </w:t>
      </w:r>
      <w:r>
        <w:rPr>
          <w:rFonts w:ascii="Times New Roman" w:hAnsi="Times New Roman"/>
          <w:color w:val="252525"/>
          <w:sz w:val="22"/>
          <w:highlight w:val="white"/>
        </w:rPr>
        <w:t>ответственность за так называемое «</w:t>
      </w:r>
      <w:r>
        <w:rPr>
          <w:rFonts w:ascii="Times New Roman" w:hAnsi="Times New Roman"/>
          <w:color w:val="252525"/>
          <w:sz w:val="22"/>
          <w:highlight w:val="white"/>
        </w:rPr>
        <w:t>дропперство</w:t>
      </w:r>
      <w:r>
        <w:rPr>
          <w:rFonts w:ascii="Times New Roman" w:hAnsi="Times New Roman"/>
          <w:color w:val="252525"/>
          <w:sz w:val="22"/>
          <w:highlight w:val="white"/>
        </w:rPr>
        <w:t>» — передачу банковских карт и доступа к счетам третьим лицам</w:t>
      </w:r>
      <w:r>
        <w:rPr>
          <w:rFonts w:ascii="Times New Roman" w:hAnsi="Times New Roman"/>
          <w:color w:val="252525"/>
          <w:sz w:val="22"/>
          <w:highlight w:val="white"/>
        </w:rPr>
        <w:t>. Ответственность наступает с 16 лет.</w:t>
      </w:r>
    </w:p>
    <w:p w14:paraId="0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  <w:u w:val="single"/>
        </w:rPr>
        <w:t>Для владельцев карт</w:t>
      </w:r>
      <w:r>
        <w:rPr>
          <w:rFonts w:ascii="Times New Roman" w:hAnsi="Times New Roman"/>
          <w:color w:val="252525"/>
          <w:sz w:val="22"/>
          <w:highlight w:val="white"/>
        </w:rPr>
        <w:t xml:space="preserve"> (клиентов банков) ответственность наступает в двух случаях: </w:t>
      </w:r>
    </w:p>
    <w:p w14:paraId="0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>-</w:t>
      </w:r>
      <w:r>
        <w:rPr>
          <w:rFonts w:ascii="Times New Roman" w:hAnsi="Times New Roman"/>
          <w:b w:val="1"/>
          <w:color w:val="252525"/>
          <w:sz w:val="22"/>
          <w:highlight w:val="white"/>
        </w:rPr>
        <w:t xml:space="preserve"> передача карты другому лицу</w:t>
      </w:r>
      <w:r>
        <w:rPr>
          <w:rFonts w:ascii="Times New Roman" w:hAnsi="Times New Roman"/>
          <w:color w:val="252525"/>
          <w:sz w:val="22"/>
          <w:highlight w:val="white"/>
        </w:rPr>
        <w:t xml:space="preserve"> (если гражданин передал свою карту или доступ к онлайн-банку третьему лицу, зная, что оно будет использовать их для проведения незаконных операций (например, </w:t>
      </w:r>
      <w:r>
        <w:rPr>
          <w:rFonts w:ascii="Times New Roman" w:hAnsi="Times New Roman"/>
          <w:color w:val="252525"/>
          <w:sz w:val="22"/>
          <w:highlight w:val="white"/>
        </w:rPr>
        <w:t>обналичивания</w:t>
      </w:r>
      <w:r>
        <w:rPr>
          <w:rFonts w:ascii="Times New Roman" w:hAnsi="Times New Roman"/>
          <w:color w:val="252525"/>
          <w:sz w:val="22"/>
          <w:highlight w:val="white"/>
        </w:rPr>
        <w:t xml:space="preserve"> похищенных средств));</w:t>
      </w:r>
    </w:p>
    <w:p w14:paraId="1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252525"/>
          <w:sz w:val="22"/>
          <w:highlight w:val="white"/>
        </w:rPr>
        <w:t>-</w:t>
      </w:r>
      <w:r>
        <w:rPr>
          <w:rFonts w:ascii="Times New Roman" w:hAnsi="Times New Roman"/>
          <w:b w:val="1"/>
          <w:color w:val="252525"/>
          <w:sz w:val="22"/>
          <w:highlight w:val="white"/>
        </w:rPr>
        <w:t xml:space="preserve"> совершение операций по указке</w:t>
      </w:r>
      <w:r>
        <w:rPr>
          <w:rFonts w:ascii="Times New Roman" w:hAnsi="Times New Roman"/>
          <w:color w:val="252525"/>
          <w:sz w:val="22"/>
          <w:highlight w:val="white"/>
        </w:rPr>
        <w:t xml:space="preserve"> (если гражданин сам снимает деньги или переводит их со своей карты, но делает это по указанию другого лица (например, «куратора» из мошеннической схемы) и передает ему средства). </w:t>
      </w:r>
    </w:p>
    <w:p w14:paraId="1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  <w:u w:val="single"/>
        </w:rPr>
        <w:t>Для покупателей карт</w:t>
      </w:r>
      <w:r>
        <w:rPr>
          <w:rFonts w:ascii="Times New Roman" w:hAnsi="Times New Roman"/>
          <w:color w:val="252525"/>
          <w:sz w:val="22"/>
          <w:highlight w:val="white"/>
          <w:u w:val="single"/>
        </w:rPr>
        <w:t xml:space="preserve"> и организаторов</w:t>
      </w:r>
      <w:r>
        <w:rPr>
          <w:rFonts w:ascii="Times New Roman" w:hAnsi="Times New Roman"/>
          <w:color w:val="252525"/>
          <w:sz w:val="22"/>
          <w:highlight w:val="white"/>
        </w:rPr>
        <w:t xml:space="preserve"> (лиц, не являющихся стороной договора с банком) предусмотрена еще более строгая ответственность за: </w:t>
      </w:r>
    </w:p>
    <w:p w14:paraId="1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252525"/>
          <w:sz w:val="22"/>
          <w:highlight w:val="white"/>
        </w:rPr>
        <w:t xml:space="preserve">- </w:t>
      </w:r>
      <w:r>
        <w:rPr>
          <w:rFonts w:ascii="Times New Roman" w:hAnsi="Times New Roman"/>
          <w:b w:val="1"/>
          <w:color w:val="252525"/>
          <w:sz w:val="22"/>
          <w:highlight w:val="white"/>
        </w:rPr>
        <w:t>приобретение карт</w:t>
      </w:r>
      <w:r>
        <w:rPr>
          <w:rFonts w:ascii="Times New Roman" w:hAnsi="Times New Roman"/>
          <w:color w:val="252525"/>
          <w:sz w:val="22"/>
          <w:highlight w:val="white"/>
        </w:rPr>
        <w:t xml:space="preserve"> (покупка банковской карт</w:t>
      </w:r>
      <w:r>
        <w:rPr>
          <w:rFonts w:ascii="Times New Roman" w:hAnsi="Times New Roman"/>
          <w:color w:val="252525"/>
          <w:sz w:val="22"/>
          <w:highlight w:val="white"/>
        </w:rPr>
        <w:t>ы у ее</w:t>
      </w:r>
      <w:r>
        <w:rPr>
          <w:rFonts w:ascii="Times New Roman" w:hAnsi="Times New Roman"/>
          <w:color w:val="252525"/>
          <w:sz w:val="22"/>
          <w:highlight w:val="white"/>
        </w:rPr>
        <w:t xml:space="preserve"> владельца или получение доступа к чужому счету для проведения неправомерных операций);</w:t>
      </w:r>
    </w:p>
    <w:p w14:paraId="1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color w:val="252525"/>
          <w:sz w:val="22"/>
          <w:highlight w:val="white"/>
        </w:rPr>
        <w:t>-</w:t>
      </w:r>
      <w:r>
        <w:rPr>
          <w:rFonts w:ascii="Times New Roman" w:hAnsi="Times New Roman"/>
          <w:b w:val="1"/>
          <w:color w:val="252525"/>
          <w:sz w:val="22"/>
          <w:highlight w:val="white"/>
        </w:rPr>
        <w:t xml:space="preserve"> неправомерные операции</w:t>
      </w:r>
      <w:r>
        <w:rPr>
          <w:rFonts w:ascii="Times New Roman" w:hAnsi="Times New Roman"/>
          <w:color w:val="252525"/>
          <w:sz w:val="22"/>
          <w:highlight w:val="white"/>
        </w:rPr>
        <w:t xml:space="preserve"> (непосредственное проведение операций (снятие наличных, переводы) с использованием чужой карты или доступа к счету, лицом, не являющимся клиентом банка по данному договору). </w:t>
      </w:r>
    </w:p>
    <w:p w14:paraId="1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>Для владельцев карт («</w:t>
      </w:r>
      <w:r>
        <w:rPr>
          <w:rFonts w:ascii="Times New Roman" w:hAnsi="Times New Roman"/>
          <w:color w:val="252525"/>
          <w:sz w:val="22"/>
          <w:highlight w:val="white"/>
        </w:rPr>
        <w:t>дропперов</w:t>
      </w:r>
      <w:r>
        <w:rPr>
          <w:rFonts w:ascii="Times New Roman" w:hAnsi="Times New Roman"/>
          <w:color w:val="252525"/>
          <w:sz w:val="22"/>
          <w:highlight w:val="white"/>
        </w:rPr>
        <w:t>»), которые передали свои данные или выполняли операции по указке, предусмотрено максимальное наказание — лишение свободы на срок до трех лет. </w:t>
      </w:r>
    </w:p>
    <w:p w14:paraId="1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 xml:space="preserve">Для организаторов и тех, кто профессионально занимается скупкой и использованием карт, максимальное наказание достигает шести лет лишения свободы. </w:t>
      </w:r>
    </w:p>
    <w:p w14:paraId="1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>Кроме того, указанные действия караются значительными штрафами</w:t>
      </w:r>
      <w:r>
        <w:rPr>
          <w:rFonts w:ascii="Times New Roman" w:hAnsi="Times New Roman"/>
          <w:color w:val="252525"/>
          <w:sz w:val="22"/>
          <w:highlight w:val="white"/>
        </w:rPr>
        <w:t xml:space="preserve"> до 1 миллиона рублей. </w:t>
      </w:r>
    </w:p>
    <w:p w14:paraId="1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>Следствием и судами «</w:t>
      </w:r>
      <w:r>
        <w:rPr>
          <w:rFonts w:ascii="Times New Roman" w:hAnsi="Times New Roman"/>
          <w:color w:val="252525"/>
          <w:sz w:val="22"/>
          <w:highlight w:val="white"/>
        </w:rPr>
        <w:t>дропперы</w:t>
      </w:r>
      <w:r>
        <w:rPr>
          <w:rFonts w:ascii="Times New Roman" w:hAnsi="Times New Roman"/>
          <w:color w:val="252525"/>
          <w:sz w:val="22"/>
          <w:highlight w:val="white"/>
        </w:rPr>
        <w:t xml:space="preserve">» определяются как лица, которые за вознаграждение предоставляют свои счета и карты для вывода и </w:t>
      </w:r>
      <w:r>
        <w:rPr>
          <w:rFonts w:ascii="Times New Roman" w:hAnsi="Times New Roman"/>
          <w:color w:val="252525"/>
          <w:sz w:val="22"/>
          <w:highlight w:val="white"/>
        </w:rPr>
        <w:t>обналичивания</w:t>
      </w:r>
      <w:r>
        <w:rPr>
          <w:rFonts w:ascii="Times New Roman" w:hAnsi="Times New Roman"/>
          <w:color w:val="252525"/>
          <w:sz w:val="22"/>
          <w:highlight w:val="white"/>
        </w:rPr>
        <w:t xml:space="preserve"> похищенных денег. Обычно это социально уязвимые категории граждан: студенты, пенсионеры, люди с низким доходом. Их превращают в звено преступной цепочки, и такая «подработка» может обернуться судимостью. </w:t>
      </w:r>
    </w:p>
    <w:p w14:paraId="1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>Под неправомерной операцией понимается перевод, выдача или получение наличных средств, которые были зачислены на счет без законных оснований. Простыми словами, если на карту упали чужие или похищенные деньги, и вы их сняли или перевели по просьбе третьего лица — это преступление. </w:t>
      </w:r>
    </w:p>
    <w:p w14:paraId="1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  <w:u w:val="single"/>
        </w:rPr>
        <w:t>Важное уточнение:</w:t>
      </w:r>
      <w:r>
        <w:rPr>
          <w:rFonts w:ascii="Times New Roman" w:hAnsi="Times New Roman"/>
          <w:color w:val="252525"/>
          <w:sz w:val="22"/>
          <w:highlight w:val="white"/>
        </w:rPr>
        <w:t xml:space="preserve"> операции не считаются неправомерными, если они совершены с согласия клиента банка в отношении его собственных средств. То есть, если вы добровольно разрешили родственнику воспользоваться вашей картой, чтобы снять ваши же деньги, состава преступления здесь нет. </w:t>
      </w:r>
    </w:p>
    <w:p w14:paraId="1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color w:val="252525"/>
          <w:sz w:val="22"/>
          <w:highlight w:val="white"/>
          <w:u w:val="single"/>
        </w:rPr>
        <w:t>З</w:t>
      </w:r>
      <w:r>
        <w:rPr>
          <w:rFonts w:ascii="Times New Roman" w:hAnsi="Times New Roman"/>
          <w:color w:val="252525"/>
          <w:sz w:val="22"/>
          <w:highlight w:val="white"/>
          <w:u w:val="single"/>
        </w:rPr>
        <w:t>акон предусматривает механизм освобождения от ответственности владельцев карт, впервые совершивших преступление. Для этого необходимо выполнить два условия: </w:t>
      </w:r>
    </w:p>
    <w:p w14:paraId="1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>1. Активно способствовать раскрытию и расследованию преступления. </w:t>
      </w:r>
    </w:p>
    <w:p w14:paraId="1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252525"/>
          <w:sz w:val="22"/>
          <w:highlight w:val="white"/>
        </w:rPr>
        <w:t>2. Добровольно сообщить правоохранительным органам о лицах, совершивших другие преступления с использованием переданного электронного средства платежа. </w:t>
      </w:r>
    </w:p>
    <w:p w14:paraId="1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252525"/>
          <w:sz w:val="22"/>
          <w:highlight w:val="white"/>
        </w:rPr>
      </w:pPr>
    </w:p>
    <w:p w14:paraId="1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color w:val="252525"/>
          <w:sz w:val="22"/>
          <w:highlight w:val="white"/>
        </w:rPr>
        <w:t>Таким образом, схема ответственности проста. </w:t>
      </w:r>
    </w:p>
    <w:p w14:paraId="1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color w:val="252525"/>
          <w:sz w:val="22"/>
          <w:highlight w:val="white"/>
        </w:rPr>
        <w:t>1. Продал карту — стал фигурантом уголовного дела (ч. 3 ст. 187 УК РФ). </w:t>
      </w:r>
    </w:p>
    <w:p w14:paraId="2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color w:val="252525"/>
          <w:sz w:val="22"/>
          <w:highlight w:val="white"/>
        </w:rPr>
        <w:t>2. Купил карту или снял с нее чужие деньги — рискуешь получить до 6 лет лишения свободы (ч. 5, 6 ст. 187 УК РФ). </w:t>
      </w:r>
    </w:p>
    <w:p w14:paraId="2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color w:val="252525"/>
          <w:sz w:val="22"/>
          <w:highlight w:val="white"/>
        </w:rPr>
        <w:t>3. Единственный шанс избежать наказания — изобличить организаторов.</w:t>
      </w:r>
    </w:p>
    <w:sectPr>
      <w:headerReference r:id="rId1" w:type="default"/>
      <w:pgSz w:h="16838" w:orient="portrait" w:w="11906"/>
      <w:pgMar w:bottom="1134" w:footer="0" w:gutter="0" w:header="567" w:left="1418" w:right="566" w:top="567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3069112</wp:posOffset>
              </wp:positionH>
              <wp:positionV relativeFrom="page">
                <wp:posOffset>360045</wp:posOffset>
              </wp:positionV>
              <wp:extent cx="230505" cy="417937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30505" cy="4179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Balloon Text"/>
    <w:basedOn w:val="Style_2"/>
    <w:link w:val="Style_3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3_ch" w:type="character">
    <w:name w:val="Balloon Text"/>
    <w:basedOn w:val="Style_2_ch"/>
    <w:link w:val="Style_3"/>
    <w:rPr>
      <w:rFonts w:ascii="Segoe UI" w:hAnsi="Segoe UI"/>
      <w:sz w:val="18"/>
    </w:rPr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2"/>
    <w:link w:val="Style_1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8" w:type="paragraph">
    <w:name w:val="header"/>
    <w:basedOn w:val="Style_2"/>
    <w:link w:val="Style_1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header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Grid"/>
    <w:basedOn w:val="Style_26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2026-06-29T07:22:27Z</dcterms:created>
  <dcterms:modified xsi:type="dcterms:W3CDTF">2026-06-29T07:24:16Z</dcterms:modified>
</cp:coreProperties>
</file>