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-72"/>
        <w:tblLayout w:type="fixed"/>
      </w:tblPr>
      <w:tblGrid>
        <w:gridCol w:w="1777"/>
        <w:gridCol w:w="8626"/>
      </w:tblGrid>
      <w:tr>
        <w:trPr>
          <w:trHeight w:hRule="atLeast" w:val="1148"/>
        </w:trPr>
        <w:tc>
          <w:tcPr>
            <w:tcW w:type="dxa" w:w="1777"/>
          </w:tcPr>
          <w:p w14:paraId="01000000">
            <w:pPr>
              <w:widowControl w:val="1"/>
              <w:spacing w:after="0" w:line="240" w:lineRule="auto"/>
              <w:ind w:right="28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drawing>
                <wp:anchor allowOverlap="true" behindDoc="true" distB="0" distL="114300" distR="114300" distT="0" layoutInCell="true" locked="false" relativeHeight="251658240" simplePos="fals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127635</wp:posOffset>
                  </wp:positionV>
                  <wp:extent cx="952500" cy="1014095"/>
                  <wp:effectExtent b="0" l="0" r="0" t="0"/>
                  <wp:wrapTight distL="114300" distR="114300" wrapText="bothSides">
                    <wp:wrapPolygon>
                      <wp:start x="0" y="0"/>
                      <wp:lineTo x="0" y="21100"/>
                      <wp:lineTo x="21168" y="21100"/>
                      <wp:lineTo x="21168" y="0"/>
                      <wp:lineTo x="0" y="0"/>
                    </wp:wrapPolygon>
                  </wp:wrapTight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952500" cy="101409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8626"/>
          </w:tcPr>
          <w:p w14:paraId="02000000">
            <w:pPr>
              <w:widowControl w:val="1"/>
              <w:spacing w:after="0" w:before="407" w:line="738" w:lineRule="exact"/>
              <w:ind w:left="18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138429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-4"/>
                <w:sz w:val="28"/>
              </w:rPr>
              <w:t xml:space="preserve">ХАНТЫ-МАНСИЙСКАЯ МЕЖРАЙОННАЯ ПРОКУРАТУРА </w:t>
            </w:r>
          </w:p>
          <w:p w14:paraId="03000000">
            <w:pPr>
              <w:widowControl w:val="1"/>
              <w:spacing w:after="0" w:before="90" w:line="240" w:lineRule="auto"/>
              <w:ind w:left="18"/>
              <w:jc w:val="both"/>
              <w:rPr>
                <w:rFonts w:ascii="Times New Roman" w:hAnsi="Times New Roman"/>
                <w:b w:val="1"/>
                <w:spacing w:val="8"/>
                <w:sz w:val="28"/>
              </w:rPr>
            </w:pPr>
            <w:r>
              <w:rPr>
                <w:rFonts w:ascii="Times New Roman" w:hAnsi="Times New Roman"/>
                <w:b w:val="1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414654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8"/>
                <w:sz w:val="28"/>
              </w:rPr>
              <w:t>Ханты-Мансийского автономного округа-Югры</w:t>
            </w:r>
          </w:p>
          <w:p w14:paraId="04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 xml:space="preserve">Межрайонная прокуратура разъясняет: </w:t>
      </w:r>
      <w:r>
        <w:rPr>
          <w:rFonts w:ascii="Times New Roman" w:hAnsi="Times New Roman"/>
          <w:b w:val="1"/>
          <w:color w:val="000000"/>
          <w:sz w:val="28"/>
          <w:u w:val="none"/>
        </w:rPr>
        <w:t>принят закон, направленный на совершенствование положений законодательства в сфере социальной защиты населения</w:t>
      </w:r>
      <w:r>
        <w:rPr>
          <w:rFonts w:ascii="Times New Roman" w:hAnsi="Times New Roman"/>
          <w:b w:val="1"/>
          <w:color w:val="000000"/>
          <w:sz w:val="28"/>
          <w:u w:val="none"/>
        </w:rPr>
        <w:t>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1 января 2027 года вводится </w:t>
      </w:r>
      <w:r>
        <w:rPr>
          <w:rFonts w:ascii="Times New Roman" w:hAnsi="Times New Roman"/>
          <w:color w:val="000000"/>
          <w:sz w:val="28"/>
        </w:rPr>
        <w:t>беззаявительный</w:t>
      </w:r>
      <w:r>
        <w:rPr>
          <w:rFonts w:ascii="Times New Roman" w:hAnsi="Times New Roman"/>
          <w:color w:val="000000"/>
          <w:sz w:val="28"/>
        </w:rPr>
        <w:t xml:space="preserve"> (автоматический) порядок назначения выплат гражданам при возникновении осложнений после вакцинации.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единовременного пособия, а также ежемесячной денежной компенсации, предусмотренных Законом об иммунопрофилактике инфекционных болезней, будет осуществляться на основании сведений, содержащихся в ГИС "Единая централизованная цифровая платформа в социальной сфере", а также сведений о возникновении поствакцинальных осложнений, поступивших из медицинской организации.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 смерти гражданина, наступившей вследствие поствакцинального осложнения, члены семьи смогут оформить выплату через портал </w:t>
      </w:r>
      <w:r>
        <w:rPr>
          <w:rFonts w:ascii="Times New Roman" w:hAnsi="Times New Roman"/>
          <w:color w:val="000000"/>
          <w:sz w:val="28"/>
        </w:rPr>
        <w:t>Госуслуг</w:t>
      </w:r>
      <w:r>
        <w:rPr>
          <w:rFonts w:ascii="Times New Roman" w:hAnsi="Times New Roman"/>
          <w:color w:val="000000"/>
          <w:sz w:val="28"/>
        </w:rPr>
        <w:t>, в МФЦ или в территориальном органе СФР.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с 1 января 2027 года без истребования документов будет осуществляться предоставление ежегодной денежной выплаты лицам, награжденным нагрудным знаком "Почетный донор России".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Кроме того, принятым законом лицам из числа ветеранов боевых действий, имеющих инвалидность, предоставлено право на однократную подачу в территориальный орган СФР, осуществляющий ежемесячную денежную выплату, заявления о </w:t>
      </w:r>
      <w:r>
        <w:rPr>
          <w:rFonts w:ascii="Times New Roman" w:hAnsi="Times New Roman"/>
          <w:color w:val="000000"/>
          <w:sz w:val="28"/>
        </w:rPr>
        <w:t>предоставлении</w:t>
      </w:r>
      <w:r>
        <w:rPr>
          <w:rFonts w:ascii="Times New Roman" w:hAnsi="Times New Roman"/>
          <w:color w:val="000000"/>
          <w:sz w:val="28"/>
        </w:rPr>
        <w:t xml:space="preserve"> набора социальных услуг, без ограничения срока подачи такого заявления (согласно общему правилу заявление подается до 1 октября).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вступает в силу со дня его официального опубликования, за исключением статей 1, 3 и 4, вступающих в силу с 1 января 2027 года.</w:t>
      </w:r>
    </w:p>
    <w:p w14:paraId="0F000000">
      <w:pPr>
        <w:widowControl w:val="1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межрайонного прокурора                                                         А.Н. Колупаев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5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Карпенко Е.С., 8-3467-333-067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Balloon Text"/>
    <w:basedOn w:val="Style_2"/>
    <w:link w:val="Style_2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2_ch"/>
    <w:link w:val="Style_20"/>
    <w:rPr>
      <w:rFonts w:ascii="Tahoma" w:hAnsi="Tahoma"/>
      <w:sz w:val="16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List Paragraph"/>
    <w:basedOn w:val="Style_2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2_ch"/>
    <w:link w:val="Style_24"/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2026-08-12T09:45:27Z</dcterms:created>
  <dcterms:modified xsi:type="dcterms:W3CDTF">2026-08-12T09:45:27Z</dcterms:modified>
</cp:coreProperties>
</file>