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Ind w:type="dxa" w:w="-72"/>
        <w:tblLayout w:type="fixed"/>
      </w:tblPr>
      <w:tblGrid>
        <w:gridCol w:w="1777"/>
        <w:gridCol w:w="8626"/>
      </w:tblGrid>
      <w:tr>
        <w:trPr>
          <w:trHeight w:hRule="atLeast" w:val="1148"/>
        </w:trPr>
        <w:tc>
          <w:tcPr>
            <w:tcW w:type="dxa" w:w="1777"/>
          </w:tcPr>
          <w:p w14:paraId="01000000">
            <w:pPr>
              <w:widowControl w:val="1"/>
              <w:spacing w:after="0" w:line="240" w:lineRule="auto"/>
              <w:ind w:right="28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drawing>
                <wp:anchor allowOverlap="true" behindDoc="true" distB="0" distL="114300" distR="114300" distT="0" layoutInCell="true" locked="false" relativeHeight="251658240" simplePos="fals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127635</wp:posOffset>
                  </wp:positionV>
                  <wp:extent cx="952500" cy="1014095"/>
                  <wp:effectExtent b="0" l="0" r="0" t="0"/>
                  <wp:wrapTight distL="114300" distR="114300" wrapText="bothSides">
                    <wp:wrapPolygon>
                      <wp:start x="0" y="0"/>
                      <wp:lineTo x="0" y="21100"/>
                      <wp:lineTo x="21168" y="21100"/>
                      <wp:lineTo x="21168" y="0"/>
                      <wp:lineTo x="0" y="0"/>
                    </wp:wrapPolygon>
                  </wp:wrapTight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952500" cy="101409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8626"/>
          </w:tcPr>
          <w:p w14:paraId="02000000">
            <w:pPr>
              <w:widowControl w:val="1"/>
              <w:spacing w:after="0" w:before="407" w:line="738" w:lineRule="exact"/>
              <w:ind w:left="18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4294967295" distL="114300" distR="114300" distT="4294967295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138429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b w:val="1"/>
                <w:spacing w:val="-4"/>
                <w:sz w:val="28"/>
              </w:rPr>
              <w:t xml:space="preserve">ХАНТЫ-МАНСИЙСКАЯ МЕЖРАЙОННАЯ ПРОКУРАТУРА </w:t>
            </w:r>
          </w:p>
          <w:p w14:paraId="03000000">
            <w:pPr>
              <w:widowControl w:val="1"/>
              <w:spacing w:after="0" w:before="90" w:line="240" w:lineRule="auto"/>
              <w:ind w:left="18"/>
              <w:jc w:val="both"/>
              <w:rPr>
                <w:rFonts w:ascii="Times New Roman" w:hAnsi="Times New Roman"/>
                <w:b w:val="1"/>
                <w:spacing w:val="8"/>
                <w:sz w:val="28"/>
              </w:rPr>
            </w:pPr>
            <w:r>
              <w:rPr>
                <w:rFonts w:ascii="Times New Roman" w:hAnsi="Times New Roman"/>
                <w:b w:val="1"/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4294967295" distL="114300" distR="114300" distT="4294967295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414654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b w:val="1"/>
                <w:spacing w:val="8"/>
                <w:sz w:val="28"/>
              </w:rPr>
              <w:t>Ханты-Мансийского автономного округа-Югры</w:t>
            </w:r>
          </w:p>
          <w:p w14:paraId="04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Межрайонная прокуратура разъясняет: </w:t>
      </w:r>
      <w:r>
        <w:rPr>
          <w:rFonts w:ascii="Times New Roman" w:hAnsi="Times New Roman"/>
          <w:b w:val="1"/>
          <w:sz w:val="28"/>
        </w:rPr>
        <w:t>Конституционный Суд РФ разъяснил конституционно-правовой смысл положений о лишении родительских прав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 </w:t>
      </w:r>
    </w:p>
    <w:p w14:paraId="0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 Постановления Конституционного Суда РФ от 16.07.2026 № 49-П «По делу о проверке конституционности пункта 1 статьи 54, пункта 2 статьи 61 и статьи 69 Семейного кодекса Российской Федерации в связи с жалобой гражданки Республики Узбекистан А.» совершеннолетние граждане, в отношении которых до достижения ими совершеннолетия родителем совершено преступление, могут требовать лишения такого родителя родительских прав. </w:t>
      </w:r>
    </w:p>
    <w:p w14:paraId="0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Взаимосвязанные пункт 1 статьи 54, пункт 2 статьи 61 и статья 69 Семейного кодекса РФ признаны не противоречащими Конституции РФ, поскольку они не препятствуют рассмотрению и удовлетворению судами исковых заявлений о лишении родительских прав, поданных совершеннолетними гражданами, в отношении которых до достижения ими совершеннолетия родителем совершено преступление, совершение которого является основанием для лишения родительских прав. </w:t>
      </w:r>
    </w:p>
    <w:p w14:paraId="0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Конституционным Судом отмечено, что лишение родительских прав как крайняя мера ответственности применяется судом только в случае виновного противоправного поведения родителей в отношении своих детей и только в ситуации, когда защитить права и интересы детей другим путем невозможно.</w:t>
      </w:r>
    </w:p>
    <w:p w14:paraId="0C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то же время семейное законодательство не предусматривает возможности лишения родительских прав в отношении совершеннолетнего лица. </w:t>
      </w:r>
    </w:p>
    <w:p w14:paraId="0D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Однако в случае совершения родителем в отношении ребенка преступления, совершение которого является основанием для лишения родительских прав (в частности, преступления против половой неприкосновенности), само по себе сохранение помимо воли ребенка, достигшего совершеннолетия, его правовой связи с этим родителем затрагивает достоинство личности и ставит под сомнение эффективность гарантий защиты потерпевших от таких преступлений вопреки статьям Конституции РФ. </w:t>
      </w:r>
    </w:p>
    <w:p w14:paraId="0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Однако отсутствие иной возможности прекратить правовую связь достигшего совершеннолетия ребенка с родителем, ранее совершившим в отношении него преступление, предопределяет необходимость истолкования взаимосвязанных пункта 1 статьи 54, пункта 2 статьи 61 и статьи 69 Семейного кодекса РФ как не препятствующих рассмотрению и удовлетворению судами соответствующих исковых заявлений о лишении родительских прав. </w:t>
      </w:r>
    </w:p>
    <w:p w14:paraId="0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Подобное истолкование и применение правил о лишении родительских прав возможно лишь постольку, поскольку законодательством не предусмотрен иной правовой механизм, позволяющий прекратить правовую связь между родителем и достигшим совершеннолетия ребенком и, следовательно, обеспечить защиту интересов совершеннолетних граждан.</w:t>
      </w:r>
    </w:p>
    <w:p w14:paraId="10000000">
      <w:pPr>
        <w:widowControl w:val="1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межрайонного прокурора                                                         А.Н. Колупаев</w:t>
      </w:r>
    </w:p>
    <w:p w14:paraId="12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4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5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6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7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8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9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A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B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C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D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E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20000000">
      <w:pPr>
        <w:widowControl w:val="0"/>
        <w:ind/>
        <w:contextualSpacing w:val="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Карпенко Е.С., 8-3467-333-067</w:t>
      </w:r>
    </w:p>
    <w:p w14:paraId="21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List Paragraph"/>
    <w:basedOn w:val="Style_2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Balloon Text"/>
    <w:basedOn w:val="Style_2"/>
    <w:link w:val="Style_2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2_ch" w:type="character">
    <w:name w:val="Balloon Text"/>
    <w:basedOn w:val="Style_2_ch"/>
    <w:link w:val="Style_22"/>
    <w:rPr>
      <w:rFonts w:ascii="Tahoma" w:hAnsi="Tahoma"/>
      <w:sz w:val="16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2026-08-12T07:36:54Z</dcterms:created>
  <dcterms:modified xsi:type="dcterms:W3CDTF">2026-08-12T07:37:21Z</dcterms:modified>
</cp:coreProperties>
</file>