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1"/>
        <w:tblW w:type="auto" w:w="0"/>
        <w:tblInd w:type="dxa" w:w="-72"/>
        <w:tblLayout w:type="fixed"/>
      </w:tblPr>
      <w:tblGrid>
        <w:gridCol w:w="1777"/>
        <w:gridCol w:w="8626"/>
      </w:tblGrid>
      <w:tr>
        <w:trPr>
          <w:trHeight w:hRule="atLeast" w:val="1148"/>
        </w:trPr>
        <w:tc>
          <w:tcPr>
            <w:tcW w:type="dxa" w:w="1777"/>
          </w:tcPr>
          <w:p w14:paraId="01000000">
            <w:pPr>
              <w:widowControl w:val="1"/>
              <w:spacing w:after="0" w:line="240" w:lineRule="auto"/>
              <w:ind w:right="283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drawing>
                <wp:anchor allowOverlap="true" behindDoc="true" distB="0" distL="114300" distR="114300" distT="0" layoutInCell="true" locked="false" relativeHeight="251658240" simplePos="fals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127635</wp:posOffset>
                  </wp:positionV>
                  <wp:extent cx="952500" cy="1014095"/>
                  <wp:effectExtent b="0" l="0" r="0" t="0"/>
                  <wp:wrapTight distL="114300" distR="114300" wrapText="bothSides">
                    <wp:wrapPolygon>
                      <wp:start x="0" y="0"/>
                      <wp:lineTo x="0" y="21100"/>
                      <wp:lineTo x="21168" y="21100"/>
                      <wp:lineTo x="21168" y="0"/>
                      <wp:lineTo x="0" y="0"/>
                    </wp:wrapPolygon>
                  </wp:wrapTight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952500" cy="101409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type="dxa" w:w="8626"/>
          </w:tcPr>
          <w:p w14:paraId="02000000">
            <w:pPr>
              <w:widowControl w:val="1"/>
              <w:spacing w:after="0" w:before="407" w:line="738" w:lineRule="exact"/>
              <w:ind w:left="18"/>
              <w:rPr>
                <w:rFonts w:ascii="Times New Roman" w:hAnsi="Times New Roman"/>
                <w:spacing w:val="-4"/>
                <w:sz w:val="28"/>
              </w:rPr>
            </w:pPr>
            <w:r>
              <w:rPr>
                <w:rFonts w:ascii="Times New Roman" w:hAnsi="Times New Roman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138429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-4"/>
                <w:sz w:val="28"/>
              </w:rPr>
              <w:t xml:space="preserve">ХАНТЫ-МАНСИЙСКАЯ МЕЖРАЙОННАЯ ПРОКУРАТУРА </w:t>
            </w:r>
          </w:p>
          <w:p w14:paraId="03000000">
            <w:pPr>
              <w:widowControl w:val="1"/>
              <w:spacing w:after="0" w:before="90" w:line="240" w:lineRule="auto"/>
              <w:ind w:left="18"/>
              <w:jc w:val="both"/>
              <w:rPr>
                <w:rFonts w:ascii="Times New Roman" w:hAnsi="Times New Roman"/>
                <w:b w:val="1"/>
                <w:spacing w:val="8"/>
                <w:sz w:val="28"/>
              </w:rPr>
            </w:pPr>
            <w:r>
              <w:rPr>
                <w:rFonts w:ascii="Times New Roman" w:hAnsi="Times New Roman"/>
                <w:b w:val="1"/>
                <w:sz w:val="20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4294967295" distL="114300" distR="114300" distT="4294967295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414654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rFonts w:ascii="Times New Roman" w:hAnsi="Times New Roman"/>
                <w:b w:val="1"/>
                <w:spacing w:val="8"/>
                <w:sz w:val="28"/>
              </w:rPr>
              <w:t>Ханты-Мансийского автономного округа-Югры</w:t>
            </w:r>
          </w:p>
          <w:p w14:paraId="04000000">
            <w:pPr>
              <w:widowControl w:val="1"/>
              <w:spacing w:after="0" w:line="240" w:lineRule="auto"/>
              <w:ind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7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>Межрайонная прокуратура разъясняет: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приняты федеральные законы, </w:t>
      </w:r>
      <w:r>
        <w:rPr>
          <w:rFonts w:ascii="Times New Roman" w:hAnsi="Times New Roman"/>
          <w:b w:val="1"/>
          <w:color w:val="000000"/>
          <w:sz w:val="28"/>
          <w:u w:val="none"/>
        </w:rPr>
        <w:t>направленные на повышение социальной защищенности военнослужащих, сотрудников некоторых правоохранительных органов и членов их семей</w:t>
      </w:r>
      <w:r>
        <w:rPr>
          <w:rFonts w:ascii="Times New Roman" w:hAnsi="Times New Roman"/>
          <w:b w:val="1"/>
          <w:color w:val="000000"/>
          <w:sz w:val="28"/>
          <w:u w:val="none"/>
        </w:rPr>
        <w:t>.</w:t>
      </w:r>
    </w:p>
    <w:p w14:paraId="09000000">
      <w:pPr>
        <w:widowControl w:val="1"/>
        <w:spacing w:after="0" w:line="240" w:lineRule="auto"/>
        <w:ind w:firstLine="709"/>
        <w:jc w:val="center"/>
        <w:rPr>
          <w:rFonts w:ascii="Times New Roman" w:hAnsi="Times New Roman"/>
          <w:b w:val="1"/>
          <w:color w:themeColor="text1" w:val="000000"/>
          <w:sz w:val="26"/>
        </w:rPr>
      </w:pP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val="none"/>
        </w:rPr>
        <w:instrText>HYPERLINK "https://storage.consultant.ru/site20/202608/04/fz_040826-300.pdf"</w:instrTex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val="none"/>
        </w:rPr>
        <w:t>Федеральным законом от 04.08.2026 N 300-ФЗ "О внесении изменения в статью 78.1 Уголовного кодекса Российской Федерации"</w: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р</w:t>
      </w:r>
      <w:r>
        <w:rPr>
          <w:rFonts w:ascii="Times New Roman" w:hAnsi="Times New Roman"/>
          <w:color w:val="000000"/>
          <w:sz w:val="28"/>
          <w:u w:val="none"/>
        </w:rPr>
        <w:t>асширен круг лиц, с которыми может быть заключен контракт о прохождении военной службы в Вооруженных Силах РФ в период мобилизации, в период военного положения или в военное время</w:t>
      </w:r>
      <w:r>
        <w:rPr>
          <w:rFonts w:ascii="Times New Roman" w:hAnsi="Times New Roman"/>
          <w:color w:val="000000"/>
          <w:sz w:val="28"/>
          <w:u w:val="none"/>
        </w:rPr>
        <w:t>.</w:t>
      </w:r>
    </w:p>
    <w:p w14:paraId="0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В этой связи внесены соответствующие изменения в абзац первый части первой статьи 78.1 Уголовного кодекса РФ, которой определен перечень лиц, подлежащих освобождению от уголовной ответственности в связи с призывом на военную службу в период мобилизации или в военное время либо заключением в период мобилизации, в период военного положения или в военное время контракта о прохождении военной службы, а равно в связи с прохождением военной службы в указанные периоды или время.</w:t>
      </w:r>
    </w:p>
    <w:p w14:paraId="0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val="none"/>
        </w:rPr>
        <w:instrText>HYPERLINK "https://storage.consultant.ru/site20/202608/05/fz_050826-328.pdf"</w:instrTex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val="none"/>
        </w:rPr>
        <w:t>Федеральным законом от 04.08.2026 N 328-ФЗ "О внесении изменений в отдельные законодательные акты Российской Федерации"</w: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предусмотрено, что в</w:t>
      </w:r>
      <w:r>
        <w:rPr>
          <w:rFonts w:ascii="Times New Roman" w:hAnsi="Times New Roman"/>
          <w:color w:val="000000"/>
          <w:sz w:val="28"/>
          <w:u w:val="none"/>
        </w:rPr>
        <w:t>неочередной порядок предоставления мест в государственных и муниципальных общеобразовательных и дошкольных образовательных организациях, а также в летних оздоровительных лагерях распространен на детей граждан, принимавших участие в выполнении операций на территориях РФ, прилегающих к районам проведения СВО.</w:t>
      </w:r>
    </w:p>
    <w:p w14:paraId="0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В Законе о социальных гарантиях сотрудникам органов внутренних дел закреплено правило, согласно которому в случае тяжелой болезни сотрудника (ранения, травмы, контузии), двум членам его семьи или двум близким родственникам оплачивается стоимость проезда от места их жительства до места нахождения больного и обратно один раз за время болезни.</w:t>
      </w:r>
    </w:p>
    <w:p w14:paraId="0E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Также принятым законом уточнены условия осуществления единовременных социальных выплат для приобретения или строительства жилого помещения.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val="none"/>
        </w:rPr>
        <w:instrText>HYPERLINK "https://storage.consultant.ru/site20/202608/04/fz_040826-298.pdf"</w:instrTex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val="none"/>
        </w:rPr>
        <w:t>Согласно Федеральному закону от 04.08.2026 N 298-ФЗ "О внесении изменения в Федеральный закон "О введении в действие Жилищного кодекса Российской Федерации"</w: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ч</w:t>
      </w:r>
      <w:r>
        <w:rPr>
          <w:rFonts w:ascii="Times New Roman" w:hAnsi="Times New Roman"/>
          <w:color w:val="000000"/>
          <w:sz w:val="28"/>
          <w:u w:val="none"/>
        </w:rPr>
        <w:t>лены семьи погибшего (умершего) вследствие выполнения боевых задач участника СВО не могут быть сняты с учета в качестве нуждающихся в жилом помещении, если обстоятельства, влекущие утрату оснований, дающих право на его получение по договору социального найма, возникли вследствие гибели (смерти) указанного лица.</w:t>
      </w:r>
    </w:p>
    <w:p w14:paraId="10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При определении общей площади жилого помещения, предоставляемого по договору социального найма, не допускается уменьшение ее размера вследствие гибели (смерти) участника СВО, если члены его семьи состояли на учете в качестве нуждающихся в жилых помещениях на момент его гибели (смерти).</w:t>
      </w:r>
    </w:p>
    <w:p w14:paraId="1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При определении общей площади жилого помещения, предоставляемого по договору социального найма членам его семьи, в ее составе учитываются дети, в отношении которых установлено его отцовство, а также учитывается право указанного лица на предоставление жилого помещения по договору социального найма общей </w:t>
      </w:r>
      <w:r>
        <w:rPr>
          <w:rFonts w:ascii="Times New Roman" w:hAnsi="Times New Roman"/>
          <w:color w:val="000000"/>
          <w:sz w:val="28"/>
          <w:u w:val="none"/>
        </w:rPr>
        <w:t>площадью, превышающей норму предоставления площади жилого помещения на одного человека по такому договору.</w:t>
      </w:r>
    </w:p>
    <w:p w14:paraId="1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Настоящий Федеральный закон вступает в силу со дня его официального опубликования.</w:t>
      </w:r>
    </w:p>
    <w:p w14:paraId="1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Действие внесенных изменений распространяется на правоотношения, возникшие с 24 февраля 2022 года, при условии, если членами семьи лица, погибшего (умершего) вследствие выполнения задач в ходе СВО не было реализовано право на получение жилого помещения, предоставляемого по договору социального найма.</w:t>
      </w:r>
    </w:p>
    <w:p w14:paraId="1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Члены семьи указанного лица, снятые с учета в качестве нуждающихся в жилых помещениях, предоставляемых по договорам социального найма, по основанию, указанному в пункте 2 части 1 статьи 56 Жилищного кодекса Российской Федерации, в связи с его гибелью (смертью) до дня вступления в силу настоящего Федерального закона, восстанавливаются на таком учете с даты их постановки на такой учет при наличии оснований</w:t>
      </w:r>
      <w:r>
        <w:rPr>
          <w:rFonts w:ascii="Times New Roman" w:hAnsi="Times New Roman"/>
          <w:color w:val="000000"/>
          <w:sz w:val="28"/>
          <w:u w:val="none"/>
        </w:rPr>
        <w:t xml:space="preserve"> и </w:t>
      </w:r>
      <w:r>
        <w:rPr>
          <w:rFonts w:ascii="Times New Roman" w:hAnsi="Times New Roman"/>
          <w:color w:val="000000"/>
          <w:sz w:val="28"/>
          <w:u w:val="none"/>
        </w:rPr>
        <w:t>соблюдении</w:t>
      </w:r>
      <w:r>
        <w:rPr>
          <w:rFonts w:ascii="Times New Roman" w:hAnsi="Times New Roman"/>
          <w:color w:val="000000"/>
          <w:sz w:val="28"/>
          <w:u w:val="none"/>
        </w:rPr>
        <w:t xml:space="preserve"> условий, предусмотренных Жилищным кодексом РФ и статьей 29 Федерального закона от 29 декабря 2004 года N 189-ФЗ "О введении в действие Жилищного кодекса Российской Федерации", на основании заявления, поданного ими по месту такого учета.</w:t>
      </w:r>
    </w:p>
    <w:p w14:paraId="1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val="none"/>
        </w:rPr>
        <w:instrText>HYPERLINK "https://storage.consultant.ru/site20/202608/04/fz_040826-287.pdf"</w:instrTex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Федеральным законом от 04.08.2026 N 287-ФЗ "О внесении изменений в Федеральный закон "Об актах гражданского состояния" </w:t>
      </w:r>
      <w:r>
        <w:rPr>
          <w:rFonts w:ascii="Times New Roman" w:hAnsi="Times New Roman"/>
          <w:b w:val="0"/>
          <w:color w:val="000000"/>
          <w:sz w:val="28"/>
          <w:u w:val="none"/>
        </w:rPr>
        <w:t>в</w: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color w:val="000000"/>
          <w:sz w:val="28"/>
          <w:u w:val="none"/>
        </w:rPr>
        <w:t xml:space="preserve"> Закон об актах гражданского состояния внесены изменения, определяющие порядок записи умершего ветерана или инвалида боевых действий отцом ребенка, рожденного с применением вспомогательных репродуктивных технологий.</w:t>
      </w:r>
    </w:p>
    <w:p w14:paraId="1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Изменения внесены в связи с тем, что ветераны и инвалиды боевых действий получили право на бесплатное использование вспомогательных репродуктивных технологий.</w:t>
      </w:r>
    </w:p>
    <w:p w14:paraId="1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Федеральным законом уточняется перечень документов, представляемых при подаче заявления о рождении ребенка в результате применения вспомогательных репродуктивных технологий, а также порядок записи имени и фамилии такого ребенка при государственной регистрации его рождения.</w:t>
      </w:r>
    </w:p>
    <w:p w14:paraId="18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Федеральный закон вступает в силу с 1 декабря 2026 года.</w:t>
      </w:r>
    </w:p>
    <w:p w14:paraId="1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fldChar w:fldCharType="begin"/>
      </w:r>
      <w:r>
        <w:rPr>
          <w:rFonts w:ascii="Times New Roman" w:hAnsi="Times New Roman"/>
          <w:b w:val="1"/>
          <w:color w:val="000000"/>
          <w:sz w:val="28"/>
          <w:u w:val="none"/>
        </w:rPr>
        <w:instrText>HYPERLINK "https://storage.consultant.ru/site20/202608/04/fz_040826-286.pdf"</w:instrTex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separate"/>
      </w:r>
      <w:r>
        <w:rPr>
          <w:rFonts w:ascii="Times New Roman" w:hAnsi="Times New Roman"/>
          <w:b w:val="1"/>
          <w:color w:val="000000"/>
          <w:sz w:val="28"/>
          <w:u w:val="none"/>
        </w:rPr>
        <w:t>Федеральным законом от 04.08.2026 N 286-ФЗ "О внесении изменения в статью 169 Семейного кодекса Российской Федерации"</w:t>
      </w:r>
      <w:r>
        <w:rPr>
          <w:rFonts w:ascii="Times New Roman" w:hAnsi="Times New Roman"/>
          <w:b w:val="1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о</w:t>
      </w:r>
      <w:r>
        <w:rPr>
          <w:rFonts w:ascii="Times New Roman" w:hAnsi="Times New Roman"/>
          <w:color w:val="000000"/>
          <w:sz w:val="28"/>
          <w:u w:val="none"/>
        </w:rPr>
        <w:t>пределены особенности записи умершего ветерана или инвалида боевых действий отцом ребенка, рожденного с применением вспомогательных репродуктивных технологий.</w:t>
      </w:r>
    </w:p>
    <w:p w14:paraId="1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В связи с тем, что ветераны и инвалиды боевых действий получили право на бесплатное использование вспомогательных репродуктивных технологий, в Семейный кодекс РФ внесены необходимые корреспондирующие изменения.</w:t>
      </w:r>
    </w:p>
    <w:p w14:paraId="1B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Так, в частности, предусмотрено, что в указанном случае отцовство супруга матери ребенка удостоверяется записью об их браке, нотариально удостоверенным согласием супруга матери ребенка на то, чтобы быть записанным отцом ребенка, рожденного в результате применения вспомогательных репродуктивных технологий после гибели (смерти) супруга матери ребенка, а также документом, выданным медицинской организацией, осуществлявшей применение вспомогательных репродуктивных технологий, и подтверждающим использование биологического материала супруга</w:t>
      </w:r>
      <w:r>
        <w:rPr>
          <w:rFonts w:ascii="Times New Roman" w:hAnsi="Times New Roman"/>
          <w:color w:val="000000"/>
          <w:sz w:val="28"/>
          <w:u w:val="none"/>
        </w:rPr>
        <w:t xml:space="preserve"> матери ребенка при применении вспомогательных репродуктивных технологий, в результате применения которых наступила беременность в пределах срока, установленного пунктом 5 статьи 21 Федерального закона "О ветеранах".</w:t>
      </w:r>
    </w:p>
    <w:p w14:paraId="1C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Закреплено, что выбор отцом имени и фамилии ребенка подтверждается нотариально удостоверенным согласием супруга матери ребенка на присвоение ребенку имени и фамилии либо на присвоение ребенку имени и фамилии по выбору матери ребенка.</w:t>
      </w:r>
    </w:p>
    <w:p w14:paraId="1D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>Федеральный закон вступает в силу с 1 декабря 2026 года.</w:t>
      </w:r>
    </w:p>
    <w:p w14:paraId="1E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F000000">
      <w:pPr>
        <w:widowControl w:val="1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0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И.о. межрайонного прокурора                                                         А.Н. Колупаев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p w14:paraId="22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</w:p>
    <w:p w14:paraId="23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</w:p>
    <w:p w14:paraId="24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</w:p>
    <w:p w14:paraId="25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</w:p>
    <w:p w14:paraId="26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</w:p>
    <w:p w14:paraId="27000000">
      <w:pPr>
        <w:widowControl w:val="0"/>
        <w:ind/>
        <w:contextualSpacing w:val="1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Карпенко Е.С., 8-3467-333-067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List Paragraph"/>
    <w:basedOn w:val="Style_2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2_ch"/>
    <w:link w:val="Style_16"/>
  </w:style>
  <w:style w:styleId="Style_17" w:type="paragraph">
    <w:name w:val="toc 1"/>
    <w:next w:val="Style_2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jpe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2026-08-12T10:24:11Z</dcterms:created>
  <dcterms:modified xsi:type="dcterms:W3CDTF">2026-08-12T10:24:11Z</dcterms:modified>
</cp:coreProperties>
</file>