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51" w:rsidRDefault="00EE28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E2851" w:rsidRDefault="00EE2851">
      <w:pPr>
        <w:pStyle w:val="ConsPlusNormal"/>
        <w:outlineLvl w:val="0"/>
      </w:pPr>
    </w:p>
    <w:p w:rsidR="00EE2851" w:rsidRDefault="00EE2851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EE2851" w:rsidRDefault="00EE2851">
      <w:pPr>
        <w:pStyle w:val="ConsPlusTitle"/>
        <w:jc w:val="center"/>
      </w:pPr>
    </w:p>
    <w:p w:rsidR="00EE2851" w:rsidRDefault="00EE2851">
      <w:pPr>
        <w:pStyle w:val="ConsPlusTitle"/>
        <w:jc w:val="center"/>
      </w:pPr>
      <w:r>
        <w:t>ПОСТАНОВЛЕНИЕ</w:t>
      </w:r>
    </w:p>
    <w:p w:rsidR="00EE2851" w:rsidRDefault="00EE2851">
      <w:pPr>
        <w:pStyle w:val="ConsPlusTitle"/>
        <w:jc w:val="center"/>
      </w:pPr>
      <w:r>
        <w:t>от 28 декабря 2024 г. N 1191</w:t>
      </w:r>
    </w:p>
    <w:p w:rsidR="00EE2851" w:rsidRDefault="00EE2851">
      <w:pPr>
        <w:pStyle w:val="ConsPlusTitle"/>
        <w:jc w:val="center"/>
      </w:pPr>
    </w:p>
    <w:p w:rsidR="00EE2851" w:rsidRDefault="00EE2851">
      <w:pPr>
        <w:pStyle w:val="ConsPlusTitle"/>
        <w:jc w:val="center"/>
      </w:pPr>
      <w:r>
        <w:t>О МУНИЦИПАЛЬНОЙ ПРОГРАММЕ ХАНТЫ-МАНСИЙСКОГО РАЙОНА "КУЛЬТУРА</w:t>
      </w:r>
    </w:p>
    <w:p w:rsidR="00EE2851" w:rsidRDefault="00EE2851">
      <w:pPr>
        <w:pStyle w:val="ConsPlusTitle"/>
        <w:jc w:val="center"/>
      </w:pPr>
      <w:r>
        <w:t>ХАНТЫ-МАНСИЙСКОГО РАЙОНА"</w:t>
      </w:r>
    </w:p>
    <w:p w:rsidR="00EE2851" w:rsidRDefault="00EE28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2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07.08.2025 </w:t>
            </w:r>
            <w:hyperlink r:id="rId6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22.12.2025 </w:t>
            </w:r>
            <w:hyperlink r:id="rId7">
              <w:r>
                <w:rPr>
                  <w:color w:val="0000FF"/>
                </w:rPr>
                <w:t>N 826</w:t>
              </w:r>
            </w:hyperlink>
            <w:r>
              <w:rPr>
                <w:color w:val="392C69"/>
              </w:rPr>
              <w:t>,</w:t>
            </w:r>
          </w:p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20.01.2026 </w:t>
            </w:r>
            <w:hyperlink r:id="rId8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</w:tr>
    </w:tbl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Ханты-Мансийского района "Культура Ханты-Мансийского района" согласно приложению к настоящему постановлению.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2">
        <w:r>
          <w:rPr>
            <w:color w:val="0000FF"/>
          </w:rPr>
          <w:t>N 334</w:t>
        </w:r>
      </w:hyperlink>
      <w:r>
        <w:t xml:space="preserve"> "О муниципальной программе Ханты-Мансийского района "Культура Ханты-Мансийского района на 2022 - 2024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3">
        <w:r>
          <w:rPr>
            <w:color w:val="0000FF"/>
          </w:rPr>
          <w:t>N 320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14">
        <w:r>
          <w:rPr>
            <w:color w:val="0000FF"/>
          </w:rPr>
          <w:t>N 442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5">
        <w:r>
          <w:rPr>
            <w:color w:val="0000FF"/>
          </w:rPr>
          <w:t>N 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2022 - 2024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10.02.2023 </w:t>
      </w:r>
      <w:hyperlink r:id="rId16">
        <w:r>
          <w:rPr>
            <w:color w:val="0000FF"/>
          </w:rPr>
          <w:t>N 42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05.04.2023 </w:t>
      </w:r>
      <w:hyperlink r:id="rId17">
        <w:r>
          <w:rPr>
            <w:color w:val="0000FF"/>
          </w:rPr>
          <w:t>N 108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11.10.2023 </w:t>
      </w:r>
      <w:hyperlink r:id="rId18">
        <w:r>
          <w:rPr>
            <w:color w:val="0000FF"/>
          </w:rPr>
          <w:t>N 568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30.11.2023 </w:t>
      </w:r>
      <w:hyperlink r:id="rId19">
        <w:r>
          <w:rPr>
            <w:color w:val="0000FF"/>
          </w:rPr>
          <w:t>N 806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</w:t>
      </w:r>
      <w:r>
        <w:lastRenderedPageBreak/>
        <w:t>"Культура Ханты-Мансийского района на 2022 - 2025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28.12.2023 </w:t>
      </w:r>
      <w:hyperlink r:id="rId20">
        <w:r>
          <w:rPr>
            <w:color w:val="0000FF"/>
          </w:rPr>
          <w:t>N 960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 на 2022 - 2025 годы";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17.05.2024 </w:t>
      </w:r>
      <w:hyperlink r:id="rId21">
        <w:r>
          <w:rPr>
            <w:color w:val="0000FF"/>
          </w:rPr>
          <w:t>N 411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22">
        <w:r>
          <w:rPr>
            <w:color w:val="0000FF"/>
          </w:rPr>
          <w:t>N 958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района";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3">
        <w:r>
          <w:rPr>
            <w:color w:val="0000FF"/>
          </w:rPr>
          <w:t>N 1112</w:t>
        </w:r>
      </w:hyperlink>
      <w:r>
        <w:t xml:space="preserve"> "О внесении изменений в постановление Администрации Ханты-Мансийского района от 14.12.2021 N 334 "О муниципальной программе Ханты-Мансийского района "Культура Ханты-Мансийского района".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>3 Настоящее постановление вступает в силу после его официального опубликования, но не ранее чем с 01.01.2025.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jc w:val="right"/>
      </w:pPr>
      <w:r>
        <w:t>Глава Ханты-Мансийского района</w:t>
      </w:r>
    </w:p>
    <w:p w:rsidR="00EE2851" w:rsidRDefault="00EE2851">
      <w:pPr>
        <w:pStyle w:val="ConsPlusNormal"/>
        <w:jc w:val="right"/>
      </w:pPr>
      <w:r>
        <w:t>К.Р.МИНУЛИН</w:t>
      </w:r>
    </w:p>
    <w:p w:rsidR="00EE2851" w:rsidRDefault="00EE2851">
      <w:pPr>
        <w:pStyle w:val="ConsPlusNormal"/>
      </w:pPr>
    </w:p>
    <w:p w:rsidR="00EE2851" w:rsidRDefault="00EE2851">
      <w:pPr>
        <w:pStyle w:val="ConsPlusNormal"/>
      </w:pPr>
    </w:p>
    <w:p w:rsidR="00EE2851" w:rsidRDefault="00EE2851">
      <w:pPr>
        <w:pStyle w:val="ConsPlusNormal"/>
      </w:pPr>
    </w:p>
    <w:p w:rsidR="00EE2851" w:rsidRDefault="00EE2851">
      <w:pPr>
        <w:pStyle w:val="ConsPlusNormal"/>
      </w:pPr>
    </w:p>
    <w:p w:rsidR="00EE2851" w:rsidRDefault="00EE2851">
      <w:pPr>
        <w:pStyle w:val="ConsPlusNormal"/>
      </w:pPr>
    </w:p>
    <w:p w:rsidR="00EE2851" w:rsidRDefault="00EE2851">
      <w:pPr>
        <w:pStyle w:val="ConsPlusNormal"/>
        <w:jc w:val="right"/>
        <w:outlineLvl w:val="0"/>
      </w:pPr>
      <w:bookmarkStart w:id="0" w:name="P38"/>
      <w:bookmarkEnd w:id="0"/>
      <w:r>
        <w:t>Приложение</w:t>
      </w:r>
    </w:p>
    <w:p w:rsidR="00EE2851" w:rsidRDefault="00EE2851">
      <w:pPr>
        <w:pStyle w:val="ConsPlusNormal"/>
        <w:jc w:val="right"/>
      </w:pPr>
      <w:r>
        <w:t>к постановлению</w:t>
      </w:r>
    </w:p>
    <w:p w:rsidR="00EE2851" w:rsidRDefault="00EE2851">
      <w:pPr>
        <w:pStyle w:val="ConsPlusNormal"/>
        <w:jc w:val="right"/>
      </w:pPr>
      <w:r>
        <w:t>Администрации Ханты-Мансийского района</w:t>
      </w:r>
    </w:p>
    <w:p w:rsidR="00EE2851" w:rsidRDefault="00EE2851">
      <w:pPr>
        <w:pStyle w:val="ConsPlusNormal"/>
        <w:jc w:val="right"/>
      </w:pPr>
      <w:r>
        <w:t>от 28.12.2024 N 1191</w:t>
      </w:r>
    </w:p>
    <w:p w:rsidR="00EE2851" w:rsidRDefault="00EE28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2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EE2851" w:rsidRDefault="00EE2851">
            <w:pPr>
              <w:pStyle w:val="ConsPlusNormal"/>
              <w:jc w:val="center"/>
            </w:pPr>
            <w:r>
              <w:rPr>
                <w:color w:val="392C69"/>
              </w:rPr>
              <w:t>от 20.01.2026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851" w:rsidRDefault="00EE2851">
            <w:pPr>
              <w:pStyle w:val="ConsPlusNormal"/>
            </w:pPr>
          </w:p>
        </w:tc>
      </w:tr>
    </w:tbl>
    <w:p w:rsidR="00EE2851" w:rsidRDefault="00EE2851">
      <w:pPr>
        <w:pStyle w:val="ConsPlusNormal"/>
        <w:jc w:val="center"/>
      </w:pPr>
    </w:p>
    <w:p w:rsidR="00EE2851" w:rsidRDefault="00EE2851">
      <w:pPr>
        <w:pStyle w:val="ConsPlusTitle"/>
        <w:jc w:val="center"/>
        <w:outlineLvl w:val="1"/>
      </w:pPr>
      <w:r>
        <w:t>ПАСПОРТ</w:t>
      </w:r>
    </w:p>
    <w:p w:rsidR="00EE2851" w:rsidRDefault="00EE2851">
      <w:pPr>
        <w:pStyle w:val="ConsPlusTitle"/>
        <w:jc w:val="center"/>
      </w:pPr>
      <w:r>
        <w:t>Муниципальной программы Ханты-Мансийского района "Культура</w:t>
      </w:r>
    </w:p>
    <w:p w:rsidR="00EE2851" w:rsidRDefault="00EE2851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EE2851" w:rsidRDefault="00EE2851">
      <w:pPr>
        <w:pStyle w:val="ConsPlusNormal"/>
      </w:pPr>
    </w:p>
    <w:p w:rsidR="00EE2851" w:rsidRDefault="00EE2851">
      <w:pPr>
        <w:pStyle w:val="ConsPlusTitle"/>
        <w:jc w:val="center"/>
        <w:outlineLvl w:val="2"/>
      </w:pPr>
      <w:r>
        <w:t>1. Основные положения</w:t>
      </w:r>
    </w:p>
    <w:p w:rsidR="00EE2851" w:rsidRDefault="00EE28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2025 - 2031 годы</w:t>
            </w:r>
          </w:p>
        </w:tc>
      </w:tr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1 133 200,6 тыс. рублей</w:t>
            </w:r>
          </w:p>
        </w:tc>
      </w:tr>
      <w:tr w:rsidR="00EE2851">
        <w:tc>
          <w:tcPr>
            <w:tcW w:w="2665" w:type="dxa"/>
          </w:tcPr>
          <w:p w:rsidR="00EE2851" w:rsidRDefault="00EE2851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6406" w:type="dxa"/>
          </w:tcPr>
          <w:p w:rsidR="00EE2851" w:rsidRDefault="00EE2851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EE2851" w:rsidRDefault="00EE2851">
            <w:pPr>
              <w:pStyle w:val="ConsPlusNormal"/>
            </w:pPr>
            <w:r>
              <w:t>1.1. Показатель "Повышение к 2031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EE2851" w:rsidRDefault="00EE2851">
            <w:pPr>
              <w:pStyle w:val="ConsPlusNormal"/>
            </w:pPr>
            <w:r>
              <w:t>2. Государственная программа Ханты-Мансийского автономного округа - Югры "Культурное пространство"</w:t>
            </w:r>
          </w:p>
        </w:tc>
      </w:tr>
    </w:tbl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sectPr w:rsidR="00EE2851" w:rsidSect="007612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973"/>
        <w:gridCol w:w="1172"/>
        <w:gridCol w:w="1161"/>
        <w:gridCol w:w="999"/>
        <w:gridCol w:w="572"/>
        <w:gridCol w:w="575"/>
        <w:gridCol w:w="573"/>
        <w:gridCol w:w="573"/>
        <w:gridCol w:w="573"/>
        <w:gridCol w:w="573"/>
        <w:gridCol w:w="573"/>
        <w:gridCol w:w="574"/>
        <w:gridCol w:w="1742"/>
        <w:gridCol w:w="1990"/>
        <w:gridCol w:w="1972"/>
      </w:tblGrid>
      <w:tr w:rsidR="00EE2851">
        <w:tc>
          <w:tcPr>
            <w:tcW w:w="567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79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03" w:type="dxa"/>
            <w:gridSpan w:val="2"/>
          </w:tcPr>
          <w:p w:rsidR="00EE2851" w:rsidRDefault="00EE2851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245" w:type="dxa"/>
            <w:gridSpan w:val="7"/>
          </w:tcPr>
          <w:p w:rsidR="00EE2851" w:rsidRDefault="00EE2851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  <w:jc w:val="center"/>
            </w:pPr>
            <w:r>
              <w:t>Ответственный исполнитель/со исполнитель за достижение показателя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794" w:type="dxa"/>
          </w:tcPr>
          <w:p w:rsidR="00EE2851" w:rsidRDefault="00EE2851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EE2851" w:rsidRDefault="00EE2851">
            <w:pPr>
              <w:pStyle w:val="ConsPlusNormal"/>
              <w:jc w:val="center"/>
            </w:pPr>
          </w:p>
        </w:tc>
        <w:tc>
          <w:tcPr>
            <w:tcW w:w="2119" w:type="dxa"/>
          </w:tcPr>
          <w:p w:rsidR="00EE2851" w:rsidRDefault="00EE2851">
            <w:pPr>
              <w:pStyle w:val="ConsPlusNormal"/>
              <w:jc w:val="center"/>
            </w:pP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EE2851" w:rsidRDefault="00EE28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  <w:jc w:val="center"/>
            </w:pPr>
            <w:r>
              <w:t>16</w:t>
            </w:r>
          </w:p>
        </w:tc>
      </w:tr>
      <w:tr w:rsidR="00EE2851">
        <w:tc>
          <w:tcPr>
            <w:tcW w:w="18336" w:type="dxa"/>
            <w:gridSpan w:val="16"/>
          </w:tcPr>
          <w:p w:rsidR="00EE2851" w:rsidRDefault="00EE2851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ГП</w:t>
            </w:r>
          </w:p>
          <w:p w:rsidR="00EE2851" w:rsidRDefault="00EE2851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EE2851" w:rsidRDefault="00EE2851">
            <w:pPr>
              <w:pStyle w:val="ConsPlusNormal"/>
            </w:pPr>
            <w:r>
              <w:t>тыс. единиц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373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2023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</w:pPr>
            <w:r>
              <w:t>560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633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697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767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821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886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</w:pPr>
            <w:r>
              <w:t>936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548-п "О Государственной программе Ханты-Мансийского автономного округа - Югры "Культурное пространство" (далее - Постановление правительства ХМАО - Югры N 548-п)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</w:pPr>
            <w:r>
              <w:t>управление по культуре, спорту и социальной политике, муниципальное казенное учреждение Ханты-Мансийского района "Централизованная библиотечная система" (далее - МКУ ХМР "ЦБС"),</w:t>
            </w:r>
          </w:p>
          <w:p w:rsidR="00EE2851" w:rsidRDefault="00EE2851">
            <w:pPr>
              <w:pStyle w:val="ConsPlusNormal"/>
            </w:pPr>
            <w:r>
              <w:t xml:space="preserve">Муниципальное бюджетное образовательное учреждение дополнительного образования Ханты-Мансийского </w:t>
            </w:r>
            <w:r>
              <w:lastRenderedPageBreak/>
              <w:t>района "Детская музыкальная школа" (далее - МБОУ ДО ХМР "ДМШ"),</w:t>
            </w:r>
          </w:p>
          <w:p w:rsidR="00EE2851" w:rsidRDefault="00EE2851">
            <w:pPr>
              <w:pStyle w:val="ConsPlusNormal"/>
            </w:pPr>
            <w:r>
              <w:t>учреждения культуры сельских поселений Ханты-Мансийского района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</w:pPr>
            <w:r>
              <w:lastRenderedPageBreak/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Число обращений к цифровым ресурсам культуры, % к базовому значению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ГП</w:t>
            </w:r>
          </w:p>
          <w:p w:rsidR="00EE2851" w:rsidRDefault="00EE2851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6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2023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12,7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13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14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</w:pPr>
            <w:r>
              <w:t>14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N 548-п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</w:pPr>
            <w:r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ГП</w:t>
            </w:r>
          </w:p>
          <w:p w:rsidR="00EE2851" w:rsidRDefault="00EE2851">
            <w:pPr>
              <w:pStyle w:val="ConsPlusNormal"/>
            </w:pPr>
            <w:r>
              <w:t>&lt;*&gt;</w:t>
            </w:r>
          </w:p>
        </w:tc>
        <w:tc>
          <w:tcPr>
            <w:tcW w:w="992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79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2022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</w:pPr>
            <w:r>
              <w:t>85,3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85,6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85,9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86,2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86,5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87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</w:pPr>
            <w:r>
              <w:t>87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N 548-п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</w:pPr>
            <w:r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МП</w:t>
            </w:r>
          </w:p>
          <w:p w:rsidR="00EE2851" w:rsidRDefault="00EE2851">
            <w:pPr>
              <w:pStyle w:val="ConsPlusNormal"/>
            </w:pPr>
            <w:r>
              <w:t>&lt;**&gt;</w:t>
            </w:r>
          </w:p>
        </w:tc>
        <w:tc>
          <w:tcPr>
            <w:tcW w:w="992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94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2023</w:t>
            </w:r>
          </w:p>
        </w:tc>
        <w:tc>
          <w:tcPr>
            <w:tcW w:w="906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795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 xml:space="preserve">Федеральный </w:t>
            </w: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N 78-ФЗ "О библиотечном деле" от 29.12.1994 </w:t>
            </w:r>
            <w:hyperlink r:id="rId30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28.10.2011 N 105-оз "О регулировании отдельных вопросов библиотечного дела и обязательного экземпляра документов Ханты-Мансийского автономного округа - Югры"</w:t>
            </w:r>
          </w:p>
        </w:tc>
        <w:tc>
          <w:tcPr>
            <w:tcW w:w="2608" w:type="dxa"/>
          </w:tcPr>
          <w:p w:rsidR="00EE2851" w:rsidRDefault="00EE2851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EE2851" w:rsidRDefault="00EE2851">
            <w:pPr>
              <w:pStyle w:val="ConsPlusNormal"/>
            </w:pPr>
            <w:r>
              <w:t>МКУ ХМР "ЦБС"</w:t>
            </w:r>
          </w:p>
        </w:tc>
        <w:tc>
          <w:tcPr>
            <w:tcW w:w="2119" w:type="dxa"/>
          </w:tcPr>
          <w:p w:rsidR="00EE2851" w:rsidRDefault="00EE2851">
            <w:pPr>
              <w:pStyle w:val="ConsPlusNormal"/>
            </w:pPr>
            <w:r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ind w:firstLine="540"/>
        <w:jc w:val="both"/>
      </w:pPr>
      <w:r>
        <w:t>--------------------------------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EE2851" w:rsidRDefault="00EE2851">
      <w:pPr>
        <w:pStyle w:val="ConsPlusNormal"/>
        <w:spacing w:before="220"/>
        <w:ind w:firstLine="540"/>
        <w:jc w:val="both"/>
      </w:pPr>
      <w:r>
        <w:t>&lt;**&gt; муниципальная программа Ханты-Мансийского района</w:t>
      </w:r>
    </w:p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EE2851" w:rsidRDefault="00EE2851">
      <w:pPr>
        <w:pStyle w:val="ConsPlusTitle"/>
        <w:jc w:val="center"/>
      </w:pPr>
      <w:r>
        <w:t>программы в 2026 году</w:t>
      </w:r>
    </w:p>
    <w:p w:rsidR="00EE2851" w:rsidRDefault="00EE285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"/>
        <w:gridCol w:w="2418"/>
        <w:gridCol w:w="1258"/>
        <w:gridCol w:w="1292"/>
        <w:gridCol w:w="760"/>
        <w:gridCol w:w="761"/>
        <w:gridCol w:w="913"/>
        <w:gridCol w:w="760"/>
        <w:gridCol w:w="761"/>
        <w:gridCol w:w="918"/>
        <w:gridCol w:w="913"/>
        <w:gridCol w:w="760"/>
        <w:gridCol w:w="913"/>
        <w:gridCol w:w="912"/>
        <w:gridCol w:w="913"/>
        <w:gridCol w:w="1053"/>
      </w:tblGrid>
      <w:tr w:rsidR="00EE2851">
        <w:tc>
          <w:tcPr>
            <w:tcW w:w="680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652" w:type="dxa"/>
            <w:gridSpan w:val="11"/>
          </w:tcPr>
          <w:p w:rsidR="00EE2851" w:rsidRDefault="00EE2851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81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680" w:type="dxa"/>
          </w:tcPr>
          <w:p w:rsidR="00EE2851" w:rsidRDefault="00EE28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EE2851" w:rsidRDefault="00EE28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81" w:type="dxa"/>
          </w:tcPr>
          <w:p w:rsidR="00EE2851" w:rsidRDefault="00EE2851">
            <w:pPr>
              <w:pStyle w:val="ConsPlusNormal"/>
              <w:jc w:val="center"/>
            </w:pPr>
            <w:r>
              <w:t>16</w:t>
            </w:r>
          </w:p>
        </w:tc>
      </w:tr>
      <w:tr w:rsidR="00EE2851">
        <w:tc>
          <w:tcPr>
            <w:tcW w:w="14621" w:type="dxa"/>
            <w:gridSpan w:val="16"/>
          </w:tcPr>
          <w:p w:rsidR="00EE2851" w:rsidRDefault="00EE2851">
            <w:pPr>
              <w:pStyle w:val="ConsPlusNormal"/>
            </w:pPr>
            <w:r>
              <w:t>Цель "Укрепление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района"</w:t>
            </w:r>
          </w:p>
        </w:tc>
      </w:tr>
      <w:tr w:rsidR="00EE2851">
        <w:tc>
          <w:tcPr>
            <w:tcW w:w="680" w:type="dxa"/>
          </w:tcPr>
          <w:p w:rsidR="00EE2851" w:rsidRDefault="00EE2851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ГП,</w:t>
            </w:r>
          </w:p>
        </w:tc>
        <w:tc>
          <w:tcPr>
            <w:tcW w:w="1204" w:type="dxa"/>
          </w:tcPr>
          <w:p w:rsidR="00EE2851" w:rsidRDefault="00EE2851">
            <w:pPr>
              <w:pStyle w:val="ConsPlusNormal"/>
            </w:pPr>
            <w:r>
              <w:t>тыс. единиц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158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</w:pPr>
            <w:r>
              <w:t>316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474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981" w:type="dxa"/>
          </w:tcPr>
          <w:p w:rsidR="00EE2851" w:rsidRDefault="00EE2851">
            <w:pPr>
              <w:pStyle w:val="ConsPlusNormal"/>
            </w:pPr>
            <w:r>
              <w:t>633</w:t>
            </w:r>
          </w:p>
        </w:tc>
      </w:tr>
      <w:tr w:rsidR="00EE2851">
        <w:tc>
          <w:tcPr>
            <w:tcW w:w="680" w:type="dxa"/>
          </w:tcPr>
          <w:p w:rsidR="00EE2851" w:rsidRDefault="00EE2851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</w:pPr>
            <w:r>
              <w:t>6,3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981" w:type="dxa"/>
          </w:tcPr>
          <w:p w:rsidR="00EE2851" w:rsidRDefault="00EE2851">
            <w:pPr>
              <w:pStyle w:val="ConsPlusNormal"/>
            </w:pPr>
            <w:r>
              <w:t>12,7</w:t>
            </w:r>
          </w:p>
        </w:tc>
      </w:tr>
      <w:tr w:rsidR="00EE2851">
        <w:tc>
          <w:tcPr>
            <w:tcW w:w="680" w:type="dxa"/>
          </w:tcPr>
          <w:p w:rsidR="00EE2851" w:rsidRDefault="00EE2851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981" w:type="dxa"/>
          </w:tcPr>
          <w:p w:rsidR="00EE2851" w:rsidRDefault="00EE2851">
            <w:pPr>
              <w:pStyle w:val="ConsPlusNormal"/>
            </w:pPr>
            <w:r>
              <w:t>85,6</w:t>
            </w:r>
          </w:p>
        </w:tc>
      </w:tr>
      <w:tr w:rsidR="00EE2851">
        <w:tc>
          <w:tcPr>
            <w:tcW w:w="680" w:type="dxa"/>
          </w:tcPr>
          <w:p w:rsidR="00EE2851" w:rsidRDefault="00EE2851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EE2851" w:rsidRDefault="00EE2851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E2851" w:rsidRDefault="00EE2851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6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EE2851" w:rsidRDefault="00EE2851">
            <w:pPr>
              <w:pStyle w:val="ConsPlusNormal"/>
            </w:pPr>
            <w:r>
              <w:t>-</w:t>
            </w:r>
          </w:p>
        </w:tc>
        <w:tc>
          <w:tcPr>
            <w:tcW w:w="981" w:type="dxa"/>
          </w:tcPr>
          <w:p w:rsidR="00EE2851" w:rsidRDefault="00EE2851">
            <w:pPr>
              <w:pStyle w:val="ConsPlusNormal"/>
            </w:pPr>
            <w:r>
              <w:t>3</w:t>
            </w:r>
          </w:p>
        </w:tc>
      </w:tr>
    </w:tbl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EE2851" w:rsidRDefault="00EE28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48"/>
        <w:gridCol w:w="3994"/>
        <w:gridCol w:w="2268"/>
      </w:tblGrid>
      <w:tr w:rsidR="00EE2851">
        <w:tc>
          <w:tcPr>
            <w:tcW w:w="737" w:type="dxa"/>
          </w:tcPr>
          <w:p w:rsidR="00EE2851" w:rsidRDefault="00EE28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  <w:jc w:val="center"/>
            </w:pPr>
            <w:r>
              <w:t xml:space="preserve">Задачи структурного </w:t>
            </w:r>
            <w:r>
              <w:lastRenderedPageBreak/>
              <w:t>элемента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  <w:jc w:val="center"/>
            </w:pPr>
            <w:r>
              <w:lastRenderedPageBreak/>
              <w:t xml:space="preserve">Краткое описание ожидаемых эффектов </w:t>
            </w:r>
            <w:r>
              <w:lastRenderedPageBreak/>
              <w:t>от реализации задачи структурного элемента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  <w:jc w:val="center"/>
            </w:pPr>
            <w:r>
              <w:lastRenderedPageBreak/>
              <w:t>Связь с показателями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  <w:jc w:val="center"/>
            </w:pPr>
            <w:r>
              <w:t>4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1.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Региональный проект "Семейные ценности и инфраструктура культуры"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2026 год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2.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Региональный проект "Сохранение культурного и исторического наследия"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2.1.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Пополнение книжными фондами библиотек Ханты-Мансийского района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 xml:space="preserve">повышение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</w:t>
            </w:r>
            <w:r>
              <w:lastRenderedPageBreak/>
              <w:t>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lastRenderedPageBreak/>
              <w:t>число посещений культурных мероприятий.</w:t>
            </w:r>
          </w:p>
          <w:p w:rsidR="00EE2851" w:rsidRDefault="00EE2851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2.2.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создание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межпоселенческих библиотек.</w:t>
            </w:r>
          </w:p>
          <w:p w:rsidR="00EE2851" w:rsidRDefault="00EE2851">
            <w:pPr>
              <w:pStyle w:val="ConsPlusNormal"/>
            </w:pPr>
            <w: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мероприятий.</w:t>
            </w:r>
          </w:p>
          <w:p w:rsidR="00EE2851" w:rsidRDefault="00EE2851">
            <w:pPr>
              <w:pStyle w:val="ConsPlusNormal"/>
            </w:pPr>
            <w:r>
              <w:t>Комплектование библиотечного фонда муниципальных библиотек Ханты-Мансийского района.</w:t>
            </w:r>
          </w:p>
          <w:p w:rsidR="00EE2851" w:rsidRDefault="00EE2851">
            <w:pPr>
              <w:pStyle w:val="ConsPlusNormal"/>
            </w:pPr>
            <w:r>
              <w:t>Число обращений к цифровым ресурсам культуры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3.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Региональный проект "Развитие искусства и творчества"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срок реализации: 2025 год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3.1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Развитие материально-технического базы учреждений культуры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техническое оснащение объекта "Культурно-спортивный комплекс (дом культуры-библиотека-универсальный игровой зал) д. Ярки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4.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Региональный проект "Укрепление материально-технической базы учреждений культуры"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2025 - 2026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4.1.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Развитие материально-технической базы учреждений культуры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пополнение материально-технической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5.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Муниципальный проект "Укрепление материально-технической базы учреждений культуры"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срок реализации: 2025 годы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5.1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Развитие материально-технической базы учреждений культуры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пополнение материально-технической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6.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Комплекс процессных мероприятий "Укрепление материально-технической базы учреждений культуры"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Департамент строительства, архитектуры и ЖКХ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год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6.1.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Развитие материально-технической базы учреждений культуры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пополнение материально-технической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7.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Комплекс процессных мероприятий "Стимулирование культурного разнообразия в Ханты-Мансийском районе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7.1.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Увеличения количества участников и посещений культурных мероприятий.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мероприятий.</w:t>
            </w:r>
          </w:p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культуры.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7.2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</w:t>
            </w:r>
            <w:r>
              <w:lastRenderedPageBreak/>
              <w:t>"Организационные, экономические механизмы развития культуры, архивного дела и историко-культурного наследия" государственной программы "Культурное пространство" за счет средств бюджета автономного округа"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lastRenderedPageBreak/>
              <w:t>уровень удовлетворенности населения услугами в сфере культуры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8.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2026 - 2031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8.1.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Поддержка одаренных детей и молодежи, развитие художественного образования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обеспечение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педагогов.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число посещений культурных мероприятий.</w:t>
            </w:r>
          </w:p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9.</w:t>
            </w:r>
          </w:p>
        </w:tc>
        <w:tc>
          <w:tcPr>
            <w:tcW w:w="9210" w:type="dxa"/>
            <w:gridSpan w:val="3"/>
          </w:tcPr>
          <w:p w:rsidR="00EE2851" w:rsidRDefault="00EE2851">
            <w:pPr>
              <w:pStyle w:val="ConsPlusNormal"/>
            </w:pPr>
            <w:r>
              <w:t>Комплекс процессных мероприятий "Развитие библиотечного дела"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9.1.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 xml:space="preserve">Создание условий для удовлетворения потребности населения района в оказании услуг в сфере библиотечного </w:t>
            </w:r>
            <w:r>
              <w:lastRenderedPageBreak/>
              <w:t>дела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lastRenderedPageBreak/>
              <w:t xml:space="preserve">организация библиотечного обслуживания населения, комплектование и обеспечение сохранности библиотечных фондов </w:t>
            </w:r>
            <w:r>
              <w:lastRenderedPageBreak/>
              <w:t>библиотек поселений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lastRenderedPageBreak/>
              <w:t>число посещений культурных мероприятий.</w:t>
            </w:r>
          </w:p>
          <w:p w:rsidR="00EE2851" w:rsidRDefault="00EE2851">
            <w:pPr>
              <w:pStyle w:val="ConsPlusNormal"/>
            </w:pPr>
            <w:r>
              <w:t xml:space="preserve">Число обращений к </w:t>
            </w:r>
            <w:r>
              <w:lastRenderedPageBreak/>
              <w:t>цифровым ресурсам культуры.</w:t>
            </w:r>
          </w:p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EE2851">
        <w:tc>
          <w:tcPr>
            <w:tcW w:w="9947" w:type="dxa"/>
            <w:gridSpan w:val="4"/>
          </w:tcPr>
          <w:p w:rsidR="00EE2851" w:rsidRDefault="00EE2851">
            <w:pPr>
              <w:pStyle w:val="ConsPlusNormal"/>
            </w:pPr>
            <w:r>
              <w:lastRenderedPageBreak/>
              <w:t>10. Комплекс процессных мероприятий "Обеспечение деятельности МБОУ ДО Ханты-Мансийского района "Детская музыкальная школа"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МБОУ ДО Ханты-Мансийского района "Детская музыкальная школа"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10.1.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обеспечение деятельности МБОУ ДО Ханты-Мансийского района "Детская музыкальная школа"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  <w:tr w:rsidR="00EE2851">
        <w:tc>
          <w:tcPr>
            <w:tcW w:w="9947" w:type="dxa"/>
            <w:gridSpan w:val="4"/>
          </w:tcPr>
          <w:p w:rsidR="00EE2851" w:rsidRDefault="00EE2851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"Централизованная библиотечная система"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11.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Ответственный за реализацию: МКУ Ханты-Мансийского района "Централизованная библиотечная система"</w:t>
            </w:r>
          </w:p>
        </w:tc>
        <w:tc>
          <w:tcPr>
            <w:tcW w:w="6262" w:type="dxa"/>
            <w:gridSpan w:val="2"/>
          </w:tcPr>
          <w:p w:rsidR="00EE2851" w:rsidRDefault="00EE2851">
            <w:pPr>
              <w:pStyle w:val="ConsPlusNormal"/>
            </w:pPr>
            <w:r>
              <w:t>срок реализации: 2025 - 2031 годы</w:t>
            </w:r>
          </w:p>
        </w:tc>
      </w:tr>
      <w:tr w:rsidR="00EE2851"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11.1.</w:t>
            </w:r>
          </w:p>
        </w:tc>
        <w:tc>
          <w:tcPr>
            <w:tcW w:w="2948" w:type="dxa"/>
          </w:tcPr>
          <w:p w:rsidR="00EE2851" w:rsidRDefault="00EE2851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3994" w:type="dxa"/>
          </w:tcPr>
          <w:p w:rsidR="00EE2851" w:rsidRDefault="00EE2851">
            <w:pPr>
              <w:pStyle w:val="ConsPlusNormal"/>
            </w:pPr>
            <w:r>
              <w:t>обеспечение деятельности МКУ Ханты-Мансийского района "Централизованная библиотечная система"</w:t>
            </w:r>
          </w:p>
        </w:tc>
        <w:tc>
          <w:tcPr>
            <w:tcW w:w="2268" w:type="dxa"/>
          </w:tcPr>
          <w:p w:rsidR="00EE2851" w:rsidRDefault="00EE2851">
            <w:pPr>
              <w:pStyle w:val="ConsPlusNormal"/>
            </w:pPr>
            <w:r>
              <w:t>уровень удовлетворенности населения услугами в сфере культуры</w:t>
            </w:r>
          </w:p>
        </w:tc>
      </w:tr>
    </w:tbl>
    <w:p w:rsidR="00EE2851" w:rsidRDefault="00EE2851">
      <w:pPr>
        <w:pStyle w:val="ConsPlusNormal"/>
        <w:jc w:val="center"/>
      </w:pPr>
    </w:p>
    <w:p w:rsidR="00EE2851" w:rsidRDefault="00EE2851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EE2851" w:rsidRDefault="00EE285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4"/>
        <w:gridCol w:w="340"/>
        <w:gridCol w:w="850"/>
        <w:gridCol w:w="1191"/>
        <w:gridCol w:w="1077"/>
        <w:gridCol w:w="1077"/>
        <w:gridCol w:w="1077"/>
        <w:gridCol w:w="1077"/>
        <w:gridCol w:w="1077"/>
        <w:gridCol w:w="1361"/>
      </w:tblGrid>
      <w:tr w:rsidR="00EE2851">
        <w:tc>
          <w:tcPr>
            <w:tcW w:w="279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  <w:jc w:val="center"/>
            </w:pPr>
          </w:p>
        </w:tc>
        <w:tc>
          <w:tcPr>
            <w:tcW w:w="7937" w:type="dxa"/>
            <w:gridSpan w:val="7"/>
          </w:tcPr>
          <w:p w:rsidR="00EE2851" w:rsidRDefault="00EE2851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EE2851">
        <w:tc>
          <w:tcPr>
            <w:tcW w:w="2794" w:type="dxa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340" w:type="dxa"/>
          </w:tcPr>
          <w:p w:rsidR="00EE2851" w:rsidRDefault="00EE285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  <w:jc w:val="center"/>
            </w:pPr>
            <w:r>
              <w:t>Всего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  <w:jc w:val="center"/>
            </w:pPr>
            <w:r>
              <w:t>9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346 390,9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396 107,8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77 957,5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78 061,1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78 161,1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78 261,1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78 261,1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1 133 200,6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28,7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3 145,4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23,3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3 281,4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115 267,4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273 450,8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1 213,8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1 219,3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1 219,3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1 219,3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1 219,3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394 809,2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231 094,8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119 511,6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76 720,4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76 820,8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76 920,8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77 020,8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77 020,8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735 109,9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1.1. Региональный проект "Семейные ценности и инфраструктура культуры"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10 000,0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10 000,0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3 120,0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3 120,0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4 880,0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4 880,0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2 000,0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2000,0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lastRenderedPageBreak/>
              <w:t>2.2. 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830,5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824,3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1 116,8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1 118,3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1 118,3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1 118,3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1 118,3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7 244,8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28,7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25,4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23,3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21,0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161,4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635,7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634,0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870,2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873,6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873,6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873,6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873,6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5 634,3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166,1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164,9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223,3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223,7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223,7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223,7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223,7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1 449,1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2.3. Региональный проект "Развитие искусства и творчества"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31 948,0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31 948,0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28 753,2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28 753,2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3 194,8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3 194,8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2.4. Региональный проект "Укрепление материально-технической базы учреждений культуры"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172 794,4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297 328,1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470 122,5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85 537,3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267 595,3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353 132,6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87 257,1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29 732,8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116 989,9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2.5. Муниципальный проект "Укрепление материально-технической базы учреждений культуры"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52 202,5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52 202,5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52 202,5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52 202,5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2.6.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600,0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600,0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600,0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600,0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lastRenderedPageBreak/>
              <w:t>2.5. Комплекс процессных мероприятий "Стимулирование культурного разнообразия в Ханты-Мансийском районе"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2 341,2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1 841,5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1 843,6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1 945,7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2 045,7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2 145,7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2 145,7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14 309,1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341,2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341,5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343,6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345,7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345,7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2 409,1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2 000,0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1 500,0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1 500,0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1 600,0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1 700,0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1 800,0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1 800,0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11 900,0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2.6. Комплекс процессных мероприятий "Поддержка одаренных детей и молодежи, развитие художественного образования"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3 000,0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500,0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3000,0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 xml:space="preserve">2.7. Комплекс процессных мероприятий "Развитие библиотечного дела" </w:t>
            </w:r>
            <w:r>
              <w:lastRenderedPageBreak/>
              <w:t>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lastRenderedPageBreak/>
              <w:t>33 285,6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28 768,3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150 311,4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33 285,6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28 768,3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17 651,5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150 311,4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2.8. Комплекс процессных мероприятий "Обеспечение деятельности МБОУ ДО Ханты-Мансийского района "Детская музыкальная школа"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38 551,4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276 701,6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38 551,4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39 691,7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276 701,6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2.9. Комплекс процессных мероприятий "Обеспечение деятельности МКУ Ханты-Мансийского района "Централизованная библиотечная система" (всего), в том числе: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13 837,3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116 760,7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Бюджет района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13 837,3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17 153,9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116 760,7</w:t>
            </w:r>
          </w:p>
        </w:tc>
      </w:tr>
      <w:tr w:rsidR="00EE2851">
        <w:tc>
          <w:tcPr>
            <w:tcW w:w="2794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0" w:type="dxa"/>
            <w:gridSpan w:val="2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</w:tr>
    </w:tbl>
    <w:p w:rsidR="00EE2851" w:rsidRDefault="00EE2851">
      <w:pPr>
        <w:pStyle w:val="ConsPlusNormal"/>
        <w:sectPr w:rsidR="00EE285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Title"/>
        <w:jc w:val="center"/>
        <w:outlineLvl w:val="2"/>
      </w:pPr>
      <w:r>
        <w:t>6. Перечень создаваемых объектов на 2026 год и на плановый</w:t>
      </w:r>
    </w:p>
    <w:p w:rsidR="00EE2851" w:rsidRDefault="00EE2851">
      <w:pPr>
        <w:pStyle w:val="ConsPlusTitle"/>
        <w:jc w:val="center"/>
      </w:pPr>
      <w:r>
        <w:t>период 2027 - 2031 годов, включая приобретение объектов</w:t>
      </w:r>
    </w:p>
    <w:p w:rsidR="00EE2851" w:rsidRDefault="00EE2851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EE2851" w:rsidRDefault="00EE2851">
      <w:pPr>
        <w:pStyle w:val="ConsPlusTitle"/>
        <w:jc w:val="center"/>
      </w:pPr>
      <w:r>
        <w:t>с соглашениями о государственно-частном партнерстве,</w:t>
      </w:r>
    </w:p>
    <w:p w:rsidR="00EE2851" w:rsidRDefault="00EE2851">
      <w:pPr>
        <w:pStyle w:val="ConsPlusTitle"/>
        <w:jc w:val="center"/>
      </w:pPr>
      <w:r>
        <w:t>муниципально-частном партнерстве и концессионными</w:t>
      </w:r>
    </w:p>
    <w:p w:rsidR="00EE2851" w:rsidRDefault="00EE2851">
      <w:pPr>
        <w:pStyle w:val="ConsPlusTitle"/>
        <w:jc w:val="center"/>
      </w:pPr>
      <w:r>
        <w:t>соглашениями</w:t>
      </w:r>
    </w:p>
    <w:p w:rsidR="00EE2851" w:rsidRDefault="00EE285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2128"/>
        <w:gridCol w:w="1243"/>
        <w:gridCol w:w="1449"/>
        <w:gridCol w:w="1524"/>
        <w:gridCol w:w="985"/>
        <w:gridCol w:w="1489"/>
        <w:gridCol w:w="884"/>
        <w:gridCol w:w="884"/>
        <w:gridCol w:w="507"/>
        <w:gridCol w:w="507"/>
        <w:gridCol w:w="507"/>
        <w:gridCol w:w="507"/>
        <w:gridCol w:w="507"/>
        <w:gridCol w:w="1082"/>
        <w:gridCol w:w="1437"/>
      </w:tblGrid>
      <w:tr w:rsidR="00EE2851">
        <w:tc>
          <w:tcPr>
            <w:tcW w:w="567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59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200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587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304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757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614" w:type="dxa"/>
            <w:gridSpan w:val="7"/>
          </w:tcPr>
          <w:p w:rsidR="00EE2851" w:rsidRDefault="00EE2851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191" w:type="dxa"/>
          </w:tcPr>
          <w:p w:rsidR="00EE2851" w:rsidRDefault="00EE285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  <w:jc w:val="center"/>
            </w:pPr>
            <w:r>
              <w:t>2031 год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567" w:type="dxa"/>
          </w:tcPr>
          <w:p w:rsidR="00EE2851" w:rsidRDefault="00EE28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4" w:type="dxa"/>
          </w:tcPr>
          <w:p w:rsidR="00EE2851" w:rsidRDefault="00EE28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EE2851" w:rsidRDefault="00EE28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EE2851" w:rsidRDefault="00EE28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EE2851" w:rsidRDefault="00EE28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EE2851" w:rsidRDefault="00EE28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9" w:type="dxa"/>
          </w:tcPr>
          <w:p w:rsidR="00EE2851" w:rsidRDefault="00EE285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89" w:type="dxa"/>
          </w:tcPr>
          <w:p w:rsidR="00EE2851" w:rsidRDefault="00EE2851">
            <w:pPr>
              <w:pStyle w:val="ConsPlusNormal"/>
              <w:jc w:val="center"/>
            </w:pPr>
            <w:r>
              <w:t>16</w:t>
            </w:r>
          </w:p>
        </w:tc>
      </w:tr>
      <w:tr w:rsidR="00EE2851">
        <w:tc>
          <w:tcPr>
            <w:tcW w:w="8761" w:type="dxa"/>
            <w:gridSpan w:val="6"/>
            <w:vMerge w:val="restart"/>
          </w:tcPr>
          <w:p w:rsidR="00EE2851" w:rsidRDefault="00EE2851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256 944,9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114 290,4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142 654,5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19290" w:type="dxa"/>
            <w:gridSpan w:val="16"/>
          </w:tcPr>
          <w:p w:rsidR="00EE2851" w:rsidRDefault="00EE2851">
            <w:pPr>
              <w:pStyle w:val="ConsPlusNormal"/>
            </w:pPr>
            <w:r>
              <w:t>I. Объекты, создаваемые в 2026 финансовом году и плановом периоде 2027 - 2031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EE2851">
        <w:tc>
          <w:tcPr>
            <w:tcW w:w="8761" w:type="dxa"/>
            <w:gridSpan w:val="6"/>
            <w:vMerge w:val="restart"/>
          </w:tcPr>
          <w:p w:rsidR="00EE2851" w:rsidRDefault="00EE2851">
            <w:pPr>
              <w:pStyle w:val="ConsPlusNormal"/>
            </w:pPr>
            <w:r>
              <w:t>Всего по разделу I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256 944,9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114 290,4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142 654,5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567" w:type="dxa"/>
            <w:vMerge w:val="restart"/>
          </w:tcPr>
          <w:p w:rsidR="00EE2851" w:rsidRDefault="00EE2851">
            <w:pPr>
              <w:pStyle w:val="ConsPlusNormal"/>
            </w:pPr>
            <w:r>
              <w:t>1.</w:t>
            </w:r>
          </w:p>
        </w:tc>
        <w:tc>
          <w:tcPr>
            <w:tcW w:w="2644" w:type="dxa"/>
            <w:vMerge w:val="restart"/>
          </w:tcPr>
          <w:p w:rsidR="00EE2851" w:rsidRDefault="00EE2851">
            <w:pPr>
              <w:pStyle w:val="ConsPlusNormal"/>
            </w:pPr>
            <w:r>
              <w:t>Строительство СДК п. Горноправдинск</w:t>
            </w:r>
          </w:p>
        </w:tc>
        <w:tc>
          <w:tcPr>
            <w:tcW w:w="1459" w:type="dxa"/>
            <w:vMerge w:val="restart"/>
          </w:tcPr>
          <w:p w:rsidR="00EE2851" w:rsidRDefault="00EE2851">
            <w:pPr>
              <w:pStyle w:val="ConsPlusNormal"/>
            </w:pPr>
            <w:r>
              <w:t>300 мест/40000 экземпляров/ 100 уч./ 3176,41 кв. м</w:t>
            </w:r>
          </w:p>
        </w:tc>
        <w:tc>
          <w:tcPr>
            <w:tcW w:w="1200" w:type="dxa"/>
            <w:vMerge w:val="restart"/>
          </w:tcPr>
          <w:p w:rsidR="00EE2851" w:rsidRDefault="00EE2851">
            <w:pPr>
              <w:pStyle w:val="ConsPlusNormal"/>
            </w:pPr>
            <w:r>
              <w:t>2014 - 2015, 2019 (ПИР), 2021,</w:t>
            </w:r>
          </w:p>
          <w:p w:rsidR="00EE2851" w:rsidRDefault="00EE2851">
            <w:pPr>
              <w:pStyle w:val="ConsPlusNormal"/>
            </w:pPr>
            <w:r>
              <w:t>2023 - 2025 (СМР)</w:t>
            </w:r>
          </w:p>
        </w:tc>
        <w:tc>
          <w:tcPr>
            <w:tcW w:w="1587" w:type="dxa"/>
            <w:vMerge w:val="restart"/>
          </w:tcPr>
          <w:p w:rsidR="00EE2851" w:rsidRDefault="00EE2851">
            <w:pPr>
              <w:pStyle w:val="ConsPlusNormal"/>
            </w:pPr>
            <w:r>
              <w:t>374 432,1</w:t>
            </w:r>
          </w:p>
        </w:tc>
        <w:tc>
          <w:tcPr>
            <w:tcW w:w="1304" w:type="dxa"/>
            <w:vMerge w:val="restart"/>
          </w:tcPr>
          <w:p w:rsidR="00EE2851" w:rsidRDefault="00EE2851">
            <w:pPr>
              <w:pStyle w:val="ConsPlusNormal"/>
            </w:pPr>
            <w:r>
              <w:t>310 292,9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172 794,4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297 328,1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  <w:r>
              <w:t>МКУ УКСиР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85 537,2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267 595,3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87 257,2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29 732,8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</w:t>
            </w:r>
            <w:r>
              <w:lastRenderedPageBreak/>
              <w:t>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567" w:type="dxa"/>
            <w:vMerge w:val="restart"/>
          </w:tcPr>
          <w:p w:rsidR="00EE2851" w:rsidRDefault="00EE2851">
            <w:pPr>
              <w:pStyle w:val="ConsPlusNormal"/>
            </w:pPr>
            <w:r>
              <w:t>2.</w:t>
            </w:r>
          </w:p>
        </w:tc>
        <w:tc>
          <w:tcPr>
            <w:tcW w:w="2644" w:type="dxa"/>
            <w:vMerge w:val="restart"/>
          </w:tcPr>
          <w:p w:rsidR="00EE2851" w:rsidRDefault="00EE2851">
            <w:pPr>
              <w:pStyle w:val="ConsPlusNormal"/>
            </w:pPr>
            <w:r>
              <w:t>Культурно-спортивный комплекс д. Ярки Ханты-Мансийского района</w:t>
            </w:r>
          </w:p>
        </w:tc>
        <w:tc>
          <w:tcPr>
            <w:tcW w:w="1459" w:type="dxa"/>
            <w:vMerge w:val="restart"/>
          </w:tcPr>
          <w:p w:rsidR="00EE2851" w:rsidRDefault="00EE2851">
            <w:pPr>
              <w:pStyle w:val="ConsPlusNormal"/>
            </w:pPr>
            <w:r>
              <w:t>200 мест/ 9100 экземпляров/ 35 чел./час</w:t>
            </w:r>
          </w:p>
        </w:tc>
        <w:tc>
          <w:tcPr>
            <w:tcW w:w="1200" w:type="dxa"/>
            <w:vMerge w:val="restart"/>
          </w:tcPr>
          <w:p w:rsidR="00EE2851" w:rsidRDefault="00EE2851">
            <w:pPr>
              <w:pStyle w:val="ConsPlusNormal"/>
            </w:pPr>
            <w:r>
              <w:t>2019 (ПИР), 2020 - 2025 (СМР)</w:t>
            </w:r>
          </w:p>
        </w:tc>
        <w:tc>
          <w:tcPr>
            <w:tcW w:w="1587" w:type="dxa"/>
            <w:vMerge w:val="restart"/>
          </w:tcPr>
          <w:p w:rsidR="00EE2851" w:rsidRDefault="00EE2851">
            <w:pPr>
              <w:pStyle w:val="ConsPlusNormal"/>
            </w:pPr>
            <w:r>
              <w:t>311 449,00</w:t>
            </w:r>
          </w:p>
        </w:tc>
        <w:tc>
          <w:tcPr>
            <w:tcW w:w="1304" w:type="dxa"/>
            <w:vMerge w:val="restart"/>
          </w:tcPr>
          <w:p w:rsidR="00EE2851" w:rsidRDefault="00EE2851">
            <w:pPr>
              <w:pStyle w:val="ConsPlusNormal"/>
            </w:pPr>
            <w:r>
              <w:t>78 000,5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78 000,5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  <w:r>
              <w:t>МКУ УКСиР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28 753,2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49 247,3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567" w:type="dxa"/>
            <w:vMerge w:val="restart"/>
          </w:tcPr>
          <w:p w:rsidR="00EE2851" w:rsidRDefault="00EE2851">
            <w:pPr>
              <w:pStyle w:val="ConsPlusNormal"/>
            </w:pPr>
            <w:r>
              <w:t>3.</w:t>
            </w:r>
          </w:p>
        </w:tc>
        <w:tc>
          <w:tcPr>
            <w:tcW w:w="2644" w:type="dxa"/>
            <w:vMerge w:val="restart"/>
          </w:tcPr>
          <w:p w:rsidR="00EE2851" w:rsidRDefault="00EE2851">
            <w:pPr>
              <w:pStyle w:val="ConsPlusNormal"/>
            </w:pPr>
            <w:r>
              <w:t xml:space="preserve">Разработка проектно-сметной документации по строительству объекта "Многофункциональный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</w:t>
            </w:r>
            <w:r>
              <w:lastRenderedPageBreak/>
              <w:t>территориальных органов власти, парк Победы, детская площадка, благоустройство) в п. Луговском Ханты-Мансийского района"</w:t>
            </w:r>
          </w:p>
        </w:tc>
        <w:tc>
          <w:tcPr>
            <w:tcW w:w="1459" w:type="dxa"/>
            <w:vMerge w:val="restart"/>
          </w:tcPr>
          <w:p w:rsidR="00EE2851" w:rsidRDefault="00EE2851">
            <w:pPr>
              <w:pStyle w:val="ConsPlusNormal"/>
            </w:pPr>
            <w:r>
              <w:lastRenderedPageBreak/>
              <w:t>200 мест/ 22000 экземпляров/ 40 уч.</w:t>
            </w:r>
          </w:p>
        </w:tc>
        <w:tc>
          <w:tcPr>
            <w:tcW w:w="1200" w:type="dxa"/>
            <w:vMerge w:val="restart"/>
          </w:tcPr>
          <w:p w:rsidR="00EE2851" w:rsidRDefault="00EE2851">
            <w:pPr>
              <w:pStyle w:val="ConsPlusNormal"/>
            </w:pPr>
            <w:r>
              <w:t>2020 - 2025 (ПИР)</w:t>
            </w:r>
          </w:p>
        </w:tc>
        <w:tc>
          <w:tcPr>
            <w:tcW w:w="1587" w:type="dxa"/>
            <w:vMerge w:val="restart"/>
          </w:tcPr>
          <w:p w:rsidR="00EE2851" w:rsidRDefault="00EE2851">
            <w:pPr>
              <w:pStyle w:val="ConsPlusNormal"/>
            </w:pPr>
            <w:r>
              <w:t>6 150,00</w:t>
            </w:r>
          </w:p>
        </w:tc>
        <w:tc>
          <w:tcPr>
            <w:tcW w:w="1304" w:type="dxa"/>
            <w:vMerge w:val="restart"/>
          </w:tcPr>
          <w:p w:rsidR="00EE2851" w:rsidRDefault="00EE2851">
            <w:pPr>
              <w:pStyle w:val="ConsPlusNormal"/>
            </w:pPr>
            <w:r>
              <w:t>6 150,00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6 150,0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  <w:r>
              <w:t>МКУ УКСиР</w:t>
            </w: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6 150,0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19290" w:type="dxa"/>
            <w:gridSpan w:val="16"/>
          </w:tcPr>
          <w:p w:rsidR="00EE2851" w:rsidRDefault="00EE2851">
            <w:pPr>
              <w:pStyle w:val="ConsPlusNormal"/>
            </w:pPr>
            <w:r>
              <w:t>II. Объекты, планируемые к созданию в период реализации муниципальной программы в 2031 году</w:t>
            </w:r>
          </w:p>
        </w:tc>
      </w:tr>
      <w:tr w:rsidR="00EE2851">
        <w:tc>
          <w:tcPr>
            <w:tcW w:w="8761" w:type="dxa"/>
            <w:gridSpan w:val="6"/>
            <w:vMerge w:val="restart"/>
          </w:tcPr>
          <w:p w:rsidR="00EE2851" w:rsidRDefault="00EE2851">
            <w:pPr>
              <w:pStyle w:val="ConsPlusNormal"/>
            </w:pPr>
            <w:r>
              <w:t>Всего по разделу II</w:t>
            </w: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EE2851" w:rsidRDefault="00EE2851">
            <w:pPr>
              <w:pStyle w:val="ConsPlusNormal"/>
            </w:pPr>
          </w:p>
        </w:tc>
        <w:tc>
          <w:tcPr>
            <w:tcW w:w="1789" w:type="dxa"/>
            <w:vMerge w:val="restart"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  <w:tr w:rsidR="00EE2851">
        <w:tc>
          <w:tcPr>
            <w:tcW w:w="0" w:type="auto"/>
            <w:gridSpan w:val="6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1757" w:type="dxa"/>
          </w:tcPr>
          <w:p w:rsidR="00EE2851" w:rsidRDefault="00EE285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11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EE2851" w:rsidRDefault="00EE2851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  <w:tc>
          <w:tcPr>
            <w:tcW w:w="0" w:type="auto"/>
            <w:vMerge/>
          </w:tcPr>
          <w:p w:rsidR="00EE2851" w:rsidRDefault="00EE2851">
            <w:pPr>
              <w:pStyle w:val="ConsPlusNormal"/>
            </w:pPr>
          </w:p>
        </w:tc>
      </w:tr>
    </w:tbl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ind w:firstLine="540"/>
        <w:jc w:val="both"/>
      </w:pPr>
    </w:p>
    <w:p w:rsidR="00EE2851" w:rsidRDefault="00EE2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391" w:rsidRDefault="00ED4391">
      <w:bookmarkStart w:id="1" w:name="_GoBack"/>
      <w:bookmarkEnd w:id="1"/>
    </w:p>
    <w:sectPr w:rsidR="00ED439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51"/>
    <w:rsid w:val="00ED4391"/>
    <w:rsid w:val="00E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AA26-ED85-40A7-B201-E06FBA03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2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28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2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2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2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28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7648" TargetMode="External"/><Relationship Id="rId18" Type="http://schemas.openxmlformats.org/officeDocument/2006/relationships/hyperlink" Target="https://login.consultant.ru/link/?req=doc&amp;base=RLAW926&amp;n=289048" TargetMode="External"/><Relationship Id="rId26" Type="http://schemas.openxmlformats.org/officeDocument/2006/relationships/hyperlink" Target="https://login.consultant.ru/link/?req=doc&amp;base=RLAW926&amp;n=3407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2203" TargetMode="External"/><Relationship Id="rId7" Type="http://schemas.openxmlformats.org/officeDocument/2006/relationships/hyperlink" Target="https://login.consultant.ru/link/?req=doc&amp;base=RLAW926&amp;n=342949&amp;dst=100005" TargetMode="External"/><Relationship Id="rId12" Type="http://schemas.openxmlformats.org/officeDocument/2006/relationships/hyperlink" Target="https://login.consultant.ru/link/?req=doc&amp;base=RLAW926&amp;n=315459" TargetMode="External"/><Relationship Id="rId17" Type="http://schemas.openxmlformats.org/officeDocument/2006/relationships/hyperlink" Target="https://login.consultant.ru/link/?req=doc&amp;base=RLAW926&amp;n=279709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6101" TargetMode="External"/><Relationship Id="rId20" Type="http://schemas.openxmlformats.org/officeDocument/2006/relationships/hyperlink" Target="https://login.consultant.ru/link/?req=doc&amp;base=RLAW926&amp;n=294336" TargetMode="External"/><Relationship Id="rId29" Type="http://schemas.openxmlformats.org/officeDocument/2006/relationships/hyperlink" Target="https://login.consultant.ru/link/?req=doc&amp;base=LAW&amp;n=444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60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41853&amp;dst=10000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7448&amp;dst=100005" TargetMode="External"/><Relationship Id="rId15" Type="http://schemas.openxmlformats.org/officeDocument/2006/relationships/hyperlink" Target="https://login.consultant.ru/link/?req=doc&amp;base=RLAW926&amp;n=273856" TargetMode="External"/><Relationship Id="rId23" Type="http://schemas.openxmlformats.org/officeDocument/2006/relationships/hyperlink" Target="https://login.consultant.ru/link/?req=doc&amp;base=RLAW926&amp;n=315155" TargetMode="External"/><Relationship Id="rId28" Type="http://schemas.openxmlformats.org/officeDocument/2006/relationships/hyperlink" Target="https://login.consultant.ru/link/?req=doc&amp;base=RLAW926&amp;n=340745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92105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73531" TargetMode="External"/><Relationship Id="rId22" Type="http://schemas.openxmlformats.org/officeDocument/2006/relationships/hyperlink" Target="https://login.consultant.ru/link/?req=doc&amp;base=RLAW926&amp;n=312283" TargetMode="External"/><Relationship Id="rId27" Type="http://schemas.openxmlformats.org/officeDocument/2006/relationships/hyperlink" Target="https://login.consultant.ru/link/?req=doc&amp;base=RLAW926&amp;n=340745" TargetMode="External"/><Relationship Id="rId30" Type="http://schemas.openxmlformats.org/officeDocument/2006/relationships/hyperlink" Target="https://login.consultant.ru/link/?req=doc&amp;base=RLAW926&amp;n=258730" TargetMode="External"/><Relationship Id="rId8" Type="http://schemas.openxmlformats.org/officeDocument/2006/relationships/hyperlink" Target="https://login.consultant.ru/link/?req=doc&amp;base=RLAW926&amp;n=34185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2026-04-20T06:07:00Z</dcterms:created>
  <dcterms:modified xsi:type="dcterms:W3CDTF">2026-04-20T06:08:00Z</dcterms:modified>
</cp:coreProperties>
</file>