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76" w:rsidRDefault="00366E7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66E76" w:rsidRDefault="00366E76">
      <w:pPr>
        <w:pStyle w:val="ConsPlusNormal"/>
        <w:outlineLvl w:val="0"/>
      </w:pPr>
    </w:p>
    <w:p w:rsidR="00366E76" w:rsidRDefault="00366E76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366E76" w:rsidRDefault="00366E76">
      <w:pPr>
        <w:pStyle w:val="ConsPlusTitle"/>
        <w:jc w:val="center"/>
      </w:pPr>
    </w:p>
    <w:p w:rsidR="00366E76" w:rsidRDefault="00366E76">
      <w:pPr>
        <w:pStyle w:val="ConsPlusTitle"/>
        <w:jc w:val="center"/>
      </w:pPr>
      <w:r>
        <w:t>ПОСТАНОВЛЕНИЕ</w:t>
      </w:r>
    </w:p>
    <w:p w:rsidR="00366E76" w:rsidRDefault="00366E76">
      <w:pPr>
        <w:pStyle w:val="ConsPlusTitle"/>
        <w:jc w:val="center"/>
      </w:pPr>
      <w:r>
        <w:t>от 12 февраля 2025 г. N 115</w:t>
      </w:r>
    </w:p>
    <w:p w:rsidR="00366E76" w:rsidRDefault="00366E76">
      <w:pPr>
        <w:pStyle w:val="ConsPlusTitle"/>
        <w:jc w:val="center"/>
      </w:pPr>
    </w:p>
    <w:p w:rsidR="00366E76" w:rsidRDefault="00366E76">
      <w:pPr>
        <w:pStyle w:val="ConsPlusTitle"/>
        <w:jc w:val="center"/>
      </w:pPr>
      <w:r>
        <w:t>О МУНИЦИПАЛЬНОЙ ПРОГРАММЕ ХАНТЫ-МАНСИЙСКОГО РАЙОНА "РАЗВИТИЕ</w:t>
      </w:r>
    </w:p>
    <w:p w:rsidR="00366E76" w:rsidRDefault="00366E76">
      <w:pPr>
        <w:pStyle w:val="ConsPlusTitle"/>
        <w:jc w:val="center"/>
      </w:pPr>
      <w:r>
        <w:t>ОБРАЗОВАНИЯ В ХАНТЫ-МАНСИЙСКОМ РАЙОНЕ"</w:t>
      </w:r>
    </w:p>
    <w:p w:rsidR="00366E76" w:rsidRDefault="00366E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6E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E76" w:rsidRDefault="00366E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E76" w:rsidRDefault="00366E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6E76" w:rsidRDefault="00366E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E76" w:rsidRDefault="00366E7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366E76" w:rsidRDefault="00366E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07.07.2025 </w:t>
            </w:r>
            <w:hyperlink r:id="rId5">
              <w:r>
                <w:rPr>
                  <w:color w:val="0000FF"/>
                </w:rPr>
                <w:t>N 403</w:t>
              </w:r>
            </w:hyperlink>
            <w:r>
              <w:rPr>
                <w:color w:val="392C69"/>
              </w:rPr>
              <w:t xml:space="preserve">, от 11.08.2025 </w:t>
            </w:r>
            <w:hyperlink r:id="rId6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E76" w:rsidRDefault="00366E76">
            <w:pPr>
              <w:pStyle w:val="ConsPlusNormal"/>
            </w:pPr>
          </w:p>
        </w:tc>
      </w:tr>
    </w:tbl>
    <w:p w:rsidR="00366E76" w:rsidRDefault="00366E76">
      <w:pPr>
        <w:pStyle w:val="ConsPlusNormal"/>
        <w:ind w:firstLine="540"/>
        <w:jc w:val="both"/>
      </w:pPr>
    </w:p>
    <w:p w:rsidR="00366E76" w:rsidRDefault="00366E76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9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5">
        <w:r>
          <w:rPr>
            <w:color w:val="0000FF"/>
          </w:rPr>
          <w:t>программу</w:t>
        </w:r>
      </w:hyperlink>
      <w:r>
        <w:t xml:space="preserve"> Ханты-Мансийского района "Развитие образования в Ханты-Мансийском районе"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 xml:space="preserve">от 13.12.2021 </w:t>
      </w:r>
      <w:hyperlink r:id="rId10">
        <w:r>
          <w:rPr>
            <w:color w:val="0000FF"/>
          </w:rPr>
          <w:t>N 331</w:t>
        </w:r>
      </w:hyperlink>
      <w:r>
        <w:t xml:space="preserve"> О муниципальной программе Ханты-Мансийского района "Развитие образования в Ханты-Мансийском районе на 2022 - 2024 годы";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 xml:space="preserve">от 22.06.2022 </w:t>
      </w:r>
      <w:hyperlink r:id="rId11">
        <w:r>
          <w:rPr>
            <w:color w:val="0000FF"/>
          </w:rPr>
          <w:t>N 245</w:t>
        </w:r>
      </w:hyperlink>
      <w:r>
        <w:t xml:space="preserve"> "О внесении изменений в постановление администрации Ханты-Мансийского района от 13 декабря 2021 года N 331 "О муниципальной программе Ханты-Мансийского района "Развитие образования в Ханты-Мансийском районе на 2022 - 2024 годы";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 xml:space="preserve">от 30.09.2022 </w:t>
      </w:r>
      <w:hyperlink r:id="rId12">
        <w:r>
          <w:rPr>
            <w:color w:val="0000FF"/>
          </w:rPr>
          <w:t>N 332</w:t>
        </w:r>
      </w:hyperlink>
      <w:r>
        <w:t xml:space="preserve"> "О внесении изменений в постановление администрации Ханты-Мансийского района от 13 декабря 2021 года N 331 "О муниципальной программе Ханты-Мансийского района "Развитие образования в Ханты-Мансийском районе на 2022 - 2024 годы";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 xml:space="preserve">от 16.12.2022 </w:t>
      </w:r>
      <w:hyperlink r:id="rId13">
        <w:r>
          <w:rPr>
            <w:color w:val="0000FF"/>
          </w:rPr>
          <w:t>N 467</w:t>
        </w:r>
      </w:hyperlink>
      <w:r>
        <w:t xml:space="preserve"> "О внесении изменений в постановление администрации Ханты-Мансийского района от 13 декабря 2021 года N 331 "О муниципальной программе Ханты-Мансийского района "Развитие образования в Ханты-Мансийском районе на 2022 - 2024 годы";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 xml:space="preserve">от 19.04.2023 </w:t>
      </w:r>
      <w:hyperlink r:id="rId14">
        <w:r>
          <w:rPr>
            <w:color w:val="0000FF"/>
          </w:rPr>
          <w:t>N 129</w:t>
        </w:r>
      </w:hyperlink>
      <w:r>
        <w:t xml:space="preserve"> "О внесении изменений в постановление администрации Ханты-Мансийского района от 13 декабря 2021 года N 331 "О муниципальной программе Ханты-Мансийского района "Развитие образования в Ханты-Мансийском районе на 2022 - 2025 годы";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 xml:space="preserve">от 20.06.2023 </w:t>
      </w:r>
      <w:hyperlink r:id="rId15">
        <w:r>
          <w:rPr>
            <w:color w:val="0000FF"/>
          </w:rPr>
          <w:t>N 214</w:t>
        </w:r>
      </w:hyperlink>
      <w:r>
        <w:t xml:space="preserve"> "О внесении изменения в постановление администрации Ханты-Мансийского района от 13 декабря 2021 года N 331 "О муниципальной программе Ханты-Мансийского района "Развитие образования в Ханты-Мансийском районе на 2022 - 2025 годы";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 xml:space="preserve">от 10.10.2023 </w:t>
      </w:r>
      <w:hyperlink r:id="rId16">
        <w:r>
          <w:rPr>
            <w:color w:val="0000FF"/>
          </w:rPr>
          <w:t>N 567</w:t>
        </w:r>
      </w:hyperlink>
      <w:r>
        <w:t xml:space="preserve"> "О внесении изменений в постановление администрации Ханты-Мансийского района от 13 декабря 2021 года N 331 "О муниципальной программе Ханты-Мансийского района "Развитие образования в Ханты-Мансийском районе на 2022 - 2025 годы";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 xml:space="preserve">от 01.12.2023 </w:t>
      </w:r>
      <w:hyperlink r:id="rId17">
        <w:r>
          <w:rPr>
            <w:color w:val="0000FF"/>
          </w:rPr>
          <w:t>N 820</w:t>
        </w:r>
      </w:hyperlink>
      <w:r>
        <w:t xml:space="preserve"> "О внесении изменений в постановление администрации Ханты-Мансийского района от 13 декабря 2021 года N 331 "О муниципальной программе Ханты-Мансийского района "Развитие образования в Ханты-Мансийском районе на 2022 - 2025 годы";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lastRenderedPageBreak/>
        <w:t xml:space="preserve">от 25.12.2023 </w:t>
      </w:r>
      <w:hyperlink r:id="rId18">
        <w:r>
          <w:rPr>
            <w:color w:val="0000FF"/>
          </w:rPr>
          <w:t>N 938</w:t>
        </w:r>
      </w:hyperlink>
      <w:r>
        <w:t xml:space="preserve"> "О внесении изменений в постановление администрации Ханты-Мансийского района от 13 декабря 2021 года N 331 "О муниципальной программе Ханты-Мансийского района "Развитие образования в Ханты-Мансийском районе на 2022 - 2025 годы";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 xml:space="preserve">от 24.04.2024 </w:t>
      </w:r>
      <w:hyperlink r:id="rId19">
        <w:r>
          <w:rPr>
            <w:color w:val="0000FF"/>
          </w:rPr>
          <w:t>N 365</w:t>
        </w:r>
      </w:hyperlink>
      <w:r>
        <w:t xml:space="preserve"> "О внесении изменений в постановление администрации Ханты-Мансийского района от 13 декабря 2021 года N 331 "О муниципальной программе Ханты-Мансийского района "Развитие образования в Ханты-Мансийском районе".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 и распространяет свое действие на правоотношения, возникшие с 1 января 2025 года.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социальным вопросам.</w:t>
      </w:r>
    </w:p>
    <w:p w:rsidR="00366E76" w:rsidRDefault="00366E76">
      <w:pPr>
        <w:pStyle w:val="ConsPlusNormal"/>
        <w:ind w:firstLine="540"/>
        <w:jc w:val="both"/>
      </w:pPr>
    </w:p>
    <w:p w:rsidR="00366E76" w:rsidRDefault="00366E76">
      <w:pPr>
        <w:pStyle w:val="ConsPlusNormal"/>
        <w:jc w:val="right"/>
      </w:pPr>
      <w:r>
        <w:t>Глава Ханты-Мансийского района</w:t>
      </w:r>
    </w:p>
    <w:p w:rsidR="00366E76" w:rsidRDefault="00366E76">
      <w:pPr>
        <w:pStyle w:val="ConsPlusNormal"/>
        <w:jc w:val="right"/>
      </w:pPr>
      <w:r>
        <w:t>К.Р.МИНУЛИН</w:t>
      </w:r>
    </w:p>
    <w:p w:rsidR="00366E76" w:rsidRDefault="00366E76">
      <w:pPr>
        <w:pStyle w:val="ConsPlusNormal"/>
      </w:pPr>
    </w:p>
    <w:p w:rsidR="00366E76" w:rsidRDefault="00366E76">
      <w:pPr>
        <w:pStyle w:val="ConsPlusNormal"/>
      </w:pPr>
    </w:p>
    <w:p w:rsidR="00366E76" w:rsidRDefault="00366E76">
      <w:pPr>
        <w:pStyle w:val="ConsPlusNormal"/>
      </w:pPr>
    </w:p>
    <w:p w:rsidR="00366E76" w:rsidRDefault="00366E76">
      <w:pPr>
        <w:pStyle w:val="ConsPlusNormal"/>
      </w:pPr>
    </w:p>
    <w:p w:rsidR="00366E76" w:rsidRDefault="00366E76">
      <w:pPr>
        <w:pStyle w:val="ConsPlusNormal"/>
      </w:pPr>
    </w:p>
    <w:p w:rsidR="00366E76" w:rsidRDefault="00366E76">
      <w:pPr>
        <w:pStyle w:val="ConsPlusNormal"/>
        <w:jc w:val="right"/>
        <w:outlineLvl w:val="0"/>
      </w:pPr>
      <w:bookmarkStart w:id="0" w:name="P35"/>
      <w:bookmarkEnd w:id="0"/>
      <w:r>
        <w:t>Приложение</w:t>
      </w:r>
    </w:p>
    <w:p w:rsidR="00366E76" w:rsidRDefault="00366E76">
      <w:pPr>
        <w:pStyle w:val="ConsPlusNormal"/>
        <w:jc w:val="right"/>
      </w:pPr>
      <w:r>
        <w:t>к постановлению</w:t>
      </w:r>
    </w:p>
    <w:p w:rsidR="00366E76" w:rsidRDefault="00366E76">
      <w:pPr>
        <w:pStyle w:val="ConsPlusNormal"/>
        <w:jc w:val="right"/>
      </w:pPr>
      <w:r>
        <w:t>Администрации Ханты-Мансийского района</w:t>
      </w:r>
    </w:p>
    <w:p w:rsidR="00366E76" w:rsidRDefault="00366E76">
      <w:pPr>
        <w:pStyle w:val="ConsPlusNormal"/>
        <w:jc w:val="right"/>
      </w:pPr>
      <w:r>
        <w:t>от 12.02.2025 N 115</w:t>
      </w:r>
    </w:p>
    <w:p w:rsidR="00366E76" w:rsidRDefault="00366E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6E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E76" w:rsidRDefault="00366E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E76" w:rsidRDefault="00366E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6E76" w:rsidRDefault="00366E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E76" w:rsidRDefault="00366E7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366E76" w:rsidRDefault="00366E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07.07.2025 </w:t>
            </w:r>
            <w:hyperlink r:id="rId20">
              <w:r>
                <w:rPr>
                  <w:color w:val="0000FF"/>
                </w:rPr>
                <w:t>N 403</w:t>
              </w:r>
            </w:hyperlink>
            <w:r>
              <w:rPr>
                <w:color w:val="392C69"/>
              </w:rPr>
              <w:t xml:space="preserve">, от 11.08.2025 </w:t>
            </w:r>
            <w:hyperlink r:id="rId21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E76" w:rsidRDefault="00366E76">
            <w:pPr>
              <w:pStyle w:val="ConsPlusNormal"/>
            </w:pPr>
          </w:p>
        </w:tc>
      </w:tr>
    </w:tbl>
    <w:p w:rsidR="00366E76" w:rsidRDefault="00366E76">
      <w:pPr>
        <w:pStyle w:val="ConsPlusNormal"/>
      </w:pPr>
    </w:p>
    <w:p w:rsidR="00366E76" w:rsidRDefault="00366E76">
      <w:pPr>
        <w:pStyle w:val="ConsPlusTitle"/>
        <w:jc w:val="center"/>
        <w:outlineLvl w:val="1"/>
      </w:pPr>
      <w:r>
        <w:t>Паспорт</w:t>
      </w:r>
    </w:p>
    <w:p w:rsidR="00366E76" w:rsidRDefault="00366E76">
      <w:pPr>
        <w:pStyle w:val="ConsPlusTitle"/>
        <w:jc w:val="center"/>
      </w:pPr>
      <w:r>
        <w:t>Муниципальной программы "Развитие образования</w:t>
      </w:r>
    </w:p>
    <w:p w:rsidR="00366E76" w:rsidRDefault="00366E76">
      <w:pPr>
        <w:pStyle w:val="ConsPlusTitle"/>
        <w:jc w:val="center"/>
      </w:pPr>
      <w:r>
        <w:t>в Ханты-Мансийском районе" (далее - муниципальная программа)</w:t>
      </w:r>
    </w:p>
    <w:p w:rsidR="00366E76" w:rsidRDefault="00366E76">
      <w:pPr>
        <w:pStyle w:val="ConsPlusNormal"/>
      </w:pPr>
    </w:p>
    <w:p w:rsidR="00366E76" w:rsidRDefault="00366E76">
      <w:pPr>
        <w:pStyle w:val="ConsPlusTitle"/>
        <w:jc w:val="center"/>
        <w:outlineLvl w:val="2"/>
      </w:pPr>
      <w:r>
        <w:t>1. Основные положения</w:t>
      </w:r>
    </w:p>
    <w:p w:rsidR="00366E76" w:rsidRDefault="00366E76">
      <w:pPr>
        <w:pStyle w:val="ConsPlusNormal"/>
        <w:jc w:val="center"/>
      </w:pPr>
    </w:p>
    <w:p w:rsidR="00366E76" w:rsidRDefault="00366E76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366E76" w:rsidRDefault="00366E76">
      <w:pPr>
        <w:pStyle w:val="ConsPlusNormal"/>
        <w:jc w:val="center"/>
      </w:pPr>
      <w:r>
        <w:t>от 11.08.2025 N 465)</w:t>
      </w:r>
    </w:p>
    <w:p w:rsidR="00366E76" w:rsidRDefault="00366E7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783"/>
      </w:tblGrid>
      <w:tr w:rsidR="00366E76">
        <w:tc>
          <w:tcPr>
            <w:tcW w:w="3288" w:type="dxa"/>
          </w:tcPr>
          <w:p w:rsidR="00366E76" w:rsidRDefault="00366E76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783" w:type="dxa"/>
          </w:tcPr>
          <w:p w:rsidR="00366E76" w:rsidRDefault="00366E76">
            <w:pPr>
              <w:pStyle w:val="ConsPlusNormal"/>
            </w:pPr>
            <w:r>
              <w:t>Заместитель Главы Ханты-Мансийского района по социальным вопросам</w:t>
            </w:r>
          </w:p>
        </w:tc>
      </w:tr>
      <w:tr w:rsidR="00366E76">
        <w:tc>
          <w:tcPr>
            <w:tcW w:w="3288" w:type="dxa"/>
          </w:tcPr>
          <w:p w:rsidR="00366E76" w:rsidRDefault="00366E76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783" w:type="dxa"/>
          </w:tcPr>
          <w:p w:rsidR="00366E76" w:rsidRDefault="00366E76">
            <w:pPr>
              <w:pStyle w:val="ConsPlusNormal"/>
            </w:pPr>
            <w:r>
              <w:t>Комитет по образованию Администрации Ханты-Мансийского района (далее - комитет по образованию)</w:t>
            </w:r>
          </w:p>
        </w:tc>
      </w:tr>
      <w:tr w:rsidR="00366E76">
        <w:tc>
          <w:tcPr>
            <w:tcW w:w="3288" w:type="dxa"/>
          </w:tcPr>
          <w:p w:rsidR="00366E76" w:rsidRDefault="00366E76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783" w:type="dxa"/>
          </w:tcPr>
          <w:p w:rsidR="00366E76" w:rsidRDefault="00366E76">
            <w:pPr>
              <w:pStyle w:val="ConsPlusNormal"/>
            </w:pPr>
            <w:r>
              <w:t>2025 - 2030</w:t>
            </w:r>
          </w:p>
        </w:tc>
      </w:tr>
      <w:tr w:rsidR="00366E76">
        <w:tc>
          <w:tcPr>
            <w:tcW w:w="3288" w:type="dxa"/>
          </w:tcPr>
          <w:p w:rsidR="00366E76" w:rsidRDefault="00366E76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783" w:type="dxa"/>
          </w:tcPr>
          <w:p w:rsidR="00366E76" w:rsidRDefault="00366E76">
            <w:pPr>
              <w:pStyle w:val="ConsPlusNormal"/>
            </w:pPr>
            <w:r>
              <w:t>1. Обеспечение доступности качественного образования, соответствующего современным потребностям общества и каждого жителя района.</w:t>
            </w:r>
          </w:p>
          <w:p w:rsidR="00366E76" w:rsidRDefault="00366E76">
            <w:pPr>
              <w:pStyle w:val="ConsPlusNormal"/>
            </w:pPr>
            <w:r>
              <w:t xml:space="preserve">2. Формирование эффективной системы выявления, поддержки и развития способностей и талантов у детей и </w:t>
            </w:r>
            <w:r>
              <w:lastRenderedPageBreak/>
              <w:t>молодежи</w:t>
            </w:r>
          </w:p>
        </w:tc>
      </w:tr>
      <w:tr w:rsidR="00366E76">
        <w:tc>
          <w:tcPr>
            <w:tcW w:w="3288" w:type="dxa"/>
          </w:tcPr>
          <w:p w:rsidR="00366E76" w:rsidRDefault="00366E76">
            <w:pPr>
              <w:pStyle w:val="ConsPlusNormal"/>
            </w:pPr>
            <w:r>
              <w:lastRenderedPageBreak/>
              <w:t>Направления (подпрограммы) муниципальной программы</w:t>
            </w:r>
          </w:p>
        </w:tc>
        <w:tc>
          <w:tcPr>
            <w:tcW w:w="5783" w:type="dxa"/>
          </w:tcPr>
          <w:p w:rsidR="00366E76" w:rsidRDefault="00366E76">
            <w:pPr>
              <w:pStyle w:val="ConsPlusNormal"/>
            </w:pPr>
            <w:hyperlink w:anchor="P455">
              <w:r>
                <w:rPr>
                  <w:color w:val="0000FF"/>
                </w:rPr>
                <w:t>1</w:t>
              </w:r>
            </w:hyperlink>
            <w:r>
              <w:t>. "Инновационное развитие образования".</w:t>
            </w:r>
          </w:p>
          <w:p w:rsidR="00366E76" w:rsidRDefault="00366E76">
            <w:pPr>
              <w:pStyle w:val="ConsPlusNormal"/>
            </w:pPr>
            <w:hyperlink w:anchor="P505">
              <w:r>
                <w:rPr>
                  <w:color w:val="0000FF"/>
                </w:rPr>
                <w:t>2</w:t>
              </w:r>
            </w:hyperlink>
            <w:r>
              <w:t>. "Обеспечение комплексной безопасности и комфортных условий образовательного процесса".</w:t>
            </w:r>
          </w:p>
          <w:p w:rsidR="00366E76" w:rsidRDefault="00366E76">
            <w:pPr>
              <w:pStyle w:val="ConsPlusNormal"/>
            </w:pPr>
            <w:hyperlink w:anchor="P543">
              <w:r>
                <w:rPr>
                  <w:color w:val="0000FF"/>
                </w:rPr>
                <w:t>3</w:t>
              </w:r>
            </w:hyperlink>
            <w:r>
              <w:t>. "Развитие материально-технической базы сферы образования".</w:t>
            </w:r>
          </w:p>
          <w:p w:rsidR="00366E76" w:rsidRDefault="00366E76">
            <w:pPr>
              <w:pStyle w:val="ConsPlusNormal"/>
            </w:pPr>
            <w:hyperlink w:anchor="P564">
              <w:r>
                <w:rPr>
                  <w:color w:val="0000FF"/>
                </w:rPr>
                <w:t>4</w:t>
              </w:r>
            </w:hyperlink>
            <w:r>
              <w:t>. "Оказание образовательных услуг в организациях дошкольного, начального общего, основного общего, среднего общего и дополнительного образования на территории Ханты-Мансийского района".</w:t>
            </w:r>
          </w:p>
          <w:p w:rsidR="00366E76" w:rsidRDefault="00366E76">
            <w:pPr>
              <w:pStyle w:val="ConsPlusNormal"/>
            </w:pPr>
            <w:hyperlink w:anchor="P602">
              <w:r>
                <w:rPr>
                  <w:color w:val="0000FF"/>
                </w:rPr>
                <w:t>5</w:t>
              </w:r>
            </w:hyperlink>
            <w:r>
              <w:t>. "Дети и молодежь Ханты-Мансийского района"</w:t>
            </w:r>
          </w:p>
        </w:tc>
      </w:tr>
      <w:tr w:rsidR="00366E76">
        <w:tc>
          <w:tcPr>
            <w:tcW w:w="3288" w:type="dxa"/>
          </w:tcPr>
          <w:p w:rsidR="00366E76" w:rsidRDefault="00366E76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783" w:type="dxa"/>
          </w:tcPr>
          <w:p w:rsidR="00366E76" w:rsidRDefault="00366E76">
            <w:pPr>
              <w:pStyle w:val="ConsPlusNormal"/>
            </w:pPr>
            <w:r>
              <w:t>16 435 307,4 тыс. рублей</w:t>
            </w:r>
          </w:p>
        </w:tc>
      </w:tr>
      <w:tr w:rsidR="00366E76">
        <w:tc>
          <w:tcPr>
            <w:tcW w:w="3288" w:type="dxa"/>
          </w:tcPr>
          <w:p w:rsidR="00366E76" w:rsidRDefault="00366E76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783" w:type="dxa"/>
          </w:tcPr>
          <w:p w:rsidR="00366E76" w:rsidRDefault="00366E76">
            <w:pPr>
              <w:pStyle w:val="ConsPlusNormal"/>
            </w:pPr>
            <w: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366E76" w:rsidRDefault="00366E76">
            <w:pPr>
              <w:pStyle w:val="ConsPlusNormal"/>
            </w:pPr>
            <w:r>
              <w:t>2. Государственная программа Ханты-Мансийского автономного округа - Югры "Развитие образования"</w:t>
            </w:r>
          </w:p>
        </w:tc>
      </w:tr>
    </w:tbl>
    <w:p w:rsidR="00366E76" w:rsidRDefault="00366E76">
      <w:pPr>
        <w:pStyle w:val="ConsPlusNormal"/>
        <w:jc w:val="center"/>
      </w:pPr>
    </w:p>
    <w:p w:rsidR="00366E76" w:rsidRDefault="00366E76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366E76" w:rsidRDefault="00366E76">
      <w:pPr>
        <w:pStyle w:val="ConsPlusNormal"/>
        <w:jc w:val="center"/>
      </w:pPr>
    </w:p>
    <w:p w:rsidR="00366E76" w:rsidRDefault="00366E76">
      <w:pPr>
        <w:pStyle w:val="ConsPlusNormal"/>
        <w:sectPr w:rsidR="00366E76" w:rsidSect="002E52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2339"/>
        <w:gridCol w:w="1172"/>
        <w:gridCol w:w="1161"/>
        <w:gridCol w:w="999"/>
        <w:gridCol w:w="648"/>
        <w:gridCol w:w="635"/>
        <w:gridCol w:w="635"/>
        <w:gridCol w:w="635"/>
        <w:gridCol w:w="635"/>
        <w:gridCol w:w="635"/>
        <w:gridCol w:w="635"/>
        <w:gridCol w:w="1951"/>
        <w:gridCol w:w="1965"/>
        <w:gridCol w:w="1500"/>
      </w:tblGrid>
      <w:tr w:rsidR="00366E76">
        <w:tc>
          <w:tcPr>
            <w:tcW w:w="567" w:type="dxa"/>
            <w:vMerge w:val="restart"/>
          </w:tcPr>
          <w:p w:rsidR="00366E76" w:rsidRDefault="00366E7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38" w:type="dxa"/>
            <w:vMerge w:val="restart"/>
          </w:tcPr>
          <w:p w:rsidR="00366E76" w:rsidRDefault="00366E7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61" w:type="dxa"/>
            <w:vMerge w:val="restart"/>
          </w:tcPr>
          <w:p w:rsidR="00366E76" w:rsidRDefault="00366E76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033" w:type="dxa"/>
            <w:vMerge w:val="restart"/>
          </w:tcPr>
          <w:p w:rsidR="00366E76" w:rsidRDefault="00366E76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17" w:type="dxa"/>
            <w:gridSpan w:val="2"/>
          </w:tcPr>
          <w:p w:rsidR="00366E76" w:rsidRDefault="00366E76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422" w:type="dxa"/>
            <w:gridSpan w:val="6"/>
          </w:tcPr>
          <w:p w:rsidR="00366E76" w:rsidRDefault="00366E76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324" w:type="dxa"/>
            <w:vMerge w:val="restart"/>
          </w:tcPr>
          <w:p w:rsidR="00366E76" w:rsidRDefault="00366E76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57" w:type="dxa"/>
            <w:vMerge w:val="restart"/>
          </w:tcPr>
          <w:p w:rsidR="00366E76" w:rsidRDefault="00366E76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226" w:type="dxa"/>
            <w:vMerge w:val="restart"/>
          </w:tcPr>
          <w:p w:rsidR="00366E76" w:rsidRDefault="00366E76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366E76">
        <w:tc>
          <w:tcPr>
            <w:tcW w:w="0" w:type="auto"/>
            <w:vMerge/>
          </w:tcPr>
          <w:p w:rsidR="00366E76" w:rsidRDefault="00366E76">
            <w:pPr>
              <w:pStyle w:val="ConsPlusNormal"/>
            </w:pPr>
          </w:p>
        </w:tc>
        <w:tc>
          <w:tcPr>
            <w:tcW w:w="0" w:type="auto"/>
            <w:vMerge/>
          </w:tcPr>
          <w:p w:rsidR="00366E76" w:rsidRDefault="00366E76">
            <w:pPr>
              <w:pStyle w:val="ConsPlusNormal"/>
            </w:pPr>
          </w:p>
        </w:tc>
        <w:tc>
          <w:tcPr>
            <w:tcW w:w="0" w:type="auto"/>
            <w:vMerge/>
          </w:tcPr>
          <w:p w:rsidR="00366E76" w:rsidRDefault="00366E76">
            <w:pPr>
              <w:pStyle w:val="ConsPlusNormal"/>
            </w:pPr>
          </w:p>
        </w:tc>
        <w:tc>
          <w:tcPr>
            <w:tcW w:w="0" w:type="auto"/>
            <w:vMerge/>
          </w:tcPr>
          <w:p w:rsidR="00366E76" w:rsidRDefault="00366E76">
            <w:pPr>
              <w:pStyle w:val="ConsPlusNormal"/>
            </w:pPr>
          </w:p>
        </w:tc>
        <w:tc>
          <w:tcPr>
            <w:tcW w:w="747" w:type="dxa"/>
          </w:tcPr>
          <w:p w:rsidR="00366E76" w:rsidRDefault="00366E76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70" w:type="dxa"/>
          </w:tcPr>
          <w:p w:rsidR="00366E76" w:rsidRDefault="00366E7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366E76" w:rsidRDefault="00366E76">
            <w:pPr>
              <w:pStyle w:val="ConsPlusNormal"/>
            </w:pPr>
          </w:p>
        </w:tc>
        <w:tc>
          <w:tcPr>
            <w:tcW w:w="0" w:type="auto"/>
            <w:vMerge/>
          </w:tcPr>
          <w:p w:rsidR="00366E76" w:rsidRDefault="00366E76">
            <w:pPr>
              <w:pStyle w:val="ConsPlusNormal"/>
            </w:pPr>
          </w:p>
        </w:tc>
        <w:tc>
          <w:tcPr>
            <w:tcW w:w="0" w:type="auto"/>
            <w:vMerge/>
          </w:tcPr>
          <w:p w:rsidR="00366E76" w:rsidRDefault="00366E76">
            <w:pPr>
              <w:pStyle w:val="ConsPlusNormal"/>
            </w:pPr>
          </w:p>
        </w:tc>
      </w:tr>
      <w:tr w:rsidR="00366E76">
        <w:tc>
          <w:tcPr>
            <w:tcW w:w="567" w:type="dxa"/>
          </w:tcPr>
          <w:p w:rsidR="00366E76" w:rsidRDefault="00366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366E76" w:rsidRDefault="00366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1" w:type="dxa"/>
          </w:tcPr>
          <w:p w:rsidR="00366E76" w:rsidRDefault="00366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3" w:type="dxa"/>
          </w:tcPr>
          <w:p w:rsidR="00366E76" w:rsidRDefault="00366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47" w:type="dxa"/>
          </w:tcPr>
          <w:p w:rsidR="00366E76" w:rsidRDefault="00366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70" w:type="dxa"/>
          </w:tcPr>
          <w:p w:rsidR="00366E76" w:rsidRDefault="00366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</w:tcPr>
          <w:p w:rsidR="00366E76" w:rsidRDefault="00366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</w:tcPr>
          <w:p w:rsidR="00366E76" w:rsidRDefault="00366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6" w:type="dxa"/>
          </w:tcPr>
          <w:p w:rsidR="00366E76" w:rsidRDefault="00366E76">
            <w:pPr>
              <w:pStyle w:val="ConsPlusNormal"/>
              <w:jc w:val="center"/>
            </w:pPr>
            <w:r>
              <w:t>16</w:t>
            </w:r>
          </w:p>
        </w:tc>
      </w:tr>
      <w:tr w:rsidR="00366E76">
        <w:tc>
          <w:tcPr>
            <w:tcW w:w="16345" w:type="dxa"/>
            <w:gridSpan w:val="15"/>
          </w:tcPr>
          <w:p w:rsidR="00366E76" w:rsidRDefault="00366E76">
            <w:pPr>
              <w:pStyle w:val="ConsPlusNormal"/>
            </w:pPr>
            <w:r>
              <w:t>Цель 1. Обеспечение доступности качественного образования, соответствующего современным потребностям общества и каждого жителя района</w:t>
            </w:r>
          </w:p>
        </w:tc>
      </w:tr>
      <w:tr w:rsidR="00366E76">
        <w:tc>
          <w:tcPr>
            <w:tcW w:w="567" w:type="dxa"/>
          </w:tcPr>
          <w:p w:rsidR="00366E76" w:rsidRDefault="00366E76">
            <w:pPr>
              <w:pStyle w:val="ConsPlusNormal"/>
            </w:pPr>
            <w:r>
              <w:t>1.</w:t>
            </w:r>
          </w:p>
        </w:tc>
        <w:tc>
          <w:tcPr>
            <w:tcW w:w="2438" w:type="dxa"/>
          </w:tcPr>
          <w:p w:rsidR="00366E76" w:rsidRDefault="00366E76">
            <w:pPr>
              <w:pStyle w:val="ConsPlusNormal"/>
            </w:pPr>
            <w: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061" w:type="dxa"/>
          </w:tcPr>
          <w:p w:rsidR="00366E76" w:rsidRDefault="00366E76">
            <w:pPr>
              <w:pStyle w:val="ConsPlusNormal"/>
            </w:pPr>
            <w:r>
              <w:t>ОМСУ</w:t>
            </w:r>
          </w:p>
          <w:p w:rsidR="00366E76" w:rsidRDefault="00366E76">
            <w:pPr>
              <w:pStyle w:val="ConsPlusNormal"/>
            </w:pPr>
            <w:r>
              <w:t>&lt;*&gt;</w:t>
            </w:r>
          </w:p>
        </w:tc>
        <w:tc>
          <w:tcPr>
            <w:tcW w:w="1033" w:type="dxa"/>
          </w:tcPr>
          <w:p w:rsidR="00366E76" w:rsidRDefault="00366E76">
            <w:pPr>
              <w:pStyle w:val="ConsPlusNormal"/>
            </w:pPr>
            <w:r>
              <w:t>процент</w:t>
            </w:r>
          </w:p>
        </w:tc>
        <w:tc>
          <w:tcPr>
            <w:tcW w:w="747" w:type="dxa"/>
          </w:tcPr>
          <w:p w:rsidR="00366E76" w:rsidRDefault="00366E76">
            <w:pPr>
              <w:pStyle w:val="ConsPlusNormal"/>
            </w:pPr>
            <w:r>
              <w:t>96,1</w:t>
            </w:r>
          </w:p>
        </w:tc>
        <w:tc>
          <w:tcPr>
            <w:tcW w:w="770" w:type="dxa"/>
          </w:tcPr>
          <w:p w:rsidR="00366E76" w:rsidRDefault="00366E76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96,1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96,1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96,1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96,1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96,1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96,1</w:t>
            </w:r>
          </w:p>
        </w:tc>
        <w:tc>
          <w:tcPr>
            <w:tcW w:w="2324" w:type="dxa"/>
          </w:tcPr>
          <w:p w:rsidR="00366E76" w:rsidRDefault="00366E76">
            <w:pPr>
              <w:pStyle w:val="ConsPlusNormal"/>
            </w:pPr>
            <w:hyperlink r:id="rId24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28.04.2008 N 607 "Об оценке эффективности деятельности органов местного самоуправления муниципальных, городских округов и муниципальных районов"</w:t>
            </w:r>
          </w:p>
        </w:tc>
        <w:tc>
          <w:tcPr>
            <w:tcW w:w="1757" w:type="dxa"/>
          </w:tcPr>
          <w:p w:rsidR="00366E76" w:rsidRDefault="00366E76">
            <w:pPr>
              <w:pStyle w:val="ConsPlusNormal"/>
            </w:pPr>
            <w:r>
              <w:t>комитет по образованию, подведомственные учреждения</w:t>
            </w:r>
          </w:p>
        </w:tc>
        <w:tc>
          <w:tcPr>
            <w:tcW w:w="1226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</w:tr>
      <w:tr w:rsidR="00366E76">
        <w:tc>
          <w:tcPr>
            <w:tcW w:w="567" w:type="dxa"/>
          </w:tcPr>
          <w:p w:rsidR="00366E76" w:rsidRDefault="00366E76">
            <w:pPr>
              <w:pStyle w:val="ConsPlusNormal"/>
            </w:pPr>
            <w:r>
              <w:t>2.</w:t>
            </w:r>
          </w:p>
        </w:tc>
        <w:tc>
          <w:tcPr>
            <w:tcW w:w="2438" w:type="dxa"/>
          </w:tcPr>
          <w:p w:rsidR="00366E76" w:rsidRDefault="00366E76">
            <w:pPr>
              <w:pStyle w:val="ConsPlusNormal"/>
            </w:pPr>
            <w: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муниципальных общеобразовательных организаций</w:t>
            </w:r>
          </w:p>
        </w:tc>
        <w:tc>
          <w:tcPr>
            <w:tcW w:w="1061" w:type="dxa"/>
          </w:tcPr>
          <w:p w:rsidR="00366E76" w:rsidRDefault="00366E76">
            <w:pPr>
              <w:pStyle w:val="ConsPlusNormal"/>
            </w:pPr>
            <w:r>
              <w:t>ОМСУ</w:t>
            </w:r>
          </w:p>
          <w:p w:rsidR="00366E76" w:rsidRDefault="00366E76">
            <w:pPr>
              <w:pStyle w:val="ConsPlusNormal"/>
            </w:pPr>
            <w:r>
              <w:t>&lt;*&gt;</w:t>
            </w:r>
          </w:p>
        </w:tc>
        <w:tc>
          <w:tcPr>
            <w:tcW w:w="1033" w:type="dxa"/>
          </w:tcPr>
          <w:p w:rsidR="00366E76" w:rsidRDefault="00366E76">
            <w:pPr>
              <w:pStyle w:val="ConsPlusNormal"/>
            </w:pPr>
            <w:r>
              <w:t>процент</w:t>
            </w:r>
          </w:p>
        </w:tc>
        <w:tc>
          <w:tcPr>
            <w:tcW w:w="74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770" w:type="dxa"/>
          </w:tcPr>
          <w:p w:rsidR="00366E76" w:rsidRDefault="00366E76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2324" w:type="dxa"/>
          </w:tcPr>
          <w:p w:rsidR="00366E76" w:rsidRDefault="00366E76">
            <w:pPr>
              <w:pStyle w:val="ConsPlusNormal"/>
            </w:pPr>
            <w:hyperlink r:id="rId25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28.04.2008 N 607 "Об оценке эффективности деятельности органов местного самоуправления муниципальных, городских округов </w:t>
            </w:r>
            <w:r>
              <w:lastRenderedPageBreak/>
              <w:t>и муниципальных районов"</w:t>
            </w:r>
          </w:p>
        </w:tc>
        <w:tc>
          <w:tcPr>
            <w:tcW w:w="1757" w:type="dxa"/>
          </w:tcPr>
          <w:p w:rsidR="00366E76" w:rsidRDefault="00366E76">
            <w:pPr>
              <w:pStyle w:val="ConsPlusNormal"/>
            </w:pPr>
            <w:r>
              <w:lastRenderedPageBreak/>
              <w:t>комитет по образованию, подведомственные учреждения</w:t>
            </w:r>
          </w:p>
        </w:tc>
        <w:tc>
          <w:tcPr>
            <w:tcW w:w="1226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</w:tr>
      <w:tr w:rsidR="00366E76">
        <w:tc>
          <w:tcPr>
            <w:tcW w:w="567" w:type="dxa"/>
          </w:tcPr>
          <w:p w:rsidR="00366E76" w:rsidRDefault="00366E76">
            <w:pPr>
              <w:pStyle w:val="ConsPlusNormal"/>
            </w:pPr>
            <w:r>
              <w:t>3.</w:t>
            </w:r>
          </w:p>
        </w:tc>
        <w:tc>
          <w:tcPr>
            <w:tcW w:w="2438" w:type="dxa"/>
          </w:tcPr>
          <w:p w:rsidR="00366E76" w:rsidRDefault="00366E76">
            <w:pPr>
              <w:pStyle w:val="ConsPlusNormal"/>
            </w:pPr>
            <w:r>
              <w:t>Численность населения в возрасте 15 - 21 года, охваченного образованием</w:t>
            </w:r>
          </w:p>
        </w:tc>
        <w:tc>
          <w:tcPr>
            <w:tcW w:w="1061" w:type="dxa"/>
          </w:tcPr>
          <w:p w:rsidR="00366E76" w:rsidRDefault="00366E76">
            <w:pPr>
              <w:pStyle w:val="ConsPlusNormal"/>
            </w:pPr>
            <w:r>
              <w:t>ГП</w:t>
            </w:r>
          </w:p>
          <w:p w:rsidR="00366E76" w:rsidRDefault="00366E76">
            <w:pPr>
              <w:pStyle w:val="ConsPlusNormal"/>
            </w:pPr>
            <w:r>
              <w:t>&lt;**&gt;</w:t>
            </w:r>
          </w:p>
        </w:tc>
        <w:tc>
          <w:tcPr>
            <w:tcW w:w="1033" w:type="dxa"/>
          </w:tcPr>
          <w:p w:rsidR="00366E76" w:rsidRDefault="00366E76">
            <w:pPr>
              <w:pStyle w:val="ConsPlusNormal"/>
            </w:pPr>
            <w:r>
              <w:t>человек</w:t>
            </w:r>
          </w:p>
        </w:tc>
        <w:tc>
          <w:tcPr>
            <w:tcW w:w="747" w:type="dxa"/>
          </w:tcPr>
          <w:p w:rsidR="00366E76" w:rsidRDefault="00366E76">
            <w:pPr>
              <w:pStyle w:val="ConsPlusNormal"/>
            </w:pPr>
            <w:r>
              <w:t>352</w:t>
            </w:r>
          </w:p>
        </w:tc>
        <w:tc>
          <w:tcPr>
            <w:tcW w:w="770" w:type="dxa"/>
          </w:tcPr>
          <w:p w:rsidR="00366E76" w:rsidRDefault="00366E76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352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352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352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352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352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352</w:t>
            </w:r>
          </w:p>
        </w:tc>
        <w:tc>
          <w:tcPr>
            <w:tcW w:w="2324" w:type="dxa"/>
          </w:tcPr>
          <w:p w:rsidR="00366E76" w:rsidRDefault="00366E76">
            <w:pPr>
              <w:pStyle w:val="ConsPlusNormal"/>
            </w:pP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550-п "О государственной программе Ханты-Мансийского автономного округа - Югры "Развитие образования"</w:t>
            </w:r>
          </w:p>
        </w:tc>
        <w:tc>
          <w:tcPr>
            <w:tcW w:w="1757" w:type="dxa"/>
          </w:tcPr>
          <w:p w:rsidR="00366E76" w:rsidRDefault="00366E76">
            <w:pPr>
              <w:pStyle w:val="ConsPlusNormal"/>
            </w:pPr>
            <w:r>
              <w:t>комитет по образованию, подведомственные учреждения</w:t>
            </w:r>
          </w:p>
        </w:tc>
        <w:tc>
          <w:tcPr>
            <w:tcW w:w="1226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</w:tr>
      <w:tr w:rsidR="00366E76">
        <w:tc>
          <w:tcPr>
            <w:tcW w:w="567" w:type="dxa"/>
          </w:tcPr>
          <w:p w:rsidR="00366E76" w:rsidRDefault="00366E76">
            <w:pPr>
              <w:pStyle w:val="ConsPlusNormal"/>
            </w:pPr>
            <w:r>
              <w:t>4.</w:t>
            </w:r>
          </w:p>
        </w:tc>
        <w:tc>
          <w:tcPr>
            <w:tcW w:w="2438" w:type="dxa"/>
          </w:tcPr>
          <w:p w:rsidR="00366E76" w:rsidRDefault="00366E76">
            <w:pPr>
              <w:pStyle w:val="ConsPlusNormal"/>
            </w:pPr>
            <w:r>
              <w:t>Доля детей в возрасте от 1 до 6 лет, стоящих на учете для определения в муниципальные дошкольные образовательные учреждения, в общей численности детей в возрасте от 1 до 6 лет</w:t>
            </w:r>
          </w:p>
        </w:tc>
        <w:tc>
          <w:tcPr>
            <w:tcW w:w="1061" w:type="dxa"/>
          </w:tcPr>
          <w:p w:rsidR="00366E76" w:rsidRDefault="00366E76">
            <w:pPr>
              <w:pStyle w:val="ConsPlusNormal"/>
            </w:pPr>
            <w:r>
              <w:t>ОМСУ</w:t>
            </w:r>
          </w:p>
          <w:p w:rsidR="00366E76" w:rsidRDefault="00366E76">
            <w:pPr>
              <w:pStyle w:val="ConsPlusNormal"/>
            </w:pPr>
            <w:r>
              <w:t>&lt;*&gt;</w:t>
            </w:r>
          </w:p>
        </w:tc>
        <w:tc>
          <w:tcPr>
            <w:tcW w:w="1033" w:type="dxa"/>
          </w:tcPr>
          <w:p w:rsidR="00366E76" w:rsidRDefault="00366E76">
            <w:pPr>
              <w:pStyle w:val="ConsPlusNormal"/>
            </w:pPr>
            <w:r>
              <w:t>процент</w:t>
            </w:r>
          </w:p>
        </w:tc>
        <w:tc>
          <w:tcPr>
            <w:tcW w:w="74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770" w:type="dxa"/>
          </w:tcPr>
          <w:p w:rsidR="00366E76" w:rsidRDefault="00366E76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2324" w:type="dxa"/>
          </w:tcPr>
          <w:p w:rsidR="00366E76" w:rsidRDefault="00366E76">
            <w:pPr>
              <w:pStyle w:val="ConsPlusNormal"/>
            </w:pPr>
            <w:hyperlink r:id="rId27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28.04.2008 N 607 "Об оценке эффективности деятельности органов местного самоуправления муниципальных, городских округов и муниципальных районов"</w:t>
            </w:r>
          </w:p>
        </w:tc>
        <w:tc>
          <w:tcPr>
            <w:tcW w:w="1757" w:type="dxa"/>
          </w:tcPr>
          <w:p w:rsidR="00366E76" w:rsidRDefault="00366E76">
            <w:pPr>
              <w:pStyle w:val="ConsPlusNormal"/>
            </w:pPr>
            <w:r>
              <w:t>комитет по образованию, подведомственные учреждения</w:t>
            </w:r>
          </w:p>
        </w:tc>
        <w:tc>
          <w:tcPr>
            <w:tcW w:w="1226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</w:tr>
      <w:tr w:rsidR="00366E76">
        <w:tc>
          <w:tcPr>
            <w:tcW w:w="567" w:type="dxa"/>
          </w:tcPr>
          <w:p w:rsidR="00366E76" w:rsidRDefault="00366E76">
            <w:pPr>
              <w:pStyle w:val="ConsPlusNormal"/>
            </w:pPr>
            <w:r>
              <w:t>5.</w:t>
            </w:r>
          </w:p>
        </w:tc>
        <w:tc>
          <w:tcPr>
            <w:tcW w:w="2438" w:type="dxa"/>
          </w:tcPr>
          <w:p w:rsidR="00366E76" w:rsidRDefault="00366E76">
            <w:pPr>
              <w:pStyle w:val="ConsPlusNormal"/>
            </w:pPr>
            <w:r>
              <w:t xml:space="preserve">Доля педагогических </w:t>
            </w:r>
            <w:r>
              <w:lastRenderedPageBreak/>
              <w:t>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061" w:type="dxa"/>
          </w:tcPr>
          <w:p w:rsidR="00366E76" w:rsidRDefault="00366E76">
            <w:pPr>
              <w:pStyle w:val="ConsPlusNormal"/>
            </w:pPr>
            <w:r>
              <w:lastRenderedPageBreak/>
              <w:t>ГП</w:t>
            </w:r>
          </w:p>
          <w:p w:rsidR="00366E76" w:rsidRDefault="00366E76">
            <w:pPr>
              <w:pStyle w:val="ConsPlusNormal"/>
            </w:pPr>
            <w:r>
              <w:lastRenderedPageBreak/>
              <w:t>&lt;**&gt;</w:t>
            </w:r>
          </w:p>
        </w:tc>
        <w:tc>
          <w:tcPr>
            <w:tcW w:w="1033" w:type="dxa"/>
          </w:tcPr>
          <w:p w:rsidR="00366E76" w:rsidRDefault="00366E76">
            <w:pPr>
              <w:pStyle w:val="ConsPlusNormal"/>
            </w:pPr>
            <w:r>
              <w:lastRenderedPageBreak/>
              <w:t>процент</w:t>
            </w:r>
          </w:p>
        </w:tc>
        <w:tc>
          <w:tcPr>
            <w:tcW w:w="747" w:type="dxa"/>
          </w:tcPr>
          <w:p w:rsidR="00366E76" w:rsidRDefault="00366E76">
            <w:pPr>
              <w:pStyle w:val="ConsPlusNormal"/>
            </w:pPr>
            <w:r>
              <w:t>53,8</w:t>
            </w:r>
          </w:p>
        </w:tc>
        <w:tc>
          <w:tcPr>
            <w:tcW w:w="770" w:type="dxa"/>
          </w:tcPr>
          <w:p w:rsidR="00366E76" w:rsidRDefault="00366E76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53,9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54,0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54,3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54,6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54,8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60,0</w:t>
            </w:r>
          </w:p>
        </w:tc>
        <w:tc>
          <w:tcPr>
            <w:tcW w:w="2324" w:type="dxa"/>
          </w:tcPr>
          <w:p w:rsidR="00366E76" w:rsidRDefault="00366E76">
            <w:pPr>
              <w:pStyle w:val="ConsPlusNormal"/>
            </w:pP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Правительства Ханты-Мансийского автономного округа - Югры от 10.11.2023 N 550-п "О государственной программе Ханты-Мансийского автономного округа - Югры "Развитие образования"</w:t>
            </w:r>
          </w:p>
        </w:tc>
        <w:tc>
          <w:tcPr>
            <w:tcW w:w="1757" w:type="dxa"/>
          </w:tcPr>
          <w:p w:rsidR="00366E76" w:rsidRDefault="00366E76">
            <w:pPr>
              <w:pStyle w:val="ConsPlusNormal"/>
            </w:pPr>
            <w:r>
              <w:lastRenderedPageBreak/>
              <w:t xml:space="preserve">комитет по </w:t>
            </w:r>
            <w:r>
              <w:lastRenderedPageBreak/>
              <w:t>образованию, подведомственные учреждения</w:t>
            </w:r>
          </w:p>
        </w:tc>
        <w:tc>
          <w:tcPr>
            <w:tcW w:w="1226" w:type="dxa"/>
          </w:tcPr>
          <w:p w:rsidR="00366E76" w:rsidRDefault="00366E76">
            <w:pPr>
              <w:pStyle w:val="ConsPlusNormal"/>
            </w:pPr>
            <w:r>
              <w:lastRenderedPageBreak/>
              <w:t>-</w:t>
            </w:r>
          </w:p>
        </w:tc>
      </w:tr>
      <w:tr w:rsidR="00366E76">
        <w:tc>
          <w:tcPr>
            <w:tcW w:w="567" w:type="dxa"/>
          </w:tcPr>
          <w:p w:rsidR="00366E76" w:rsidRDefault="00366E76">
            <w:pPr>
              <w:pStyle w:val="ConsPlusNormal"/>
            </w:pPr>
            <w:r>
              <w:t>6.</w:t>
            </w:r>
          </w:p>
        </w:tc>
        <w:tc>
          <w:tcPr>
            <w:tcW w:w="2438" w:type="dxa"/>
          </w:tcPr>
          <w:p w:rsidR="00366E76" w:rsidRDefault="00366E76">
            <w:pPr>
              <w:pStyle w:val="ConsPlusNormal"/>
            </w:pPr>
            <w:r>
              <w:t>Доступность дошкольного образования для детей в возрасте от 1,5 до 3 лет</w:t>
            </w:r>
          </w:p>
        </w:tc>
        <w:tc>
          <w:tcPr>
            <w:tcW w:w="1061" w:type="dxa"/>
          </w:tcPr>
          <w:p w:rsidR="00366E76" w:rsidRDefault="00366E76">
            <w:pPr>
              <w:pStyle w:val="ConsPlusNormal"/>
            </w:pPr>
            <w:r>
              <w:t>ГП</w:t>
            </w:r>
          </w:p>
          <w:p w:rsidR="00366E76" w:rsidRDefault="00366E76">
            <w:pPr>
              <w:pStyle w:val="ConsPlusNormal"/>
            </w:pPr>
            <w:r>
              <w:t>&lt;**&gt;</w:t>
            </w:r>
          </w:p>
        </w:tc>
        <w:tc>
          <w:tcPr>
            <w:tcW w:w="1033" w:type="dxa"/>
          </w:tcPr>
          <w:p w:rsidR="00366E76" w:rsidRDefault="00366E76">
            <w:pPr>
              <w:pStyle w:val="ConsPlusNormal"/>
            </w:pPr>
            <w:r>
              <w:t>процент</w:t>
            </w:r>
          </w:p>
        </w:tc>
        <w:tc>
          <w:tcPr>
            <w:tcW w:w="747" w:type="dxa"/>
          </w:tcPr>
          <w:p w:rsidR="00366E76" w:rsidRDefault="00366E76">
            <w:pPr>
              <w:pStyle w:val="ConsPlusNormal"/>
            </w:pPr>
            <w:r>
              <w:t>100</w:t>
            </w:r>
          </w:p>
        </w:tc>
        <w:tc>
          <w:tcPr>
            <w:tcW w:w="770" w:type="dxa"/>
          </w:tcPr>
          <w:p w:rsidR="00366E76" w:rsidRDefault="00366E76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100</w:t>
            </w:r>
          </w:p>
        </w:tc>
        <w:tc>
          <w:tcPr>
            <w:tcW w:w="2324" w:type="dxa"/>
          </w:tcPr>
          <w:p w:rsidR="00366E76" w:rsidRDefault="00366E76">
            <w:pPr>
              <w:pStyle w:val="ConsPlusNormal"/>
            </w:pPr>
            <w:hyperlink r:id="rId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550-п "О государственной программе Ханты-Мансийского автономного округа - Югры "Развитие образования"</w:t>
            </w:r>
          </w:p>
        </w:tc>
        <w:tc>
          <w:tcPr>
            <w:tcW w:w="1757" w:type="dxa"/>
          </w:tcPr>
          <w:p w:rsidR="00366E76" w:rsidRDefault="00366E76">
            <w:pPr>
              <w:pStyle w:val="ConsPlusNormal"/>
            </w:pPr>
            <w:r>
              <w:t>комитет по образованию, подведомственные учреждения</w:t>
            </w:r>
          </w:p>
        </w:tc>
        <w:tc>
          <w:tcPr>
            <w:tcW w:w="1226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</w:tr>
      <w:tr w:rsidR="00366E76">
        <w:tc>
          <w:tcPr>
            <w:tcW w:w="16345" w:type="dxa"/>
            <w:gridSpan w:val="15"/>
          </w:tcPr>
          <w:p w:rsidR="00366E76" w:rsidRDefault="00366E76">
            <w:pPr>
              <w:pStyle w:val="ConsPlusNormal"/>
            </w:pPr>
            <w:r>
              <w:t>Цель 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366E76">
        <w:tc>
          <w:tcPr>
            <w:tcW w:w="567" w:type="dxa"/>
          </w:tcPr>
          <w:p w:rsidR="00366E76" w:rsidRDefault="00366E76">
            <w:pPr>
              <w:pStyle w:val="ConsPlusNormal"/>
            </w:pPr>
            <w:r>
              <w:t>7.</w:t>
            </w:r>
          </w:p>
        </w:tc>
        <w:tc>
          <w:tcPr>
            <w:tcW w:w="2438" w:type="dxa"/>
          </w:tcPr>
          <w:p w:rsidR="00366E76" w:rsidRDefault="00366E76">
            <w:pPr>
              <w:pStyle w:val="ConsPlusNormal"/>
            </w:pPr>
            <w:r>
              <w:t xml:space="preserve">Доля детей в возрасте </w:t>
            </w:r>
            <w:r>
              <w:lastRenderedPageBreak/>
              <w:t>от 5 до 18 лет, охваченных дополнительным образованием</w:t>
            </w:r>
          </w:p>
        </w:tc>
        <w:tc>
          <w:tcPr>
            <w:tcW w:w="1061" w:type="dxa"/>
          </w:tcPr>
          <w:p w:rsidR="00366E76" w:rsidRDefault="00366E76">
            <w:pPr>
              <w:pStyle w:val="ConsPlusNormal"/>
            </w:pPr>
            <w:r>
              <w:lastRenderedPageBreak/>
              <w:t>ГП</w:t>
            </w:r>
          </w:p>
          <w:p w:rsidR="00366E76" w:rsidRDefault="00366E76">
            <w:pPr>
              <w:pStyle w:val="ConsPlusNormal"/>
            </w:pPr>
            <w:r>
              <w:lastRenderedPageBreak/>
              <w:t>&lt;**&gt;</w:t>
            </w:r>
          </w:p>
        </w:tc>
        <w:tc>
          <w:tcPr>
            <w:tcW w:w="1033" w:type="dxa"/>
          </w:tcPr>
          <w:p w:rsidR="00366E76" w:rsidRDefault="00366E76">
            <w:pPr>
              <w:pStyle w:val="ConsPlusNormal"/>
            </w:pPr>
            <w:r>
              <w:lastRenderedPageBreak/>
              <w:t>процент</w:t>
            </w:r>
          </w:p>
        </w:tc>
        <w:tc>
          <w:tcPr>
            <w:tcW w:w="747" w:type="dxa"/>
          </w:tcPr>
          <w:p w:rsidR="00366E76" w:rsidRDefault="00366E76">
            <w:pPr>
              <w:pStyle w:val="ConsPlusNormal"/>
            </w:pPr>
            <w:r>
              <w:t>87,5</w:t>
            </w:r>
          </w:p>
        </w:tc>
        <w:tc>
          <w:tcPr>
            <w:tcW w:w="770" w:type="dxa"/>
          </w:tcPr>
          <w:p w:rsidR="00366E76" w:rsidRDefault="00366E76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87,7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87,9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88,1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88,5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88,7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89,0</w:t>
            </w:r>
          </w:p>
        </w:tc>
        <w:tc>
          <w:tcPr>
            <w:tcW w:w="2324" w:type="dxa"/>
          </w:tcPr>
          <w:p w:rsidR="00366E76" w:rsidRDefault="00366E76">
            <w:pPr>
              <w:pStyle w:val="ConsPlusNormal"/>
            </w:pPr>
            <w:hyperlink r:id="rId30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Правительства Ханты-Мансийского автономного округа - Югры от 10.11.2023 N 550-п "О государственной программе Ханты-Мансийского автономного округа - Югры "Развитие образования"</w:t>
            </w:r>
          </w:p>
        </w:tc>
        <w:tc>
          <w:tcPr>
            <w:tcW w:w="1757" w:type="dxa"/>
          </w:tcPr>
          <w:p w:rsidR="00366E76" w:rsidRDefault="00366E76">
            <w:pPr>
              <w:pStyle w:val="ConsPlusNormal"/>
            </w:pPr>
            <w:r>
              <w:lastRenderedPageBreak/>
              <w:t xml:space="preserve">комитет по </w:t>
            </w:r>
            <w:r>
              <w:lastRenderedPageBreak/>
              <w:t>образованию, подведомственные учреждения</w:t>
            </w:r>
          </w:p>
        </w:tc>
        <w:tc>
          <w:tcPr>
            <w:tcW w:w="1226" w:type="dxa"/>
          </w:tcPr>
          <w:p w:rsidR="00366E76" w:rsidRDefault="00366E76">
            <w:pPr>
              <w:pStyle w:val="ConsPlusNormal"/>
            </w:pPr>
            <w:r>
              <w:lastRenderedPageBreak/>
              <w:t>-</w:t>
            </w:r>
          </w:p>
        </w:tc>
      </w:tr>
      <w:tr w:rsidR="00366E76">
        <w:tc>
          <w:tcPr>
            <w:tcW w:w="567" w:type="dxa"/>
          </w:tcPr>
          <w:p w:rsidR="00366E76" w:rsidRDefault="00366E76">
            <w:pPr>
              <w:pStyle w:val="ConsPlusNormal"/>
            </w:pPr>
            <w:r>
              <w:t>8.</w:t>
            </w:r>
          </w:p>
        </w:tc>
        <w:tc>
          <w:tcPr>
            <w:tcW w:w="2438" w:type="dxa"/>
          </w:tcPr>
          <w:p w:rsidR="00366E76" w:rsidRDefault="00366E76">
            <w:pPr>
              <w:pStyle w:val="ConsPlusNormal"/>
            </w:pPr>
            <w: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</w:p>
        </w:tc>
        <w:tc>
          <w:tcPr>
            <w:tcW w:w="1061" w:type="dxa"/>
          </w:tcPr>
          <w:p w:rsidR="00366E76" w:rsidRDefault="00366E76">
            <w:pPr>
              <w:pStyle w:val="ConsPlusNormal"/>
            </w:pPr>
            <w:r>
              <w:t>ГП</w:t>
            </w:r>
          </w:p>
          <w:p w:rsidR="00366E76" w:rsidRDefault="00366E76">
            <w:pPr>
              <w:pStyle w:val="ConsPlusNormal"/>
            </w:pPr>
            <w:r>
              <w:t>&lt;**&gt;</w:t>
            </w:r>
          </w:p>
        </w:tc>
        <w:tc>
          <w:tcPr>
            <w:tcW w:w="1033" w:type="dxa"/>
          </w:tcPr>
          <w:p w:rsidR="00366E76" w:rsidRDefault="00366E76">
            <w:pPr>
              <w:pStyle w:val="ConsPlusNormal"/>
            </w:pPr>
            <w:r>
              <w:t>процент</w:t>
            </w:r>
          </w:p>
        </w:tc>
        <w:tc>
          <w:tcPr>
            <w:tcW w:w="747" w:type="dxa"/>
          </w:tcPr>
          <w:p w:rsidR="00366E76" w:rsidRDefault="00366E76">
            <w:pPr>
              <w:pStyle w:val="ConsPlusNormal"/>
            </w:pPr>
            <w:r>
              <w:t>30</w:t>
            </w:r>
          </w:p>
        </w:tc>
        <w:tc>
          <w:tcPr>
            <w:tcW w:w="770" w:type="dxa"/>
          </w:tcPr>
          <w:p w:rsidR="00366E76" w:rsidRDefault="00366E76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32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34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34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34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35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35</w:t>
            </w:r>
          </w:p>
        </w:tc>
        <w:tc>
          <w:tcPr>
            <w:tcW w:w="2324" w:type="dxa"/>
          </w:tcPr>
          <w:p w:rsidR="00366E76" w:rsidRDefault="00366E76">
            <w:pPr>
              <w:pStyle w:val="ConsPlusNormal"/>
            </w:pPr>
            <w:hyperlink r:id="rId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550-п "О государственной программе Ханты-Мансийского автономного округа - Югры "Развитие образования"</w:t>
            </w:r>
          </w:p>
        </w:tc>
        <w:tc>
          <w:tcPr>
            <w:tcW w:w="1757" w:type="dxa"/>
          </w:tcPr>
          <w:p w:rsidR="00366E76" w:rsidRDefault="00366E76">
            <w:pPr>
              <w:pStyle w:val="ConsPlusNormal"/>
            </w:pPr>
            <w:r>
              <w:t>комитет по образованию, подведомственные учреждения</w:t>
            </w:r>
          </w:p>
        </w:tc>
        <w:tc>
          <w:tcPr>
            <w:tcW w:w="1226" w:type="dxa"/>
          </w:tcPr>
          <w:p w:rsidR="00366E76" w:rsidRDefault="00366E76">
            <w:pPr>
              <w:pStyle w:val="ConsPlusNormal"/>
            </w:pPr>
          </w:p>
        </w:tc>
      </w:tr>
      <w:tr w:rsidR="00366E76">
        <w:tc>
          <w:tcPr>
            <w:tcW w:w="567" w:type="dxa"/>
          </w:tcPr>
          <w:p w:rsidR="00366E76" w:rsidRDefault="00366E76">
            <w:pPr>
              <w:pStyle w:val="ConsPlusNormal"/>
            </w:pPr>
            <w:r>
              <w:t>9.</w:t>
            </w:r>
          </w:p>
        </w:tc>
        <w:tc>
          <w:tcPr>
            <w:tcW w:w="2438" w:type="dxa"/>
          </w:tcPr>
          <w:p w:rsidR="00366E76" w:rsidRDefault="00366E76">
            <w:pPr>
              <w:pStyle w:val="ConsPlusNormal"/>
            </w:pPr>
            <w:r>
              <w:t xml:space="preserve">Доля выпускников 11 классов в местах </w:t>
            </w:r>
            <w:r>
              <w:lastRenderedPageBreak/>
              <w:t>традиционного проживания и традиционной хозяйственной деятельности коренных малочисленных народов Севера, продолживших обучение в профессиональных образовательных организациях или образовательных организациях высшего образования</w:t>
            </w:r>
          </w:p>
        </w:tc>
        <w:tc>
          <w:tcPr>
            <w:tcW w:w="1061" w:type="dxa"/>
          </w:tcPr>
          <w:p w:rsidR="00366E76" w:rsidRDefault="00366E76">
            <w:pPr>
              <w:pStyle w:val="ConsPlusNormal"/>
            </w:pPr>
            <w:r>
              <w:lastRenderedPageBreak/>
              <w:t>МП</w:t>
            </w:r>
          </w:p>
          <w:p w:rsidR="00366E76" w:rsidRDefault="00366E76">
            <w:pPr>
              <w:pStyle w:val="ConsPlusNormal"/>
            </w:pPr>
            <w:r>
              <w:t>&lt;***&gt;</w:t>
            </w:r>
          </w:p>
        </w:tc>
        <w:tc>
          <w:tcPr>
            <w:tcW w:w="1033" w:type="dxa"/>
          </w:tcPr>
          <w:p w:rsidR="00366E76" w:rsidRDefault="00366E76">
            <w:pPr>
              <w:pStyle w:val="ConsPlusNormal"/>
            </w:pPr>
            <w:r>
              <w:t>процент</w:t>
            </w:r>
          </w:p>
        </w:tc>
        <w:tc>
          <w:tcPr>
            <w:tcW w:w="747" w:type="dxa"/>
          </w:tcPr>
          <w:p w:rsidR="00366E76" w:rsidRDefault="00366E76">
            <w:pPr>
              <w:pStyle w:val="ConsPlusNormal"/>
            </w:pPr>
            <w:r>
              <w:t>90</w:t>
            </w:r>
          </w:p>
        </w:tc>
        <w:tc>
          <w:tcPr>
            <w:tcW w:w="770" w:type="dxa"/>
          </w:tcPr>
          <w:p w:rsidR="00366E76" w:rsidRDefault="00366E76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90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90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90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90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90</w:t>
            </w:r>
          </w:p>
        </w:tc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90</w:t>
            </w:r>
          </w:p>
        </w:tc>
        <w:tc>
          <w:tcPr>
            <w:tcW w:w="2324" w:type="dxa"/>
          </w:tcPr>
          <w:p w:rsidR="00366E76" w:rsidRDefault="00366E76">
            <w:pPr>
              <w:pStyle w:val="ConsPlusNormal"/>
            </w:pPr>
            <w:r>
              <w:t xml:space="preserve">протокол N 2 заседания Совета </w:t>
            </w:r>
            <w:r>
              <w:lastRenderedPageBreak/>
              <w:t>представителей коренных малочисленных народов Севера Ханты-Мансийского автономного округа - Югры при Правительстве Ханты-Мансийского автономного округа - Югры от 29.12.2022</w:t>
            </w:r>
          </w:p>
        </w:tc>
        <w:tc>
          <w:tcPr>
            <w:tcW w:w="1757" w:type="dxa"/>
          </w:tcPr>
          <w:p w:rsidR="00366E76" w:rsidRDefault="00366E76">
            <w:pPr>
              <w:pStyle w:val="ConsPlusNormal"/>
            </w:pPr>
            <w:r>
              <w:lastRenderedPageBreak/>
              <w:t xml:space="preserve">комитет по образованию, </w:t>
            </w:r>
            <w:r>
              <w:lastRenderedPageBreak/>
              <w:t>подведомственные учреждения</w:t>
            </w:r>
          </w:p>
        </w:tc>
        <w:tc>
          <w:tcPr>
            <w:tcW w:w="1226" w:type="dxa"/>
          </w:tcPr>
          <w:p w:rsidR="00366E76" w:rsidRDefault="00366E76">
            <w:pPr>
              <w:pStyle w:val="ConsPlusNormal"/>
            </w:pPr>
          </w:p>
        </w:tc>
      </w:tr>
    </w:tbl>
    <w:p w:rsidR="00366E76" w:rsidRDefault="00366E76">
      <w:pPr>
        <w:pStyle w:val="ConsPlusNormal"/>
        <w:ind w:firstLine="540"/>
        <w:jc w:val="both"/>
      </w:pPr>
    </w:p>
    <w:p w:rsidR="00366E76" w:rsidRDefault="00366E76">
      <w:pPr>
        <w:pStyle w:val="ConsPlusNormal"/>
        <w:ind w:firstLine="540"/>
        <w:jc w:val="both"/>
      </w:pPr>
      <w:r>
        <w:t>--------------------------------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>&lt;*&gt; показатель для оценки эффективности деятельности органов местного самоуправления городских округов и муниципальных районов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>&lt;**&gt; государственная программа Ханты-Мансийского автономного округа - Югры</w:t>
      </w:r>
    </w:p>
    <w:p w:rsidR="00366E76" w:rsidRDefault="00366E76">
      <w:pPr>
        <w:pStyle w:val="ConsPlusNormal"/>
        <w:spacing w:before="220"/>
        <w:ind w:firstLine="540"/>
        <w:jc w:val="both"/>
      </w:pPr>
      <w:r>
        <w:t>&lt;***&gt; муниципальная программа Ханты-Мансийского района.</w:t>
      </w:r>
    </w:p>
    <w:p w:rsidR="00366E76" w:rsidRDefault="00366E76">
      <w:pPr>
        <w:pStyle w:val="ConsPlusNormal"/>
        <w:ind w:firstLine="540"/>
        <w:jc w:val="both"/>
      </w:pPr>
    </w:p>
    <w:p w:rsidR="00366E76" w:rsidRDefault="00366E76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366E76" w:rsidRDefault="00366E76">
      <w:pPr>
        <w:pStyle w:val="ConsPlusTitle"/>
        <w:jc w:val="center"/>
      </w:pPr>
      <w:r>
        <w:t>программы в 2025 году</w:t>
      </w:r>
    </w:p>
    <w:p w:rsidR="00366E76" w:rsidRDefault="00366E7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376"/>
        <w:gridCol w:w="1134"/>
        <w:gridCol w:w="1242"/>
        <w:gridCol w:w="660"/>
        <w:gridCol w:w="674"/>
        <w:gridCol w:w="705"/>
        <w:gridCol w:w="660"/>
        <w:gridCol w:w="643"/>
        <w:gridCol w:w="757"/>
        <w:gridCol w:w="749"/>
        <w:gridCol w:w="638"/>
        <w:gridCol w:w="663"/>
        <w:gridCol w:w="653"/>
        <w:gridCol w:w="667"/>
        <w:gridCol w:w="907"/>
      </w:tblGrid>
      <w:tr w:rsidR="00366E76">
        <w:tc>
          <w:tcPr>
            <w:tcW w:w="680" w:type="dxa"/>
            <w:vMerge w:val="restart"/>
          </w:tcPr>
          <w:p w:rsidR="00366E76" w:rsidRDefault="00366E7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76" w:type="dxa"/>
            <w:vMerge w:val="restart"/>
          </w:tcPr>
          <w:p w:rsidR="00366E76" w:rsidRDefault="00366E7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366E76" w:rsidRDefault="00366E76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42" w:type="dxa"/>
            <w:vMerge w:val="restart"/>
          </w:tcPr>
          <w:p w:rsidR="00366E76" w:rsidRDefault="00366E76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469" w:type="dxa"/>
            <w:gridSpan w:val="11"/>
          </w:tcPr>
          <w:p w:rsidR="00366E76" w:rsidRDefault="00366E76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907" w:type="dxa"/>
            <w:vMerge w:val="restart"/>
          </w:tcPr>
          <w:p w:rsidR="00366E76" w:rsidRDefault="00366E76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366E76">
        <w:tc>
          <w:tcPr>
            <w:tcW w:w="680" w:type="dxa"/>
            <w:vMerge/>
          </w:tcPr>
          <w:p w:rsidR="00366E76" w:rsidRDefault="00366E76">
            <w:pPr>
              <w:pStyle w:val="ConsPlusNormal"/>
            </w:pPr>
          </w:p>
        </w:tc>
        <w:tc>
          <w:tcPr>
            <w:tcW w:w="2376" w:type="dxa"/>
            <w:vMerge/>
          </w:tcPr>
          <w:p w:rsidR="00366E76" w:rsidRDefault="00366E76">
            <w:pPr>
              <w:pStyle w:val="ConsPlusNormal"/>
            </w:pPr>
          </w:p>
        </w:tc>
        <w:tc>
          <w:tcPr>
            <w:tcW w:w="1134" w:type="dxa"/>
            <w:vMerge/>
          </w:tcPr>
          <w:p w:rsidR="00366E76" w:rsidRDefault="00366E76">
            <w:pPr>
              <w:pStyle w:val="ConsPlusNormal"/>
            </w:pPr>
          </w:p>
        </w:tc>
        <w:tc>
          <w:tcPr>
            <w:tcW w:w="1242" w:type="dxa"/>
            <w:vMerge/>
          </w:tcPr>
          <w:p w:rsidR="00366E76" w:rsidRDefault="00366E76">
            <w:pPr>
              <w:pStyle w:val="ConsPlusNormal"/>
            </w:pPr>
          </w:p>
        </w:tc>
        <w:tc>
          <w:tcPr>
            <w:tcW w:w="660" w:type="dxa"/>
          </w:tcPr>
          <w:p w:rsidR="00366E76" w:rsidRDefault="00366E76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74" w:type="dxa"/>
          </w:tcPr>
          <w:p w:rsidR="00366E76" w:rsidRDefault="00366E76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05" w:type="dxa"/>
          </w:tcPr>
          <w:p w:rsidR="00366E76" w:rsidRDefault="00366E76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643" w:type="dxa"/>
          </w:tcPr>
          <w:p w:rsidR="00366E76" w:rsidRDefault="00366E76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57" w:type="dxa"/>
          </w:tcPr>
          <w:p w:rsidR="00366E76" w:rsidRDefault="00366E76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49" w:type="dxa"/>
          </w:tcPr>
          <w:p w:rsidR="00366E76" w:rsidRDefault="00366E76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38" w:type="dxa"/>
          </w:tcPr>
          <w:p w:rsidR="00366E76" w:rsidRDefault="00366E76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63" w:type="dxa"/>
          </w:tcPr>
          <w:p w:rsidR="00366E76" w:rsidRDefault="00366E76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53" w:type="dxa"/>
          </w:tcPr>
          <w:p w:rsidR="00366E76" w:rsidRDefault="00366E76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67" w:type="dxa"/>
          </w:tcPr>
          <w:p w:rsidR="00366E76" w:rsidRDefault="00366E76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907" w:type="dxa"/>
            <w:vMerge/>
          </w:tcPr>
          <w:p w:rsidR="00366E76" w:rsidRDefault="00366E76">
            <w:pPr>
              <w:pStyle w:val="ConsPlusNormal"/>
            </w:pPr>
          </w:p>
        </w:tc>
      </w:tr>
      <w:tr w:rsidR="00366E76">
        <w:tc>
          <w:tcPr>
            <w:tcW w:w="680" w:type="dxa"/>
          </w:tcPr>
          <w:p w:rsidR="00366E76" w:rsidRDefault="00366E7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76" w:type="dxa"/>
          </w:tcPr>
          <w:p w:rsidR="00366E76" w:rsidRDefault="00366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66E76" w:rsidRDefault="00366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2" w:type="dxa"/>
          </w:tcPr>
          <w:p w:rsidR="00366E76" w:rsidRDefault="00366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" w:type="dxa"/>
          </w:tcPr>
          <w:p w:rsidR="00366E76" w:rsidRDefault="00366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5" w:type="dxa"/>
          </w:tcPr>
          <w:p w:rsidR="00366E76" w:rsidRDefault="00366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43" w:type="dxa"/>
          </w:tcPr>
          <w:p w:rsidR="00366E76" w:rsidRDefault="00366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57" w:type="dxa"/>
          </w:tcPr>
          <w:p w:rsidR="00366E76" w:rsidRDefault="00366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49" w:type="dxa"/>
          </w:tcPr>
          <w:p w:rsidR="00366E76" w:rsidRDefault="00366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8" w:type="dxa"/>
          </w:tcPr>
          <w:p w:rsidR="00366E76" w:rsidRDefault="00366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3" w:type="dxa"/>
          </w:tcPr>
          <w:p w:rsidR="00366E76" w:rsidRDefault="00366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53" w:type="dxa"/>
          </w:tcPr>
          <w:p w:rsidR="00366E76" w:rsidRDefault="00366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67" w:type="dxa"/>
          </w:tcPr>
          <w:p w:rsidR="00366E76" w:rsidRDefault="00366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</w:tcPr>
          <w:p w:rsidR="00366E76" w:rsidRDefault="00366E76">
            <w:pPr>
              <w:pStyle w:val="ConsPlusNormal"/>
              <w:jc w:val="center"/>
            </w:pPr>
            <w:r>
              <w:t>16</w:t>
            </w:r>
          </w:p>
        </w:tc>
      </w:tr>
      <w:tr w:rsidR="00366E76">
        <w:tc>
          <w:tcPr>
            <w:tcW w:w="680" w:type="dxa"/>
          </w:tcPr>
          <w:p w:rsidR="00366E76" w:rsidRDefault="00366E76">
            <w:pPr>
              <w:pStyle w:val="ConsPlusNormal"/>
            </w:pPr>
            <w:r>
              <w:t>1.</w:t>
            </w:r>
          </w:p>
        </w:tc>
        <w:tc>
          <w:tcPr>
            <w:tcW w:w="13128" w:type="dxa"/>
            <w:gridSpan w:val="15"/>
          </w:tcPr>
          <w:p w:rsidR="00366E76" w:rsidRDefault="00366E76">
            <w:pPr>
              <w:pStyle w:val="ConsPlusNormal"/>
            </w:pPr>
            <w:r>
              <w:t>Цель 1. Обеспечение доступности качественного образования, соответствующего современным потребностям общества и каждого жителя района</w:t>
            </w:r>
          </w:p>
        </w:tc>
      </w:tr>
      <w:tr w:rsidR="00366E76">
        <w:tc>
          <w:tcPr>
            <w:tcW w:w="680" w:type="dxa"/>
          </w:tcPr>
          <w:p w:rsidR="00366E76" w:rsidRDefault="00366E76">
            <w:pPr>
              <w:pStyle w:val="ConsPlusNormal"/>
            </w:pPr>
            <w:r>
              <w:t>1.1.</w:t>
            </w:r>
          </w:p>
        </w:tc>
        <w:tc>
          <w:tcPr>
            <w:tcW w:w="2376" w:type="dxa"/>
          </w:tcPr>
          <w:p w:rsidR="00366E76" w:rsidRDefault="00366E76">
            <w:pPr>
              <w:pStyle w:val="ConsPlusNormal"/>
            </w:pPr>
            <w: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134" w:type="dxa"/>
          </w:tcPr>
          <w:p w:rsidR="00366E76" w:rsidRDefault="00366E76">
            <w:pPr>
              <w:pStyle w:val="ConsPlusNormal"/>
            </w:pPr>
            <w:r>
              <w:t>ОМСУ</w:t>
            </w:r>
          </w:p>
        </w:tc>
        <w:tc>
          <w:tcPr>
            <w:tcW w:w="1242" w:type="dxa"/>
          </w:tcPr>
          <w:p w:rsidR="00366E76" w:rsidRDefault="00366E76">
            <w:pPr>
              <w:pStyle w:val="ConsPlusNormal"/>
            </w:pPr>
            <w:r>
              <w:t>проценты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74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05" w:type="dxa"/>
          </w:tcPr>
          <w:p w:rsidR="00366E76" w:rsidRDefault="00366E76">
            <w:pPr>
              <w:pStyle w:val="ConsPlusNormal"/>
            </w:pPr>
            <w:r>
              <w:t>96,1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4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57" w:type="dxa"/>
          </w:tcPr>
          <w:p w:rsidR="00366E76" w:rsidRDefault="00366E76">
            <w:pPr>
              <w:pStyle w:val="ConsPlusNormal"/>
            </w:pPr>
            <w:r>
              <w:t>96,1</w:t>
            </w:r>
          </w:p>
        </w:tc>
        <w:tc>
          <w:tcPr>
            <w:tcW w:w="749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38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3" w:type="dxa"/>
          </w:tcPr>
          <w:p w:rsidR="00366E76" w:rsidRDefault="00366E76">
            <w:pPr>
              <w:pStyle w:val="ConsPlusNormal"/>
            </w:pPr>
            <w:r>
              <w:t>96,1</w:t>
            </w:r>
          </w:p>
        </w:tc>
        <w:tc>
          <w:tcPr>
            <w:tcW w:w="65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7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366E76" w:rsidRDefault="00366E76">
            <w:pPr>
              <w:pStyle w:val="ConsPlusNormal"/>
            </w:pPr>
            <w:r>
              <w:t>96,1</w:t>
            </w:r>
          </w:p>
        </w:tc>
      </w:tr>
      <w:tr w:rsidR="00366E76">
        <w:tc>
          <w:tcPr>
            <w:tcW w:w="680" w:type="dxa"/>
          </w:tcPr>
          <w:p w:rsidR="00366E76" w:rsidRDefault="00366E76">
            <w:pPr>
              <w:pStyle w:val="ConsPlusNormal"/>
            </w:pPr>
            <w:r>
              <w:t>1.2.</w:t>
            </w:r>
          </w:p>
        </w:tc>
        <w:tc>
          <w:tcPr>
            <w:tcW w:w="2376" w:type="dxa"/>
          </w:tcPr>
          <w:p w:rsidR="00366E76" w:rsidRDefault="00366E76">
            <w:pPr>
              <w:pStyle w:val="ConsPlusNormal"/>
            </w:pPr>
            <w: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муниципальных общеобразовательных организаций</w:t>
            </w:r>
          </w:p>
        </w:tc>
        <w:tc>
          <w:tcPr>
            <w:tcW w:w="1134" w:type="dxa"/>
          </w:tcPr>
          <w:p w:rsidR="00366E76" w:rsidRDefault="00366E76">
            <w:pPr>
              <w:pStyle w:val="ConsPlusNormal"/>
            </w:pPr>
            <w:r>
              <w:t>ОМСУ</w:t>
            </w:r>
          </w:p>
        </w:tc>
        <w:tc>
          <w:tcPr>
            <w:tcW w:w="1242" w:type="dxa"/>
          </w:tcPr>
          <w:p w:rsidR="00366E76" w:rsidRDefault="00366E76">
            <w:pPr>
              <w:pStyle w:val="ConsPlusNormal"/>
            </w:pPr>
            <w:r>
              <w:t>процент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74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05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4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5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749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38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3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65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7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</w:tr>
      <w:tr w:rsidR="00366E76">
        <w:tc>
          <w:tcPr>
            <w:tcW w:w="680" w:type="dxa"/>
          </w:tcPr>
          <w:p w:rsidR="00366E76" w:rsidRDefault="00366E76">
            <w:pPr>
              <w:pStyle w:val="ConsPlusNormal"/>
            </w:pPr>
            <w:r>
              <w:t>1.3.</w:t>
            </w:r>
          </w:p>
        </w:tc>
        <w:tc>
          <w:tcPr>
            <w:tcW w:w="2376" w:type="dxa"/>
          </w:tcPr>
          <w:p w:rsidR="00366E76" w:rsidRDefault="00366E76">
            <w:pPr>
              <w:pStyle w:val="ConsPlusNormal"/>
            </w:pPr>
            <w:r>
              <w:t>Численность населения в возрасте 15 - 21 года, охваченного образованием</w:t>
            </w:r>
          </w:p>
        </w:tc>
        <w:tc>
          <w:tcPr>
            <w:tcW w:w="1134" w:type="dxa"/>
          </w:tcPr>
          <w:p w:rsidR="00366E76" w:rsidRDefault="00366E76">
            <w:pPr>
              <w:pStyle w:val="ConsPlusNormal"/>
            </w:pPr>
            <w:r>
              <w:t>ГП</w:t>
            </w:r>
          </w:p>
        </w:tc>
        <w:tc>
          <w:tcPr>
            <w:tcW w:w="1242" w:type="dxa"/>
          </w:tcPr>
          <w:p w:rsidR="00366E76" w:rsidRDefault="00366E76">
            <w:pPr>
              <w:pStyle w:val="ConsPlusNormal"/>
            </w:pPr>
            <w:r>
              <w:t>человек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74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05" w:type="dxa"/>
          </w:tcPr>
          <w:p w:rsidR="00366E76" w:rsidRDefault="00366E76">
            <w:pPr>
              <w:pStyle w:val="ConsPlusNormal"/>
            </w:pPr>
            <w:r>
              <w:t>352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4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57" w:type="dxa"/>
          </w:tcPr>
          <w:p w:rsidR="00366E76" w:rsidRDefault="00366E76">
            <w:pPr>
              <w:pStyle w:val="ConsPlusNormal"/>
            </w:pPr>
            <w:r>
              <w:t>352</w:t>
            </w:r>
          </w:p>
        </w:tc>
        <w:tc>
          <w:tcPr>
            <w:tcW w:w="749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38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3" w:type="dxa"/>
          </w:tcPr>
          <w:p w:rsidR="00366E76" w:rsidRDefault="00366E76">
            <w:pPr>
              <w:pStyle w:val="ConsPlusNormal"/>
            </w:pPr>
            <w:r>
              <w:t>352</w:t>
            </w:r>
          </w:p>
        </w:tc>
        <w:tc>
          <w:tcPr>
            <w:tcW w:w="65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7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366E76" w:rsidRDefault="00366E76">
            <w:pPr>
              <w:pStyle w:val="ConsPlusNormal"/>
            </w:pPr>
            <w:r>
              <w:t>352</w:t>
            </w:r>
          </w:p>
        </w:tc>
      </w:tr>
      <w:tr w:rsidR="00366E76">
        <w:tc>
          <w:tcPr>
            <w:tcW w:w="680" w:type="dxa"/>
          </w:tcPr>
          <w:p w:rsidR="00366E76" w:rsidRDefault="00366E76">
            <w:pPr>
              <w:pStyle w:val="ConsPlusNormal"/>
            </w:pPr>
            <w:r>
              <w:t>1.4.</w:t>
            </w:r>
          </w:p>
        </w:tc>
        <w:tc>
          <w:tcPr>
            <w:tcW w:w="2376" w:type="dxa"/>
          </w:tcPr>
          <w:p w:rsidR="00366E76" w:rsidRDefault="00366E76">
            <w:pPr>
              <w:pStyle w:val="ConsPlusNormal"/>
            </w:pPr>
            <w:r>
              <w:t xml:space="preserve">Доля детей в возрасте от 1 до 6 лет, стоящих </w:t>
            </w:r>
            <w:r>
              <w:lastRenderedPageBreak/>
              <w:t>на учете для определения в муниципальные дошкольные образовательные учреждения, в общей численности детей в возрасте от 1 до 6 лет</w:t>
            </w:r>
          </w:p>
        </w:tc>
        <w:tc>
          <w:tcPr>
            <w:tcW w:w="1134" w:type="dxa"/>
          </w:tcPr>
          <w:p w:rsidR="00366E76" w:rsidRDefault="00366E76">
            <w:pPr>
              <w:pStyle w:val="ConsPlusNormal"/>
            </w:pPr>
            <w:r>
              <w:lastRenderedPageBreak/>
              <w:t>ОМСУ</w:t>
            </w:r>
          </w:p>
        </w:tc>
        <w:tc>
          <w:tcPr>
            <w:tcW w:w="1242" w:type="dxa"/>
          </w:tcPr>
          <w:p w:rsidR="00366E76" w:rsidRDefault="00366E76">
            <w:pPr>
              <w:pStyle w:val="ConsPlusNormal"/>
            </w:pPr>
            <w:r>
              <w:t>процент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74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05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4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5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749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38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3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65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7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</w:tr>
      <w:tr w:rsidR="00366E76">
        <w:tc>
          <w:tcPr>
            <w:tcW w:w="680" w:type="dxa"/>
          </w:tcPr>
          <w:p w:rsidR="00366E76" w:rsidRDefault="00366E76">
            <w:pPr>
              <w:pStyle w:val="ConsPlusNormal"/>
            </w:pPr>
            <w:r>
              <w:t>1.5.</w:t>
            </w:r>
          </w:p>
        </w:tc>
        <w:tc>
          <w:tcPr>
            <w:tcW w:w="2376" w:type="dxa"/>
          </w:tcPr>
          <w:p w:rsidR="00366E76" w:rsidRDefault="00366E76">
            <w:pPr>
              <w:pStyle w:val="ConsPlusNormal"/>
            </w:pPr>
            <w: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134" w:type="dxa"/>
          </w:tcPr>
          <w:p w:rsidR="00366E76" w:rsidRDefault="00366E76">
            <w:pPr>
              <w:pStyle w:val="ConsPlusNormal"/>
            </w:pPr>
            <w:r>
              <w:t>ГП</w:t>
            </w:r>
          </w:p>
        </w:tc>
        <w:tc>
          <w:tcPr>
            <w:tcW w:w="1242" w:type="dxa"/>
          </w:tcPr>
          <w:p w:rsidR="00366E76" w:rsidRDefault="00366E76">
            <w:pPr>
              <w:pStyle w:val="ConsPlusNormal"/>
            </w:pPr>
            <w:r>
              <w:t>процент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74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05" w:type="dxa"/>
          </w:tcPr>
          <w:p w:rsidR="00366E76" w:rsidRDefault="00366E76">
            <w:pPr>
              <w:pStyle w:val="ConsPlusNormal"/>
            </w:pPr>
            <w:r>
              <w:t>53,9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4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57" w:type="dxa"/>
          </w:tcPr>
          <w:p w:rsidR="00366E76" w:rsidRDefault="00366E76">
            <w:pPr>
              <w:pStyle w:val="ConsPlusNormal"/>
            </w:pPr>
            <w:r>
              <w:t>53,9</w:t>
            </w:r>
          </w:p>
        </w:tc>
        <w:tc>
          <w:tcPr>
            <w:tcW w:w="749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38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3" w:type="dxa"/>
          </w:tcPr>
          <w:p w:rsidR="00366E76" w:rsidRDefault="00366E76">
            <w:pPr>
              <w:pStyle w:val="ConsPlusNormal"/>
            </w:pPr>
            <w:r>
              <w:t>53,9</w:t>
            </w:r>
          </w:p>
        </w:tc>
        <w:tc>
          <w:tcPr>
            <w:tcW w:w="65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7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366E76" w:rsidRDefault="00366E76">
            <w:pPr>
              <w:pStyle w:val="ConsPlusNormal"/>
            </w:pPr>
            <w:r>
              <w:t>53,9</w:t>
            </w:r>
          </w:p>
        </w:tc>
      </w:tr>
      <w:tr w:rsidR="00366E76">
        <w:tc>
          <w:tcPr>
            <w:tcW w:w="680" w:type="dxa"/>
          </w:tcPr>
          <w:p w:rsidR="00366E76" w:rsidRDefault="00366E76">
            <w:pPr>
              <w:pStyle w:val="ConsPlusNormal"/>
            </w:pPr>
            <w:r>
              <w:t>1.6.</w:t>
            </w:r>
          </w:p>
        </w:tc>
        <w:tc>
          <w:tcPr>
            <w:tcW w:w="2376" w:type="dxa"/>
          </w:tcPr>
          <w:p w:rsidR="00366E76" w:rsidRDefault="00366E76">
            <w:pPr>
              <w:pStyle w:val="ConsPlusNormal"/>
            </w:pPr>
            <w:r>
              <w:t>Доступность дошкольного образования для детей в возрасте от 1,5 до 3 лет</w:t>
            </w:r>
          </w:p>
        </w:tc>
        <w:tc>
          <w:tcPr>
            <w:tcW w:w="1134" w:type="dxa"/>
          </w:tcPr>
          <w:p w:rsidR="00366E76" w:rsidRDefault="00366E76">
            <w:pPr>
              <w:pStyle w:val="ConsPlusNormal"/>
            </w:pPr>
            <w:r>
              <w:t>ГП</w:t>
            </w:r>
          </w:p>
        </w:tc>
        <w:tc>
          <w:tcPr>
            <w:tcW w:w="1242" w:type="dxa"/>
          </w:tcPr>
          <w:p w:rsidR="00366E76" w:rsidRDefault="00366E76">
            <w:pPr>
              <w:pStyle w:val="ConsPlusNormal"/>
            </w:pPr>
            <w:r>
              <w:t>процент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74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05" w:type="dxa"/>
          </w:tcPr>
          <w:p w:rsidR="00366E76" w:rsidRDefault="00366E76">
            <w:pPr>
              <w:pStyle w:val="ConsPlusNormal"/>
            </w:pPr>
            <w:r>
              <w:t>100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4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57" w:type="dxa"/>
          </w:tcPr>
          <w:p w:rsidR="00366E76" w:rsidRDefault="00366E76">
            <w:pPr>
              <w:pStyle w:val="ConsPlusNormal"/>
            </w:pPr>
            <w:r>
              <w:t>100</w:t>
            </w:r>
          </w:p>
        </w:tc>
        <w:tc>
          <w:tcPr>
            <w:tcW w:w="749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38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3" w:type="dxa"/>
          </w:tcPr>
          <w:p w:rsidR="00366E76" w:rsidRDefault="00366E76">
            <w:pPr>
              <w:pStyle w:val="ConsPlusNormal"/>
            </w:pPr>
            <w:r>
              <w:t>100</w:t>
            </w:r>
          </w:p>
        </w:tc>
        <w:tc>
          <w:tcPr>
            <w:tcW w:w="653" w:type="dxa"/>
          </w:tcPr>
          <w:p w:rsidR="00366E76" w:rsidRDefault="00366E76">
            <w:pPr>
              <w:pStyle w:val="ConsPlusNormal"/>
            </w:pPr>
          </w:p>
        </w:tc>
        <w:tc>
          <w:tcPr>
            <w:tcW w:w="667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366E76" w:rsidRDefault="00366E76">
            <w:pPr>
              <w:pStyle w:val="ConsPlusNormal"/>
            </w:pPr>
            <w:r>
              <w:t>100</w:t>
            </w:r>
          </w:p>
        </w:tc>
      </w:tr>
      <w:tr w:rsidR="00366E76">
        <w:tc>
          <w:tcPr>
            <w:tcW w:w="680" w:type="dxa"/>
          </w:tcPr>
          <w:p w:rsidR="00366E76" w:rsidRDefault="00366E76">
            <w:pPr>
              <w:pStyle w:val="ConsPlusNormal"/>
            </w:pPr>
            <w:r>
              <w:t>2.</w:t>
            </w:r>
          </w:p>
        </w:tc>
        <w:tc>
          <w:tcPr>
            <w:tcW w:w="13128" w:type="dxa"/>
            <w:gridSpan w:val="15"/>
          </w:tcPr>
          <w:p w:rsidR="00366E76" w:rsidRDefault="00366E76">
            <w:pPr>
              <w:pStyle w:val="ConsPlusNormal"/>
            </w:pPr>
            <w:r>
              <w:t>Цель 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366E76">
        <w:tc>
          <w:tcPr>
            <w:tcW w:w="680" w:type="dxa"/>
          </w:tcPr>
          <w:p w:rsidR="00366E76" w:rsidRDefault="00366E76">
            <w:pPr>
              <w:pStyle w:val="ConsPlusNormal"/>
            </w:pPr>
            <w:r>
              <w:t>2.1.</w:t>
            </w:r>
          </w:p>
        </w:tc>
        <w:tc>
          <w:tcPr>
            <w:tcW w:w="2376" w:type="dxa"/>
          </w:tcPr>
          <w:p w:rsidR="00366E76" w:rsidRDefault="00366E76">
            <w:pPr>
              <w:pStyle w:val="ConsPlusNormal"/>
            </w:pPr>
            <w:r>
              <w:t xml:space="preserve">Доля детей в возрасте от 5 до 18 лет, охваченных дополнительным </w:t>
            </w:r>
            <w:r>
              <w:lastRenderedPageBreak/>
              <w:t>образованием</w:t>
            </w:r>
          </w:p>
        </w:tc>
        <w:tc>
          <w:tcPr>
            <w:tcW w:w="1134" w:type="dxa"/>
          </w:tcPr>
          <w:p w:rsidR="00366E76" w:rsidRDefault="00366E76">
            <w:pPr>
              <w:pStyle w:val="ConsPlusNormal"/>
            </w:pPr>
            <w:r>
              <w:lastRenderedPageBreak/>
              <w:t>ГП</w:t>
            </w:r>
          </w:p>
        </w:tc>
        <w:tc>
          <w:tcPr>
            <w:tcW w:w="1242" w:type="dxa"/>
          </w:tcPr>
          <w:p w:rsidR="00366E76" w:rsidRDefault="00366E76">
            <w:pPr>
              <w:pStyle w:val="ConsPlusNormal"/>
            </w:pPr>
            <w:r>
              <w:t>процент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74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05" w:type="dxa"/>
          </w:tcPr>
          <w:p w:rsidR="00366E76" w:rsidRDefault="00366E76">
            <w:pPr>
              <w:pStyle w:val="ConsPlusNormal"/>
            </w:pPr>
            <w:r>
              <w:t>87,7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4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57" w:type="dxa"/>
          </w:tcPr>
          <w:p w:rsidR="00366E76" w:rsidRDefault="00366E76">
            <w:pPr>
              <w:pStyle w:val="ConsPlusNormal"/>
            </w:pPr>
            <w:r>
              <w:t>87,7</w:t>
            </w:r>
          </w:p>
        </w:tc>
        <w:tc>
          <w:tcPr>
            <w:tcW w:w="749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38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3" w:type="dxa"/>
          </w:tcPr>
          <w:p w:rsidR="00366E76" w:rsidRDefault="00366E76">
            <w:pPr>
              <w:pStyle w:val="ConsPlusNormal"/>
            </w:pPr>
            <w:r>
              <w:t>87,7</w:t>
            </w:r>
          </w:p>
        </w:tc>
        <w:tc>
          <w:tcPr>
            <w:tcW w:w="65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7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366E76" w:rsidRDefault="00366E76">
            <w:pPr>
              <w:pStyle w:val="ConsPlusNormal"/>
            </w:pPr>
            <w:r>
              <w:t>87,7</w:t>
            </w:r>
          </w:p>
        </w:tc>
      </w:tr>
      <w:tr w:rsidR="00366E76">
        <w:tc>
          <w:tcPr>
            <w:tcW w:w="680" w:type="dxa"/>
          </w:tcPr>
          <w:p w:rsidR="00366E76" w:rsidRDefault="00366E76">
            <w:pPr>
              <w:pStyle w:val="ConsPlusNormal"/>
            </w:pPr>
            <w:r>
              <w:t>2.2.</w:t>
            </w:r>
          </w:p>
        </w:tc>
        <w:tc>
          <w:tcPr>
            <w:tcW w:w="2376" w:type="dxa"/>
          </w:tcPr>
          <w:p w:rsidR="00366E76" w:rsidRDefault="00366E76">
            <w:pPr>
              <w:pStyle w:val="ConsPlusNormal"/>
            </w:pPr>
            <w: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</w:p>
        </w:tc>
        <w:tc>
          <w:tcPr>
            <w:tcW w:w="1134" w:type="dxa"/>
          </w:tcPr>
          <w:p w:rsidR="00366E76" w:rsidRDefault="00366E76">
            <w:pPr>
              <w:pStyle w:val="ConsPlusNormal"/>
            </w:pPr>
            <w:r>
              <w:t>ГП</w:t>
            </w:r>
          </w:p>
        </w:tc>
        <w:tc>
          <w:tcPr>
            <w:tcW w:w="1242" w:type="dxa"/>
          </w:tcPr>
          <w:p w:rsidR="00366E76" w:rsidRDefault="00366E76">
            <w:pPr>
              <w:pStyle w:val="ConsPlusNormal"/>
            </w:pPr>
            <w:r>
              <w:t>процент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74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05" w:type="dxa"/>
          </w:tcPr>
          <w:p w:rsidR="00366E76" w:rsidRDefault="00366E76">
            <w:pPr>
              <w:pStyle w:val="ConsPlusNormal"/>
            </w:pPr>
            <w:r>
              <w:t>32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4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57" w:type="dxa"/>
          </w:tcPr>
          <w:p w:rsidR="00366E76" w:rsidRDefault="00366E76">
            <w:pPr>
              <w:pStyle w:val="ConsPlusNormal"/>
            </w:pPr>
            <w:r>
              <w:t>32</w:t>
            </w:r>
          </w:p>
        </w:tc>
        <w:tc>
          <w:tcPr>
            <w:tcW w:w="749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38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3" w:type="dxa"/>
          </w:tcPr>
          <w:p w:rsidR="00366E76" w:rsidRDefault="00366E76">
            <w:pPr>
              <w:pStyle w:val="ConsPlusNormal"/>
            </w:pPr>
            <w:r>
              <w:t>32</w:t>
            </w:r>
          </w:p>
        </w:tc>
        <w:tc>
          <w:tcPr>
            <w:tcW w:w="65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7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366E76" w:rsidRDefault="00366E76">
            <w:pPr>
              <w:pStyle w:val="ConsPlusNormal"/>
            </w:pPr>
            <w:r>
              <w:t>32</w:t>
            </w:r>
          </w:p>
        </w:tc>
      </w:tr>
      <w:tr w:rsidR="00366E76">
        <w:tc>
          <w:tcPr>
            <w:tcW w:w="680" w:type="dxa"/>
          </w:tcPr>
          <w:p w:rsidR="00366E76" w:rsidRDefault="00366E76">
            <w:pPr>
              <w:pStyle w:val="ConsPlusNormal"/>
            </w:pPr>
            <w:r>
              <w:t>2.3.</w:t>
            </w:r>
          </w:p>
        </w:tc>
        <w:tc>
          <w:tcPr>
            <w:tcW w:w="2376" w:type="dxa"/>
          </w:tcPr>
          <w:p w:rsidR="00366E76" w:rsidRDefault="00366E76">
            <w:pPr>
              <w:pStyle w:val="ConsPlusNormal"/>
            </w:pPr>
            <w:r>
              <w:t xml:space="preserve">Доля выпускников 11 классов в местах традиционного проживания и традиционной хозяйственной деятельности коренных малочисленных народов Севера, продолживших обучение в профессиональных образовательных организациях или образовательных </w:t>
            </w:r>
            <w:r>
              <w:lastRenderedPageBreak/>
              <w:t>организациях высшего образования</w:t>
            </w:r>
          </w:p>
        </w:tc>
        <w:tc>
          <w:tcPr>
            <w:tcW w:w="1134" w:type="dxa"/>
          </w:tcPr>
          <w:p w:rsidR="00366E76" w:rsidRDefault="00366E76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42" w:type="dxa"/>
          </w:tcPr>
          <w:p w:rsidR="00366E76" w:rsidRDefault="00366E76">
            <w:pPr>
              <w:pStyle w:val="ConsPlusNormal"/>
            </w:pPr>
            <w:r>
              <w:t>процент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74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05" w:type="dxa"/>
          </w:tcPr>
          <w:p w:rsidR="00366E76" w:rsidRDefault="00366E76">
            <w:pPr>
              <w:pStyle w:val="ConsPlusNormal"/>
            </w:pPr>
            <w:r>
              <w:t>90</w:t>
            </w:r>
          </w:p>
        </w:tc>
        <w:tc>
          <w:tcPr>
            <w:tcW w:w="660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4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757" w:type="dxa"/>
          </w:tcPr>
          <w:p w:rsidR="00366E76" w:rsidRDefault="00366E76">
            <w:pPr>
              <w:pStyle w:val="ConsPlusNormal"/>
            </w:pPr>
            <w:r>
              <w:t>90</w:t>
            </w:r>
          </w:p>
        </w:tc>
        <w:tc>
          <w:tcPr>
            <w:tcW w:w="749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38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3" w:type="dxa"/>
          </w:tcPr>
          <w:p w:rsidR="00366E76" w:rsidRDefault="00366E76">
            <w:pPr>
              <w:pStyle w:val="ConsPlusNormal"/>
            </w:pPr>
            <w:r>
              <w:t>90</w:t>
            </w:r>
          </w:p>
        </w:tc>
        <w:tc>
          <w:tcPr>
            <w:tcW w:w="653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667" w:type="dxa"/>
          </w:tcPr>
          <w:p w:rsidR="00366E76" w:rsidRDefault="00366E76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366E76" w:rsidRDefault="00366E76">
            <w:pPr>
              <w:pStyle w:val="ConsPlusNormal"/>
            </w:pPr>
            <w:r>
              <w:t>90</w:t>
            </w:r>
          </w:p>
        </w:tc>
      </w:tr>
    </w:tbl>
    <w:p w:rsidR="00366E76" w:rsidRDefault="00366E76">
      <w:pPr>
        <w:pStyle w:val="ConsPlusNormal"/>
        <w:sectPr w:rsidR="00366E7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66E76" w:rsidRDefault="00366E76">
      <w:pPr>
        <w:pStyle w:val="ConsPlusNormal"/>
        <w:jc w:val="center"/>
      </w:pPr>
    </w:p>
    <w:p w:rsidR="00366E76" w:rsidRDefault="00366E76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366E76" w:rsidRDefault="00366E7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665"/>
        <w:gridCol w:w="2835"/>
        <w:gridCol w:w="2835"/>
      </w:tblGrid>
      <w:tr w:rsidR="00366E76">
        <w:tc>
          <w:tcPr>
            <w:tcW w:w="737" w:type="dxa"/>
          </w:tcPr>
          <w:p w:rsidR="00366E76" w:rsidRDefault="00366E7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  <w:jc w:val="center"/>
            </w:pPr>
            <w:r>
              <w:t>4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bookmarkStart w:id="1" w:name="P455"/>
            <w:bookmarkEnd w:id="1"/>
            <w:r>
              <w:t>Направление (подпрограмма) "Инновационное развитие образования"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1.1.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Региональный проект "Успех каждого ребенка"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1.1.1.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Организация работы системы выявления, поддержки и развития способностей и талантов детей и молодежи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реализация дополнительных образовательных программ;</w:t>
            </w:r>
          </w:p>
          <w:p w:rsidR="00366E76" w:rsidRDefault="00366E76">
            <w:pPr>
              <w:pStyle w:val="ConsPlusNormal"/>
            </w:pPr>
            <w:r>
              <w:t>участие обучающихся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      </w:r>
          </w:p>
          <w:p w:rsidR="00366E76" w:rsidRDefault="00366E76">
            <w:pPr>
              <w:pStyle w:val="ConsPlusNormal"/>
            </w:pPr>
            <w:r>
              <w:t>участие обучающихся в профориентационных мероприятиях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детей в возрасте от 5 до 18 лет, охваченных дополнительным образованием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1.2.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Региональный проект "Современная школа"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1.2.1.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Обеспечение профессионального развития и обучения на протяжении всей профессиональной деятельности для педагогических работников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повышение уровня профессионального мастерства педагогических работников общеобразовательных организаций по дополнительным профессиональным программам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1.3.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Региональный проект "Цифровая образовательная среда"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lastRenderedPageBreak/>
              <w:t>1.3.1.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Создание условий для внедрения современной и безопасной цифровой образовательной среды в образовательных организациях всех видов и уровней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создание организационных и технических условий для внедрения целевой модели цифровой образовательной среды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366E76" w:rsidRDefault="00366E76">
            <w:pPr>
              <w:pStyle w:val="ConsPlusNormal"/>
            </w:pPr>
            <w: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1.4.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Региональный проект "Педагоги и наставники"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1.4.1.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Совершенствование организационных механизмов повышения профессионального уровня, поощрения и распространения опыта лучших педагогических работников и наставников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создание организационных условий для повышения профессионального уровня, поощрения и распространения опыта лучших педагогических работников и наставников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1.5.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Региональный проект "Содействие занятости"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1.5.1.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Обеспечение поддержки семей при рождении детей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оказание услуг по приему детей в возрасте до трех лет в муниципальные организации, осуществляющие образовательную деятельность по образовательным программам дошкольного образования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доступность дошкольного образования для детей в возрасте от 1,5 до 3 лет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bookmarkStart w:id="2" w:name="P505"/>
            <w:bookmarkEnd w:id="2"/>
            <w:r>
              <w:t>Направление (подпрограмма) "Обеспечение комплексной безопасности и комфортных условий образовательного процесса"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2.1.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"Укрепление пожарной безопасности"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2.1.1.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Обеспечение первичных мер пожарной безопасности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соблюдение обязательных требований пожарной безопасности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2.2.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"Укрепление санитарно-эпидемиологической безопасности"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2.2.1.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Обеспечение мер санитарно-эпидемиологической безопасности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соблюдение мер санитарно-эпидемиологической безопасности и комфортных условий образовательного процесса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2.3.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"Повышение энергоэффективности"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2.3.1.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Проведение мероприятий по повышению энергоэффективности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разработка и внедрение в образовательных организациях энергосберегающих технологий (приобретение энергетического оборудования, оснащение зданий приборами учета используемых энергетических ресурсов, промывка систем отопления)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lastRenderedPageBreak/>
              <w:t>2.4.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"Антитеррористическая защищенность"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2.4.1.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Обеспечение мер по антитеррористической защищенности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проведение мероприятий по антитеррористической защищенности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bookmarkStart w:id="3" w:name="P543"/>
            <w:bookmarkEnd w:id="3"/>
            <w:r>
              <w:t>Направление (подпрограмма) "Развитие материально-технической базы сферы образования"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3.1.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"Проведение капитальных ремонтов зданий и сооружений"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3.1.1.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Создание и развитие современной инфраструктуры образования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проведение капитальных ремонтов зданий и сооружений, благоустройство пришкольных территорий муниципальных общеобразовательных организаций, в том числе для занятий физической культурой и спортом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366E76" w:rsidRDefault="00366E76">
            <w:pPr>
              <w:pStyle w:val="ConsPlusNormal"/>
            </w:pPr>
            <w: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муниципальных общеобразовательных организаций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3.2.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"Проведение мероприятий по текущим ремонтам зданий и сооружений"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3.2.1.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 xml:space="preserve">Создание и развитие современной </w:t>
            </w:r>
            <w:r>
              <w:lastRenderedPageBreak/>
              <w:t>инфраструктуры образования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lastRenderedPageBreak/>
              <w:t xml:space="preserve">проведение текущих ремонтов зданий и </w:t>
            </w:r>
            <w:r>
              <w:lastRenderedPageBreak/>
              <w:t>сооружений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lastRenderedPageBreak/>
              <w:t xml:space="preserve">доля муниципальных общеобразовательных </w:t>
            </w:r>
            <w:r>
              <w:lastRenderedPageBreak/>
              <w:t>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bookmarkStart w:id="4" w:name="P564"/>
            <w:bookmarkEnd w:id="4"/>
            <w:r>
              <w:t>Направление (подпрограмма) "Оказание образовательных услуг в организациях дошкольного, начального общего, основного общего, среднего общего и дополнительного образования на территории Ханты-Мансийского района"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4.1.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"Обеспечение реализации основных общеобразовательных программ в образовательных организациях, расположенных на территории Ханты-Мансийского района"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4.1.1.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Создание условий для удовлетворения потребностей населения в получении основных общеобразовательных программ в образовательных организациях, расположенных на территории Ханты-Мансийского района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обеспечение реализация основных общеобразовательных программ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численность населения в возрасте 15 - 21 года по основным общеобразовательным программам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4.2.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"Создание условий для удовлетворения потребности населения района в оказании услуг в учреждениях дошкольного образования (содержание учреждений)"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4.2.1.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Организация предоставления дошкольного образования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реализация образовательных программ дошкольного образования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детей в возрасте от 1 до 6 лет, стоящих на учете для определения в муниципальные дошкольные образовательные учреждения, в общей численности детей в возрасте от 1 до 6 лет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4.3.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"Создание условий для удовлетворения потребности населения района в оказании услуг в учреждениях среднего общего образования"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 xml:space="preserve">Ответственный за </w:t>
            </w:r>
            <w:r>
              <w:lastRenderedPageBreak/>
              <w:t>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lastRenderedPageBreak/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4.3.1.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Организация предоставления среднего общего образования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реализация образовательных программ среднего общего образования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численность населения в возрасте 15 - 21 года по основным общеобразовательным программам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4.4.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"Создание условий для удовлетворения потребностей населения района в оказании услуг в сфере дополнительного образования (содержание учреждения)"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4.4.1.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Организация предоставления дополнительного образования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реализация дополнительных образовательных программ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детей в возрасте от 5 до 18 лет, охваченных дополнительным образованием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bookmarkStart w:id="5" w:name="P602"/>
            <w:bookmarkEnd w:id="5"/>
            <w:r>
              <w:t>Направление (подпрограмма) "Дети и молодежь Ханты-Мансийского района"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5.1.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"Стимулирование лидеров и поддержка системы воспитания"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5.1.1.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Создание условий для развития системы воспитания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организована поддержка системы воспитания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5.2.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"Организация и участие в мероприятиях, направленных на выявление и развитие талантливых детей и молодежи"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5.2.1.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Выявление и развитие талантливых детей и молодежи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организация участия обучающихся в мероприятиях, направленных на выявление и развитие талантливых детей и молодежи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детей в возрасте от 5 до 18 лет, охваченных дополнительным образованием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lastRenderedPageBreak/>
              <w:t>5.3.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"Создание условий для развития гражданско-патриотических качеств детей и молодежи"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5.3.1.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Развитие гражданско-патриотических качеств детей и молодежи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организация участия обучающихся в мероприятиях, направленных на развитие гражданско-патриотических качеств детей и молодежи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детей в возрасте от 5 до 18 лет, охваченных дополнительным образованием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5.4.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"Организация отдыха и оздоровления детей"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5.4.1.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Создание условий для организации отдыха и оздоровления детей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организация мероприятий, направленных на отдых и оздоровление детей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детей в возрасте от 5 до 18 лет, охваченных дополнительным образованием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5.5.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"Содействие профориентации и карьерным устремлениям молодежи"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5.5.1.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Организация профориентационной работы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организация мероприятий, направленных на профориентацию и карьерным устремлениям молодежи"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доля выпускников 11 классов в местах традиционного проживания и традиционной хозяйственной деятельности коренных малочисленных народов Севера, продолживших обучение в профессиональных образовательных организациях или образовательных организациях высшего образования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5.6.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"Оказание мер социальной поддержки отдельным категориям граждан"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lastRenderedPageBreak/>
              <w:t>5.6.1.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Повышение уровня материального благосостояния отдельных категорий граждан путем предоставления мер социальной поддержки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организация работ по оказанию мер социальной поддержки отдельным категориям граждан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численность обучающихся в возрасте 15 - 21 года по основным общеобразовательным программам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6.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Структурные элементы, не входящие в направления (подпрограммы)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6.1.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"Обеспечение деятельности Комитета по образованию"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комитет по образованию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6.1.1.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Обеспечение выполнения полномочий и функций Комитета по образованию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обеспечена деятельность комитета по образованию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6.2.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"Обеспечение деятельности МКУ Ханты-Мансийского района "Централизованная бухгалтерия"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МКУ Ханты-Мансийского района "Централизованная бухгалтерия"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6.2.1.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Обеспечение деятельности МКУ Ханты-Мансийского района "Централизованная бухгалтерия"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обеспечение деятельности МКУ Ханты-Мансийского района "Централизованная бухгалтерия"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6.3.</w:t>
            </w:r>
          </w:p>
        </w:tc>
        <w:tc>
          <w:tcPr>
            <w:tcW w:w="8335" w:type="dxa"/>
            <w:gridSpan w:val="3"/>
          </w:tcPr>
          <w:p w:rsidR="00366E76" w:rsidRDefault="00366E76">
            <w:pPr>
              <w:pStyle w:val="ConsPlusNormal"/>
            </w:pPr>
            <w:r>
              <w:t>Комплекс процессных мероприятий "Обеспечение деятельности МАУ Ханты-Мансийского района "Муниципальный методический центр"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Ответственный за реализацию: МАУ Ханты-Мансийского района "Муниципальный методический центр"</w:t>
            </w:r>
          </w:p>
        </w:tc>
        <w:tc>
          <w:tcPr>
            <w:tcW w:w="5670" w:type="dxa"/>
            <w:gridSpan w:val="2"/>
          </w:tcPr>
          <w:p w:rsidR="00366E76" w:rsidRDefault="00366E76">
            <w:pPr>
              <w:pStyle w:val="ConsPlusNormal"/>
            </w:pPr>
            <w:r>
              <w:t>Срок реализации: 2025 - 2030</w:t>
            </w:r>
          </w:p>
        </w:tc>
      </w:tr>
      <w:tr w:rsidR="00366E76">
        <w:tc>
          <w:tcPr>
            <w:tcW w:w="737" w:type="dxa"/>
          </w:tcPr>
          <w:p w:rsidR="00366E76" w:rsidRDefault="00366E76">
            <w:pPr>
              <w:pStyle w:val="ConsPlusNormal"/>
            </w:pPr>
            <w:r>
              <w:t>6.3.1.</w:t>
            </w:r>
          </w:p>
        </w:tc>
        <w:tc>
          <w:tcPr>
            <w:tcW w:w="2665" w:type="dxa"/>
          </w:tcPr>
          <w:p w:rsidR="00366E76" w:rsidRDefault="00366E76">
            <w:pPr>
              <w:pStyle w:val="ConsPlusNormal"/>
            </w:pPr>
            <w:r>
              <w:t>Обеспечение деятельности МАУ Ханты-Мансийского района "Муниципальный методический центр"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  <w:r>
              <w:t>обеспечение деятельности МАУ Ханты-Мансийского района "Муниципальный методический центр"</w:t>
            </w:r>
          </w:p>
        </w:tc>
        <w:tc>
          <w:tcPr>
            <w:tcW w:w="2835" w:type="dxa"/>
          </w:tcPr>
          <w:p w:rsidR="00366E76" w:rsidRDefault="00366E76">
            <w:pPr>
              <w:pStyle w:val="ConsPlusNormal"/>
            </w:pPr>
          </w:p>
        </w:tc>
      </w:tr>
    </w:tbl>
    <w:p w:rsidR="00366E76" w:rsidRDefault="00366E76">
      <w:pPr>
        <w:pStyle w:val="ConsPlusNormal"/>
        <w:ind w:firstLine="540"/>
        <w:jc w:val="both"/>
      </w:pPr>
    </w:p>
    <w:p w:rsidR="00366E76" w:rsidRDefault="00366E76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366E76" w:rsidRDefault="00366E76">
      <w:pPr>
        <w:pStyle w:val="ConsPlusNormal"/>
        <w:jc w:val="center"/>
      </w:pPr>
    </w:p>
    <w:p w:rsidR="00366E76" w:rsidRDefault="00366E76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366E76" w:rsidRDefault="00366E76">
      <w:pPr>
        <w:pStyle w:val="ConsPlusNormal"/>
        <w:jc w:val="center"/>
      </w:pPr>
      <w:r>
        <w:t>от 11.08.2025 N 465)</w:t>
      </w:r>
    </w:p>
    <w:p w:rsidR="00366E76" w:rsidRDefault="00366E76">
      <w:pPr>
        <w:pStyle w:val="ConsPlusNormal"/>
        <w:jc w:val="center"/>
      </w:pPr>
    </w:p>
    <w:p w:rsidR="00366E76" w:rsidRDefault="00366E76">
      <w:pPr>
        <w:pStyle w:val="ConsPlusNormal"/>
        <w:sectPr w:rsidR="00366E7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9"/>
        <w:gridCol w:w="1417"/>
        <w:gridCol w:w="1417"/>
        <w:gridCol w:w="1417"/>
        <w:gridCol w:w="1361"/>
        <w:gridCol w:w="1361"/>
        <w:gridCol w:w="1361"/>
        <w:gridCol w:w="1474"/>
      </w:tblGrid>
      <w:tr w:rsidR="00366E76">
        <w:tc>
          <w:tcPr>
            <w:tcW w:w="3439" w:type="dxa"/>
            <w:vMerge w:val="restart"/>
          </w:tcPr>
          <w:p w:rsidR="00366E76" w:rsidRDefault="00366E76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808" w:type="dxa"/>
            <w:gridSpan w:val="7"/>
          </w:tcPr>
          <w:p w:rsidR="00366E76" w:rsidRDefault="00366E76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366E76">
        <w:tc>
          <w:tcPr>
            <w:tcW w:w="3439" w:type="dxa"/>
            <w:vMerge/>
          </w:tcPr>
          <w:p w:rsidR="00366E76" w:rsidRDefault="00366E76">
            <w:pPr>
              <w:pStyle w:val="ConsPlusNormal"/>
            </w:pPr>
          </w:p>
        </w:tc>
        <w:tc>
          <w:tcPr>
            <w:tcW w:w="1417" w:type="dxa"/>
          </w:tcPr>
          <w:p w:rsidR="00366E76" w:rsidRDefault="00366E7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  <w:jc w:val="center"/>
            </w:pPr>
            <w:r>
              <w:t>всего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  <w:jc w:val="center"/>
            </w:pPr>
            <w:r>
              <w:t>8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2 838 749,2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2 719 687,0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2 719 531,0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2 719 113,4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2 719 113,4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2 719 113,4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16 435 307,4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74 669,0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73 938,0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73 421,6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73 421,6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73 421,6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73 421,6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442 293,40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1 834 526,5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1 741 632,2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1 741 811,6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1 741 811,6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1 741 811,6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1 741 811,6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10 543 405,10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929 553,7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904 116,8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904 297,8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903 880,2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903 880,2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903 880,2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5 449 608,90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1. Региональный проект "Успех каждого ребенка"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2. Региональный проект "Современная школа"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lastRenderedPageBreak/>
              <w:t>3. Региональный проект "Цифровая образовательная среда"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4. Региональный проект "Педагоги и наставники"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71 522,6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71 533,3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71 377,3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71 377,3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71 377,3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71 377,3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428 565,10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71 159,7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71 164,90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70 996,20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70 996,20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70 996,20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70 996,20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426 309,40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357,0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362,4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375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375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375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375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2 219,40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5,9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6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6,1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6,1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6,1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6,1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36,30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5. Региональный проект "Содействие занятости"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6. Комплекс процессных мероприятий "Укрепление пожарной безопасности"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8 649,4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9 000,0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9 000,0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9 000,0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9 000,0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9 000,0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53 649,4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8 649,4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9 000,00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9 000,00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9 000,00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9 000,00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9 000,00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53 649,4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lastRenderedPageBreak/>
              <w:t>7. Комплекс процессных мероприятий "Укрепление санитарно-эпидемиологической безопасности"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17 735,0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15 758,8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15 758,8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15 758,8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15 758,8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15 758,8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96 529,0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17 735,0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15 758,80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15 758,80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15 758,80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15 758,80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15 758,80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96 529,00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8. Комплекс процессных мероприятий "Повышение энергоэффективности"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8 297,0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8 000,0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8 000,0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8 000,0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8 000,0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8 000,0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48 297,0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8 297,0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8 000,00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8 000,00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8 000,00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8 000,00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8 000,00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48 297,00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9. Комплекс процессных мероприятий "Антитеррористическая защищенность"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81 258,3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84 171,7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84 171,7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84 171,7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84 171,7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84 171,7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502 116,80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81 258,3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84 171,70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84 171,70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84 171,70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84 171,70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84 171,70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502 116,80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10. Комплекс процессных мероприятий "Проведение капитальных ремонтов зданий и сооружений"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120 914,5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120 914,5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108 823,0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108 823,00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12 091,5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12 091,50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 xml:space="preserve">11. Комплекс процессных мероприятий "Проведение мероприятий по текущим ремонтам зданий и сооружений" </w:t>
            </w:r>
            <w:r>
              <w:lastRenderedPageBreak/>
              <w:t>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lastRenderedPageBreak/>
              <w:t>20 863,1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20 000,0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20 000,0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20 000,0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20 000,0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20 000,0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120 863,1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20 863,1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20 000,00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20 000,00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20 000,00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20 000,00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20 000,00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120 863,10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12. Комплекс процессных мероприятий "Обеспечение реализации основных общеобразовательных программ в образовательных организациях, расположенных на территории Ханты-Мансийского района"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1 705 827,6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1 721 665,0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1 721 664,9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1 721 664,4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1 721 664,4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1 721 664,4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10 314 149,6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3 509,3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2 773,10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2 425,40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2 425,40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2 425,40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2 425,40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15 984,00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1 700 360,4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1 716 068,80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1 716 235,60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1 716 235,60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1 716 235,60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1 716 235,60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10 281 371,60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1 957,9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2 823,1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3 003,90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3 003,40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3 003,40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3 003,40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16 794,00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13. Комплекс процессных мероприятий "Создание условий для удовлетворения потребности населения района в оказании услуг в учреждениях дошкольного образования (содержание учреждений)"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103 172,8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103 291,3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103 291,3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109 717,7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109 717,7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109 717,7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651 761,3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103 172,8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103 291,3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103 291,3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109 717,70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109 717,70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109 717,70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651 761,30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 xml:space="preserve">14. Комплекс процессных мероприятий "Создание условий для удовлетворения потребности населения района в оказании услуг в учреждениях общего среднего образования" (всего), в </w:t>
            </w:r>
            <w:r>
              <w:lastRenderedPageBreak/>
              <w:t>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lastRenderedPageBreak/>
              <w:t>378 901,3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375 474,4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375 474,5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369 048,6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369 048,6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369 048,6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2 224 144,30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378 901,3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375 474,4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375 474,5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369 048,60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369 048,60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369 048,60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2 224 144,30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15. Комплекс процессных мероприятий "Создание условий для удовлетворения потребностей населения района в оказании услуг в сфере дополнительного образования (содержание учреждения)"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115 712,8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112 729,4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112 729,4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112 311,8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112 311,8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112 311,8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678 107,0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115 712,8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112 729,40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112 729,40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112 311,80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112 311,80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112 311,80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678 107,00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16. Комплекс процессных мероприятий "Обеспечение деятельности МКУ Ханты-Мансийского района "Централизованная бухгалтерия"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106 086,6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98 040,0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98 040,0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98 040,0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98 040,0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98 040,0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596 286,60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106 086,6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98 040,00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98 040,00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98 040,00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98 040,00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98 040,00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596 286,60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17. Комплекс процессных мероприятий "Обеспечение деятельности МАУ Ханты-Мансийского района "Муниципальный методический центр"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18 829,9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18 829,9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18 829,9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18 829,9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18 829,9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18 829,9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112 979,4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18 829,9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18 829,90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18 829,90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18 829,90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18 829,90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18 829,90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112 979,40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 xml:space="preserve">18. Комплекс процессных мероприятий "Обеспечение деятельности комитета по </w:t>
            </w:r>
            <w:r>
              <w:lastRenderedPageBreak/>
              <w:t>образованию Администрации Ханты-Мансийского района"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lastRenderedPageBreak/>
              <w:t>42 916,5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42 916,5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42 916,5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42 916,5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42 916,5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42 916,5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257 499,0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42 916,5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42 916,50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42 916,50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42 916,50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42 916,50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42 916,50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257 499,00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19. Комплекс процессных мероприятий "Стимулирование лидеров и поддержка системы воспитания"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1 350,0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1 350,0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1 350,0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1 350,0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1 350,0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1 350,0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8 100,0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1 350,0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1 350,00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1 350,00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1 350,00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1 350,00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1 350,00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8 100,00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20. Комплекс процессных мероприятий "Организация и участие в мероприятиях, направленных на выявление и развитие талантливых детей и молодежи"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1 390,8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1 390,8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1 390,8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1 390,8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1 390,8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1 390,8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8 344,80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1 390,8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1 390,80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1 390,80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1 390,80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1 390,80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1 390,80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8 344,80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21. Комплекс процессных мероприятий "Создание условий для развития гражданско-патриотических качеств детей и молодежи"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1 194,4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1 194,4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1 194,4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1 194,4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1 194,4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1 194,4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7 166,4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1 194,4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1 194,40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1 194,40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1 194,40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1 194,40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1 194,40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7 166,40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22. Комплекс процессных мероприятий "Организация отдыха и оздоровления детей"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26 723,1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26 723,1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26 723,1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26 723,1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26 723,1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26 723,1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160 338,6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lastRenderedPageBreak/>
              <w:t>1.2. Бюджет автономного округа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17 752,6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17 752,60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17 752,60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17 752,60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17 752,60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17 752,60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106 515,60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1.3. 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8 970,5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8 970,50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8 970,50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8 970,50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8 970,50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8 970,50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53 823,00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23. Комплекс процессных мероприятий "Содействие профориентации и карьерным устремлениям молодежи"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170,0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170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170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170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170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170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1 020,00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170,0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170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170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170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170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170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1 020,00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24. "Оказание мер социальной поддержки отдельным категориям граждан" (всего), в том числе: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7 233,5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7 448,4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7 448,4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7 448,4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7 448,4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7 448,4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44 475,5</w:t>
            </w:r>
          </w:p>
        </w:tc>
      </w:tr>
      <w:tr w:rsidR="00366E76">
        <w:tc>
          <w:tcPr>
            <w:tcW w:w="3439" w:type="dxa"/>
          </w:tcPr>
          <w:p w:rsidR="00366E76" w:rsidRDefault="00366E76">
            <w:pPr>
              <w:pStyle w:val="ConsPlusNormal"/>
            </w:pPr>
            <w:r>
              <w:t>1.2. Бюджет автономного округа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7 233,5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7 448,40</w:t>
            </w:r>
          </w:p>
        </w:tc>
        <w:tc>
          <w:tcPr>
            <w:tcW w:w="1417" w:type="dxa"/>
          </w:tcPr>
          <w:p w:rsidR="00366E76" w:rsidRDefault="00366E76">
            <w:pPr>
              <w:pStyle w:val="ConsPlusNormal"/>
            </w:pPr>
            <w:r>
              <w:t>7 448,40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7 448,40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7 448,40</w:t>
            </w:r>
          </w:p>
        </w:tc>
        <w:tc>
          <w:tcPr>
            <w:tcW w:w="1361" w:type="dxa"/>
          </w:tcPr>
          <w:p w:rsidR="00366E76" w:rsidRDefault="00366E76">
            <w:pPr>
              <w:pStyle w:val="ConsPlusNormal"/>
            </w:pPr>
            <w:r>
              <w:t>7 448,40</w:t>
            </w:r>
          </w:p>
        </w:tc>
        <w:tc>
          <w:tcPr>
            <w:tcW w:w="1474" w:type="dxa"/>
          </w:tcPr>
          <w:p w:rsidR="00366E76" w:rsidRDefault="00366E76">
            <w:pPr>
              <w:pStyle w:val="ConsPlusNormal"/>
            </w:pPr>
            <w:r>
              <w:t>44 475,50</w:t>
            </w:r>
          </w:p>
        </w:tc>
      </w:tr>
    </w:tbl>
    <w:p w:rsidR="00366E76" w:rsidRDefault="00366E76">
      <w:pPr>
        <w:pStyle w:val="ConsPlusNormal"/>
        <w:ind w:firstLine="540"/>
        <w:jc w:val="both"/>
      </w:pPr>
    </w:p>
    <w:p w:rsidR="00366E76" w:rsidRDefault="00366E76">
      <w:pPr>
        <w:pStyle w:val="ConsPlusNormal"/>
        <w:ind w:firstLine="540"/>
        <w:jc w:val="both"/>
      </w:pPr>
    </w:p>
    <w:p w:rsidR="00366E76" w:rsidRDefault="00366E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2FB9" w:rsidRDefault="00582FB9">
      <w:bookmarkStart w:id="6" w:name="_GoBack"/>
      <w:bookmarkEnd w:id="6"/>
    </w:p>
    <w:sectPr w:rsidR="00582FB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76"/>
    <w:rsid w:val="00366E76"/>
    <w:rsid w:val="0058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DA19A-7A65-4441-AE43-DA9B7F25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66E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73718" TargetMode="External"/><Relationship Id="rId18" Type="http://schemas.openxmlformats.org/officeDocument/2006/relationships/hyperlink" Target="https://login.consultant.ru/link/?req=doc&amp;base=RLAW926&amp;n=294269" TargetMode="External"/><Relationship Id="rId26" Type="http://schemas.openxmlformats.org/officeDocument/2006/relationships/hyperlink" Target="https://login.consultant.ru/link/?req=doc&amp;base=RLAW926&amp;n=3289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30588&amp;dst=10000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1241&amp;dst=7419" TargetMode="External"/><Relationship Id="rId12" Type="http://schemas.openxmlformats.org/officeDocument/2006/relationships/hyperlink" Target="https://login.consultant.ru/link/?req=doc&amp;base=RLAW926&amp;n=267353" TargetMode="External"/><Relationship Id="rId17" Type="http://schemas.openxmlformats.org/officeDocument/2006/relationships/hyperlink" Target="https://login.consultant.ru/link/?req=doc&amp;base=RLAW926&amp;n=292107" TargetMode="External"/><Relationship Id="rId25" Type="http://schemas.openxmlformats.org/officeDocument/2006/relationships/hyperlink" Target="https://login.consultant.ru/link/?req=doc&amp;base=LAW&amp;n=387258" TargetMode="External"/><Relationship Id="rId33" Type="http://schemas.openxmlformats.org/officeDocument/2006/relationships/hyperlink" Target="https://login.consultant.ru/link/?req=doc&amp;base=RLAW926&amp;n=330588&amp;dst=100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89047" TargetMode="External"/><Relationship Id="rId20" Type="http://schemas.openxmlformats.org/officeDocument/2006/relationships/hyperlink" Target="https://login.consultant.ru/link/?req=doc&amp;base=RLAW926&amp;n=328521&amp;dst=100005" TargetMode="External"/><Relationship Id="rId29" Type="http://schemas.openxmlformats.org/officeDocument/2006/relationships/hyperlink" Target="https://login.consultant.ru/link/?req=doc&amp;base=RLAW926&amp;n=3289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0588&amp;dst=100005" TargetMode="External"/><Relationship Id="rId11" Type="http://schemas.openxmlformats.org/officeDocument/2006/relationships/hyperlink" Target="https://login.consultant.ru/link/?req=doc&amp;base=RLAW926&amp;n=262023" TargetMode="External"/><Relationship Id="rId24" Type="http://schemas.openxmlformats.org/officeDocument/2006/relationships/hyperlink" Target="https://login.consultant.ru/link/?req=doc&amp;base=LAW&amp;n=387258" TargetMode="External"/><Relationship Id="rId32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hyperlink" Target="https://login.consultant.ru/link/?req=doc&amp;base=RLAW926&amp;n=328521&amp;dst=100005" TargetMode="External"/><Relationship Id="rId15" Type="http://schemas.openxmlformats.org/officeDocument/2006/relationships/hyperlink" Target="https://login.consultant.ru/link/?req=doc&amp;base=RLAW926&amp;n=282300" TargetMode="External"/><Relationship Id="rId23" Type="http://schemas.openxmlformats.org/officeDocument/2006/relationships/hyperlink" Target="https://login.consultant.ru/link/?req=doc&amp;base=LAW&amp;n=495935" TargetMode="External"/><Relationship Id="rId28" Type="http://schemas.openxmlformats.org/officeDocument/2006/relationships/hyperlink" Target="https://login.consultant.ru/link/?req=doc&amp;base=RLAW926&amp;n=328930" TargetMode="External"/><Relationship Id="rId10" Type="http://schemas.openxmlformats.org/officeDocument/2006/relationships/hyperlink" Target="https://login.consultant.ru/link/?req=doc&amp;base=RLAW926&amp;n=301728" TargetMode="External"/><Relationship Id="rId19" Type="http://schemas.openxmlformats.org/officeDocument/2006/relationships/hyperlink" Target="https://login.consultant.ru/link/?req=doc&amp;base=RLAW926&amp;n=301241" TargetMode="External"/><Relationship Id="rId31" Type="http://schemas.openxmlformats.org/officeDocument/2006/relationships/hyperlink" Target="https://login.consultant.ru/link/?req=doc&amp;base=RLAW926&amp;n=32893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2233&amp;dst=102041" TargetMode="External"/><Relationship Id="rId14" Type="http://schemas.openxmlformats.org/officeDocument/2006/relationships/hyperlink" Target="https://login.consultant.ru/link/?req=doc&amp;base=RLAW926&amp;n=280249" TargetMode="External"/><Relationship Id="rId22" Type="http://schemas.openxmlformats.org/officeDocument/2006/relationships/hyperlink" Target="https://login.consultant.ru/link/?req=doc&amp;base=RLAW926&amp;n=330588&amp;dst=100006" TargetMode="External"/><Relationship Id="rId27" Type="http://schemas.openxmlformats.org/officeDocument/2006/relationships/hyperlink" Target="https://login.consultant.ru/link/?req=doc&amp;base=LAW&amp;n=387258" TargetMode="External"/><Relationship Id="rId30" Type="http://schemas.openxmlformats.org/officeDocument/2006/relationships/hyperlink" Target="https://login.consultant.ru/link/?req=doc&amp;base=RLAW926&amp;n=32893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26&amp;n=318153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5466</Words>
  <Characters>31158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2025-09-15T07:16:00Z</dcterms:created>
  <dcterms:modified xsi:type="dcterms:W3CDTF">2025-09-15T07:17:00Z</dcterms:modified>
</cp:coreProperties>
</file>