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31" w:rsidRDefault="008C26F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6F4E31" w:rsidRDefault="008C26F1">
      <w:pPr>
        <w:pStyle w:val="af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F4E31" w:rsidRDefault="008C26F1">
      <w:pPr>
        <w:pStyle w:val="aff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РАЙОН</w:t>
      </w:r>
    </w:p>
    <w:p w:rsidR="006F4E31" w:rsidRDefault="008C26F1">
      <w:pPr>
        <w:pStyle w:val="aff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6F4E31" w:rsidRDefault="006F4E31">
      <w:pPr>
        <w:pStyle w:val="aff6"/>
        <w:jc w:val="center"/>
        <w:rPr>
          <w:rFonts w:ascii="Times New Roman" w:hAnsi="Times New Roman"/>
          <w:sz w:val="28"/>
          <w:szCs w:val="28"/>
        </w:rPr>
      </w:pPr>
    </w:p>
    <w:p w:rsidR="006F4E31" w:rsidRDefault="008C26F1">
      <w:pPr>
        <w:pStyle w:val="af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6F4E31" w:rsidRDefault="006F4E31">
      <w:pPr>
        <w:pStyle w:val="aff6"/>
        <w:jc w:val="center"/>
        <w:rPr>
          <w:rFonts w:ascii="Times New Roman" w:hAnsi="Times New Roman"/>
          <w:b/>
          <w:sz w:val="24"/>
          <w:szCs w:val="28"/>
        </w:rPr>
      </w:pPr>
    </w:p>
    <w:p w:rsidR="006F4E31" w:rsidRDefault="008C26F1">
      <w:pPr>
        <w:pStyle w:val="aff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6F4E31" w:rsidRDefault="008C26F1">
      <w:pPr>
        <w:pStyle w:val="af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№ ___</w:t>
      </w:r>
    </w:p>
    <w:p w:rsidR="006F4E31" w:rsidRDefault="008C26F1">
      <w:pPr>
        <w:pStyle w:val="aff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 Ханты-Мансийск</w:t>
      </w:r>
    </w:p>
    <w:p w:rsidR="006F4E31" w:rsidRDefault="006F4E31">
      <w:pPr>
        <w:jc w:val="both"/>
        <w:rPr>
          <w:rFonts w:ascii="Times New Roman" w:hAnsi="Times New Roman"/>
          <w:sz w:val="28"/>
        </w:rPr>
      </w:pPr>
    </w:p>
    <w:p w:rsidR="006F4E31" w:rsidRDefault="006F4E31">
      <w:pPr>
        <w:jc w:val="both"/>
        <w:rPr>
          <w:rFonts w:ascii="Times New Roman" w:hAnsi="Times New Roman"/>
          <w:sz w:val="28"/>
        </w:rPr>
      </w:pPr>
    </w:p>
    <w:p w:rsidR="006F4E31" w:rsidRDefault="008C26F1">
      <w:pPr>
        <w:ind w:right="39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br/>
        <w:t xml:space="preserve">в распоряжение Администрации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района </w:t>
      </w:r>
      <w:r>
        <w:rPr>
          <w:rFonts w:ascii="Times New Roman" w:hAnsi="Times New Roman"/>
          <w:sz w:val="28"/>
          <w:szCs w:val="28"/>
        </w:rPr>
        <w:br/>
        <w:t xml:space="preserve">от 16.08.2019 № 824-р </w:t>
      </w:r>
      <w:r>
        <w:rPr>
          <w:rFonts w:ascii="Times New Roman" w:hAnsi="Times New Roman"/>
          <w:sz w:val="28"/>
          <w:szCs w:val="28"/>
        </w:rPr>
        <w:br/>
        <w:t xml:space="preserve">«О развитии конкуренции </w:t>
      </w:r>
      <w:r>
        <w:rPr>
          <w:rFonts w:ascii="Times New Roman" w:hAnsi="Times New Roman"/>
          <w:sz w:val="28"/>
          <w:szCs w:val="28"/>
        </w:rPr>
        <w:br/>
        <w:t>в Ханты-Мансийском районе»</w:t>
      </w:r>
    </w:p>
    <w:p w:rsidR="006F4E31" w:rsidRDefault="006F4E3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F4E31" w:rsidRDefault="006F4E3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F4E31" w:rsidRDefault="008C26F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Указом Президента Российской Федерации </w:t>
      </w:r>
      <w:r>
        <w:rPr>
          <w:rFonts w:ascii="Times New Roman" w:hAnsi="Times New Roman"/>
          <w:sz w:val="28"/>
          <w:szCs w:val="28"/>
        </w:rPr>
        <w:br/>
        <w:t xml:space="preserve">от 21.12.2017 № 618 «Об основных направлениях государственной политики по развитию конкуренции», распоряжениями Правительства Российской Федерации от 17.04.2019 № 768-р «Об утверждении стандарта развития конкуренции в субъектах Российской Федерации», от 02.09.2021 «Об утверждении Национального плана («дорожной карты») развития конкуренции в Российской Федерации на 2021 – 2025 годы», распоряжением Губернатора Ханты-Мансийского автономного </w:t>
      </w:r>
      <w:r>
        <w:rPr>
          <w:rFonts w:ascii="Times New Roman" w:hAnsi="Times New Roman"/>
          <w:sz w:val="28"/>
          <w:szCs w:val="28"/>
        </w:rPr>
        <w:br/>
        <w:t xml:space="preserve">округа – Югры от 01.08.2019 № 162-рг «О развитии конкуренции </w:t>
      </w:r>
      <w:r>
        <w:rPr>
          <w:rFonts w:ascii="Times New Roman" w:hAnsi="Times New Roman"/>
          <w:sz w:val="28"/>
          <w:szCs w:val="28"/>
        </w:rPr>
        <w:br/>
        <w:t xml:space="preserve">в Ханты-Мансийском автономном округе – Югре», в целях создания условий для развития конкуренции на товарных рынках Ханты-Мансийского района, руководствуясь статьей 32 Устава Ханты-Мансийского района: </w:t>
      </w:r>
    </w:p>
    <w:p w:rsidR="006F4E31" w:rsidRDefault="006F4E3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4E31" w:rsidRDefault="008C26F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Cs/>
          <w:color w:val="000000" w:themeColor="text1"/>
          <w:sz w:val="28"/>
          <w:szCs w:val="28"/>
          <w:lang w:eastAsia="ar-SA"/>
        </w:rPr>
        <w:t>1.</w:t>
      </w:r>
      <w:r>
        <w:rPr>
          <w:rFonts w:ascii="Times New Roman" w:eastAsia="Arial" w:hAnsi="Times New Roman"/>
          <w:bCs/>
          <w:color w:val="000000" w:themeColor="text1"/>
          <w:sz w:val="28"/>
          <w:szCs w:val="28"/>
          <w:lang w:eastAsia="ar-SA"/>
        </w:rPr>
        <w:tab/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распоряжение Администрации Ханты-Мансийского района от 16.08.2019 № 824-р «О развитии конкуренции </w:t>
      </w:r>
      <w:r>
        <w:rPr>
          <w:rFonts w:ascii="Times New Roman" w:hAnsi="Times New Roman"/>
          <w:sz w:val="28"/>
          <w:szCs w:val="28"/>
        </w:rPr>
        <w:br/>
        <w:t>в Ханты-Мансийском районе» (далее – распоряжение) следующие изменения:</w:t>
      </w:r>
    </w:p>
    <w:p w:rsidR="006F4E31" w:rsidRDefault="008C26F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Преамбулу распоряжения после слов «от 25 июля 2019 года № 45» дополнить словами «, руководствуясь статьей 32 </w:t>
      </w:r>
      <w:r w:rsidR="0095576B">
        <w:rPr>
          <w:rFonts w:ascii="Times New Roman" w:hAnsi="Times New Roman"/>
          <w:sz w:val="28"/>
          <w:szCs w:val="28"/>
        </w:rPr>
        <w:t>Устава Ханты-Мансийского района</w:t>
      </w:r>
      <w:r w:rsidR="0066562E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F4E31" w:rsidRDefault="008C26F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 всему тексту распоряжения слова «администрация Ханты-Мансийского района» заменить словами «Администрация Ханты-Мансийского ра</w:t>
      </w:r>
      <w:r w:rsidR="0066562E">
        <w:rPr>
          <w:rFonts w:ascii="Times New Roman" w:hAnsi="Times New Roman"/>
          <w:sz w:val="28"/>
          <w:szCs w:val="28"/>
        </w:rPr>
        <w:t>йона» в соответствующих падежах.</w:t>
      </w:r>
    </w:p>
    <w:p w:rsidR="006F4E31" w:rsidRDefault="008C26F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1.3. Пункт 9 распоряжения изложить в следующей редакции: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«9. Контроль за выполнением настоящего распоряжения оставляю за собой</w:t>
      </w:r>
      <w:r w:rsidR="0066562E">
        <w:rPr>
          <w:rFonts w:ascii="Times New Roman" w:hAnsi="Times New Roman"/>
          <w:bCs/>
          <w:sz w:val="28"/>
          <w:szCs w:val="28"/>
        </w:rPr>
        <w:t>».</w:t>
      </w:r>
    </w:p>
    <w:p w:rsidR="006F4E31" w:rsidRDefault="008C26F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П</w:t>
      </w:r>
      <w:r>
        <w:rPr>
          <w:rFonts w:ascii="Times New Roman" w:hAnsi="Times New Roman"/>
          <w:sz w:val="28"/>
          <w:szCs w:val="28"/>
        </w:rPr>
        <w:t>риложение 1 к распоряжению изложить в новой редакции согласно приложе</w:t>
      </w:r>
      <w:r w:rsidR="0066562E">
        <w:rPr>
          <w:rFonts w:ascii="Times New Roman" w:hAnsi="Times New Roman"/>
          <w:sz w:val="28"/>
          <w:szCs w:val="28"/>
        </w:rPr>
        <w:t>нию 1 к настоящему распоряжению.</w:t>
      </w:r>
    </w:p>
    <w:p w:rsidR="006F4E31" w:rsidRDefault="008C26F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2 к распоряжению изложить в новой редакции согласно приложе</w:t>
      </w:r>
      <w:r w:rsidR="0066562E">
        <w:rPr>
          <w:rFonts w:ascii="Times New Roman" w:hAnsi="Times New Roman"/>
          <w:sz w:val="28"/>
          <w:szCs w:val="28"/>
        </w:rPr>
        <w:t>нию 2 к настоящему распоряжению.</w:t>
      </w:r>
    </w:p>
    <w:p w:rsidR="006F4E31" w:rsidRDefault="008C26F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распоряжение в газете «Наш район» и разместить на официальном сайте Администрации Ханты-Мансийского района.</w:t>
      </w:r>
    </w:p>
    <w:p w:rsidR="006F4E31" w:rsidRDefault="008C26F1">
      <w:pPr>
        <w:widowControl w:val="0"/>
        <w:tabs>
          <w:tab w:val="left" w:pos="6960"/>
        </w:tabs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ab/>
      </w:r>
    </w:p>
    <w:p w:rsidR="006F4E31" w:rsidRDefault="006F4E31">
      <w:pPr>
        <w:widowControl w:val="0"/>
        <w:tabs>
          <w:tab w:val="left" w:pos="1134"/>
        </w:tabs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E31" w:rsidRDefault="008C26F1">
      <w:pPr>
        <w:widowControl w:val="0"/>
        <w:tabs>
          <w:tab w:val="left" w:pos="7371"/>
        </w:tabs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Глава Ханты-Мансийского района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ab/>
        <w:t xml:space="preserve"> </w:t>
      </w:r>
      <w:proofErr w:type="spellStart"/>
      <w:r>
        <w:rPr>
          <w:rFonts w:ascii="Times New Roman" w:eastAsia="Arial" w:hAnsi="Times New Roman"/>
          <w:bCs/>
          <w:sz w:val="28"/>
          <w:szCs w:val="28"/>
          <w:lang w:eastAsia="ar-SA"/>
        </w:rPr>
        <w:t>К.Р.Минулин</w:t>
      </w:r>
      <w:proofErr w:type="spellEnd"/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8C26F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F4E31" w:rsidRDefault="008C26F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6F4E31" w:rsidRDefault="008C26F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F4E31" w:rsidRDefault="008C26F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 ____-р</w:t>
      </w:r>
    </w:p>
    <w:p w:rsidR="006F4E31" w:rsidRDefault="006F4E31">
      <w:pPr>
        <w:pStyle w:val="ConsPlusTitle"/>
        <w:jc w:val="right"/>
        <w:rPr>
          <w:rFonts w:ascii="Times New Roman" w:hAnsi="Times New Roman"/>
          <w:sz w:val="28"/>
          <w:szCs w:val="28"/>
        </w:rPr>
      </w:pPr>
    </w:p>
    <w:p w:rsidR="006F4E31" w:rsidRDefault="006F4E31">
      <w:pPr>
        <w:pStyle w:val="ConsPlusTitle"/>
        <w:jc w:val="right"/>
        <w:rPr>
          <w:rFonts w:ascii="Times New Roman" w:hAnsi="Times New Roman"/>
          <w:sz w:val="28"/>
          <w:szCs w:val="28"/>
        </w:rPr>
      </w:pPr>
    </w:p>
    <w:p w:rsidR="0066562E" w:rsidRDefault="006656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товарных рынков для содействия развитию</w:t>
      </w: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конкуренции в Ханты-Мансийском районе</w:t>
      </w:r>
    </w:p>
    <w:p w:rsidR="006F4E31" w:rsidRDefault="006F4E31">
      <w:pPr>
        <w:pStyle w:val="ConsPlusNormal0"/>
        <w:ind w:left="284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6F4E31" w:rsidRDefault="008C26F1">
      <w:pPr>
        <w:pStyle w:val="afe"/>
        <w:widowControl w:val="0"/>
        <w:numPr>
          <w:ilvl w:val="0"/>
          <w:numId w:val="1"/>
        </w:numPr>
        <w:jc w:val="both"/>
        <w:outlineLvl w:val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Рынок реализации продукции животноводства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6F4E31" w:rsidRDefault="008C26F1">
      <w:pPr>
        <w:pStyle w:val="ConsPlusTitle"/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 Рынок жилищного строительства (за исключением индивидуального жилищного строительства).</w:t>
      </w:r>
    </w:p>
    <w:p w:rsidR="006F4E31" w:rsidRDefault="008C26F1">
      <w:pPr>
        <w:pStyle w:val="ConsPlusTitle"/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3. Рынок дорожной деятельности (за исключением проектирования).</w:t>
      </w:r>
    </w:p>
    <w:p w:rsidR="006F4E31" w:rsidRDefault="008C26F1">
      <w:pPr>
        <w:pStyle w:val="ConsPlusTitle"/>
        <w:tabs>
          <w:tab w:val="left" w:pos="567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4. Рынок услуг дополнительного образования детей.</w:t>
      </w:r>
    </w:p>
    <w:p w:rsidR="006F4E31" w:rsidRDefault="008C26F1">
      <w:pPr>
        <w:pStyle w:val="ConsPlusTitle"/>
        <w:tabs>
          <w:tab w:val="left" w:pos="709"/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5. Рынок услуг отдыха и оздоровления детей.</w:t>
      </w:r>
    </w:p>
    <w:p w:rsidR="006F4E31" w:rsidRDefault="008C26F1">
      <w:pPr>
        <w:pStyle w:val="ConsPlusTitle"/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6. Рынок благоустройства городской среды.</w:t>
      </w:r>
    </w:p>
    <w:p w:rsidR="006F4E31" w:rsidRDefault="008C26F1">
      <w:pPr>
        <w:pStyle w:val="ConsPlusTitle"/>
        <w:spacing w:line="276" w:lineRule="auto"/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7. Рынок выполнения работ по содержанию и текущему ремонту общего имущества собственников помещений в многоквартирном доме.</w:t>
      </w:r>
    </w:p>
    <w:p w:rsidR="006F4E31" w:rsidRDefault="008C26F1">
      <w:pPr>
        <w:pStyle w:val="ConsPlusTitle"/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8. 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транспорта.</w:t>
      </w:r>
    </w:p>
    <w:p w:rsidR="006F4E31" w:rsidRDefault="008C26F1">
      <w:pPr>
        <w:pStyle w:val="ConsPlusTitle"/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9. Рынок услуг связи по предоставлению широкополосного доступа к сети Интернет.</w:t>
      </w:r>
    </w:p>
    <w:p w:rsidR="006F4E31" w:rsidRDefault="008C26F1">
      <w:pPr>
        <w:pStyle w:val="ConsPlusTitle"/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10. Рынок ритуальных услуг.</w:t>
      </w:r>
    </w:p>
    <w:p w:rsidR="006F4E31" w:rsidRDefault="008C26F1">
      <w:pPr>
        <w:pStyle w:val="ConsPlusTitle"/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11. Рынок оказания услуг по ремонту автотранспортных средств.</w:t>
      </w:r>
    </w:p>
    <w:p w:rsidR="006F4E31" w:rsidRDefault="008C26F1">
      <w:pPr>
        <w:pStyle w:val="ConsPlusTitle"/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12. Рынок нефтепродуктов.</w:t>
      </w:r>
    </w:p>
    <w:p w:rsidR="006F4E31" w:rsidRDefault="008C26F1">
      <w:pPr>
        <w:pStyle w:val="ConsPlusTitle"/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13 Сфера наружной рекламы.</w:t>
      </w:r>
    </w:p>
    <w:p w:rsidR="006F4E31" w:rsidRDefault="008C26F1">
      <w:pPr>
        <w:pStyle w:val="ConsPlusNormal0"/>
        <w:tabs>
          <w:tab w:val="left" w:pos="284"/>
        </w:tabs>
        <w:ind w:left="284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14. Рынок вылова водных биоресурсов.</w:t>
      </w:r>
    </w:p>
    <w:p w:rsidR="006F4E31" w:rsidRDefault="008C26F1">
      <w:pPr>
        <w:pStyle w:val="ConsPlusNormal0"/>
        <w:tabs>
          <w:tab w:val="left" w:pos="567"/>
        </w:tabs>
        <w:ind w:left="284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15. Рынок обработки древесины и производства изделий из дерева.</w:t>
      </w:r>
    </w:p>
    <w:p w:rsidR="006F4E31" w:rsidRDefault="008C26F1">
      <w:pPr>
        <w:pStyle w:val="ConsPlusNormal0"/>
        <w:tabs>
          <w:tab w:val="left" w:pos="567"/>
        </w:tabs>
        <w:ind w:left="284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16. Рынок туристских услуг.</w:t>
      </w:r>
    </w:p>
    <w:p w:rsidR="006F4E31" w:rsidRDefault="008C26F1">
      <w:pPr>
        <w:pStyle w:val="ConsPlusNormal0"/>
        <w:tabs>
          <w:tab w:val="left" w:pos="567"/>
        </w:tabs>
        <w:ind w:left="284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17. Рынок сбора и заготовки пищевых лесных ресурсов.</w:t>
      </w:r>
    </w:p>
    <w:p w:rsidR="006F4E31" w:rsidRDefault="008C26F1">
      <w:pPr>
        <w:pStyle w:val="ConsPlusNormal0"/>
        <w:tabs>
          <w:tab w:val="left" w:pos="567"/>
        </w:tabs>
        <w:ind w:left="284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18. Рынок выездной розничной торговли.</w:t>
      </w:r>
    </w:p>
    <w:p w:rsidR="006F4E31" w:rsidRDefault="008C26F1">
      <w:pPr>
        <w:pStyle w:val="ConsPlusNormal0"/>
        <w:tabs>
          <w:tab w:val="left" w:pos="567"/>
        </w:tabs>
        <w:ind w:left="284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19. Рынок оказания услуг общественного питания. </w:t>
      </w:r>
    </w:p>
    <w:p w:rsidR="006F4E31" w:rsidRDefault="008C26F1">
      <w:pPr>
        <w:pStyle w:val="ConsPlusNormal0"/>
        <w:tabs>
          <w:tab w:val="left" w:pos="567"/>
        </w:tabs>
        <w:ind w:left="284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  <w:sectPr w:rsidR="006F4E31">
          <w:headerReference w:type="default" r:id="rId8"/>
          <w:footerReference w:type="default" r:id="rId9"/>
          <w:headerReference w:type="first" r:id="rId10"/>
          <w:pgSz w:w="11905" w:h="16838"/>
          <w:pgMar w:top="1417" w:right="1276" w:bottom="1134" w:left="1559" w:header="567" w:footer="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  <w:highlight w:val="white"/>
        </w:rPr>
        <w:t>20. Рынок услуг в сфере культуры.</w:t>
      </w:r>
    </w:p>
    <w:p w:rsidR="006F4E31" w:rsidRDefault="008C26F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6F4E31" w:rsidRDefault="008C26F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6F4E31" w:rsidRDefault="008C26F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F4E31" w:rsidRDefault="008C26F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 ____-р</w:t>
      </w:r>
    </w:p>
    <w:p w:rsidR="006F4E31" w:rsidRDefault="006F4E31">
      <w:pPr>
        <w:pStyle w:val="ConsPlusTitle"/>
        <w:jc w:val="right"/>
        <w:rPr>
          <w:rFonts w:ascii="Times New Roman" w:hAnsi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мероприятий («дорожная карта») по содействию развитию конкуренции </w:t>
      </w: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Ханты-Мансийском районе</w:t>
      </w:r>
    </w:p>
    <w:p w:rsidR="006F4E31" w:rsidRDefault="006F4E31">
      <w:pPr>
        <w:widowControl w:val="0"/>
        <w:tabs>
          <w:tab w:val="left" w:pos="7797"/>
          <w:tab w:val="left" w:pos="11907"/>
        </w:tabs>
        <w:jc w:val="both"/>
        <w:rPr>
          <w:rFonts w:ascii="Times New Roman" w:hAnsi="Times New Roman"/>
          <w:sz w:val="28"/>
          <w:szCs w:val="28"/>
        </w:rPr>
      </w:pPr>
    </w:p>
    <w:p w:rsidR="006F4E31" w:rsidRDefault="008C26F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Раздел I. Мероприятия по содействию развитию конкуренции на товарных рынках </w:t>
      </w:r>
    </w:p>
    <w:p w:rsidR="006F4E31" w:rsidRDefault="008C26F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Ханты-Мансийском районе</w:t>
      </w:r>
    </w:p>
    <w:p w:rsidR="006F4E31" w:rsidRDefault="006F4E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57"/>
        <w:gridCol w:w="3826"/>
        <w:gridCol w:w="2477"/>
        <w:gridCol w:w="2342"/>
        <w:gridCol w:w="1283"/>
        <w:gridCol w:w="1562"/>
        <w:gridCol w:w="1982"/>
      </w:tblGrid>
      <w:tr w:rsidR="006F4E31">
        <w:trPr>
          <w:trHeight w:val="20"/>
        </w:trPr>
        <w:tc>
          <w:tcPr>
            <w:tcW w:w="55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826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247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Описание проблемы, на решение которой направлено мероприятие</w:t>
            </w:r>
          </w:p>
        </w:tc>
        <w:tc>
          <w:tcPr>
            <w:tcW w:w="234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Ключевое событие/результат</w:t>
            </w:r>
          </w:p>
        </w:tc>
        <w:tc>
          <w:tcPr>
            <w:tcW w:w="128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</w:t>
            </w:r>
          </w:p>
        </w:tc>
        <w:tc>
          <w:tcPr>
            <w:tcW w:w="156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документа</w:t>
            </w:r>
          </w:p>
        </w:tc>
        <w:tc>
          <w:tcPr>
            <w:tcW w:w="198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</w:tr>
      <w:tr w:rsidR="006F4E31">
        <w:trPr>
          <w:trHeight w:val="20"/>
        </w:trPr>
        <w:tc>
          <w:tcPr>
            <w:tcW w:w="557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widowControl w:val="0"/>
              <w:outlineLvl w:val="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Рынок реализации продукции животноводства</w:t>
            </w:r>
          </w:p>
          <w:p w:rsidR="006F4E31" w:rsidRDefault="008C26F1">
            <w:pPr>
              <w:pStyle w:val="ConsPlusNormal0"/>
              <w:tabs>
                <w:tab w:val="left" w:pos="8969"/>
              </w:tabs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ab/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182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Предоставление субсидии на поддержку животноводства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низкая конкурентоспособность продукции животноводства, произведенной на территории Ханты-Мансийского района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условий для развития конкуренции на рынке продукции животноводства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комитет экономической политики Администрации Ханты-Мансийского района (далее - КЭП); 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Оказание содействия предприятиям в участии в </w:t>
            </w:r>
            <w:proofErr w:type="spellStart"/>
            <w:r>
              <w:rPr>
                <w:rFonts w:ascii="Times New Roman" w:hAnsi="Times New Roman" w:cs="Times New Roman"/>
                <w:sz w:val="20"/>
                <w:highlight w:val="white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sz w:val="20"/>
                <w:highlight w:val="white"/>
              </w:rPr>
              <w:t>-ярмарочных мероприятиях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наличие административных барьеров для выхода на рынок автономного округа новых хозяйствующих субъектов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экономической эффективности и конкурентоспособности на рынке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муниципальное автономное учреждение Ханты-Мансийского района "Организационно-методический центр" (далее - МАУ «ОМЦ»)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Оценка состояния конкурентной среды на рынке животноводства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недостаточность информации о состоянии отрасли (проблемы развития, меры поддержки)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участников рынка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Рынок жилищного строительства (за исключением индивидуального жилищного строительства)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2.1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Внедрение целевой модели «Получение разрешения на строительство и территориальное планирование» в жилищном строительстве, оказание муниципальных услуг в соответствии с административным регламентом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низкая информированность участников градостроительных отношений о порядке получения муниципальных услуг в сфере градостроительства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снижение сроков получения разрешений на строительство и ввод объекта в эксплуатацию,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сроков проведения экспертизы проектной документации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Департамент строительства, архитектуры и ЖКХ Администрации Ханты-Мансийского района (далее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  <w:p w:rsidR="006F4E31" w:rsidRDefault="006F4E3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2.2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Обеспечение инженерной инфраструктурой земельных участков, предоставляемых для жилищного строительства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существенные капитальные затраты застройщика на обеспечение земельных участков инженерной инфраструктурой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сокращение затрат застройщиков на строительство инженерной инфраструктуры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2025 года; 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2.3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Реализация проектов по строительству жилья с использованием механизма комплексное развитие территорий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дефицит финансовых ресурсов необходимых для реализации инвестиционных проектов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использование механизмов государственного-частного партнерства в строительстве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, департамент имущественных и земельных отношений Администрации Ханты-Мансийского района (далее - ДИЗО)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Рынок дорожной деятельности (за исключением проектирования)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Совершенствование технологий дорожных работ с целью повышения долговечности дорожных конструкций, качества дорожно-строительных материалов, применения новых технологий, техники, решения задачи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импортозамещения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>высокая стоимость дорожных работ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увеличение доли автомобильных дорог, соответствующих нормативным требованиям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мониторинг исполнения муниципальных контрактов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Утверждение (актуализация) комплексной схемы организации дорожного движения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trike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>рост автомобилизации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увеличение пропускной способности улично-дорожной сети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правовой акт органа местного самоуправления</w:t>
            </w:r>
          </w:p>
          <w:p w:rsidR="006F4E31" w:rsidRDefault="006F4E3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 сельских поселений (по согласованию)</w:t>
            </w:r>
          </w:p>
        </w:tc>
      </w:tr>
      <w:tr w:rsidR="006F4E31">
        <w:trPr>
          <w:trHeight w:val="20"/>
        </w:trPr>
        <w:tc>
          <w:tcPr>
            <w:tcW w:w="557" w:type="dxa"/>
          </w:tcPr>
          <w:p w:rsidR="006F4E31" w:rsidRDefault="008C26F1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услуг дополнительного образования детей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Актуализация реестра негосударственных (немуниципальных) (частных) организаций, осуществляющих образовательную деятельность по реализации дополнительных общеразвивающих программ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недостаточность информации о системе предоставления услуг по реализации дополнительных общеразвивающих программ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организация мониторинга негосударственных организаций, осуществляющих образовательную деятельность по реализации дополнительных общеразвивающих программ, информированность населения и поставщиков об услугах в сфере дополнительного образования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реестр в АИС «ПФДО» – региональном навигаторе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дополнительно-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образования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комитет по образованию,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МАУ «ОМЦ»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Повышение уровня профессиональной компетентности работников негосударственных организаций, реализующих дополнительные общеразвивающие программы, через участие в мероприятиях методической направленности (программы дополнительного профессионального образования, стажировки, семинары-практики и т.д.)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наличие рисков несоблюдения законодательства при оказании услуг по реализации дополнительных общеразвивающих программ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оказание общественно полезной услуги «реализация дополнительных общеразвивающих программ» в соответствии с требованиями законодательства Российской Федерации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программы методических мероприятий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комитет по образованию,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МАУ «ОМЦ»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Реализация комплекса мер, направленных 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 формирование современных управленческих и организационно-экономических механизмов в системе дополнительного образования детей, в части реализации модели персонифицированного финансирования дополни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тельного образования детей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6F4E3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6F4E31" w:rsidRDefault="008C2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закрепление гарантий на получение дополнительного образования для детей в возрасте от 5 до 18 лет, развитие негосударственного сектора в сфере дополнительного образования детей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обеспечение равного доступа к участию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(за исключением финансирования дополнительного образования в детских школах искусств)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6F4E3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комитет по образованию,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МАУ «ОМЦ»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услуг отдыха и оздоровления детей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недостаточное участие негосударственных (немуниципальных) организаций в предоставлении услуг по отдыху и оздоровлению детей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развитие конкуренции в сфере услуг отдыха и оздоровления детей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информация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орган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комитет по образованию,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управление по культуре, спорту и социальной политики Администрации Ханты-Мансийского района (далее – управление культуры), муниципальное автономное учреждение дополнительного образования «Спортивная школа Ханты-Мансийского района» (далее – МУ ДО «Спортивная школа»)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Оказание консультативной и методической помощи негосударственным (немуниципальным) организациям, предоставляющим услуги по организации отдыха и оздоровления детей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наличие потребности у представителей негосударственного (немуниципального) сектора в организационно-консультативной и информационно-методической помощи по организации предоставления услуг отдыха и оздоровления детей 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развитие сектора негосударственных (немуниципальных) организаций отдыха детей и их оздоровление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комитет по образованию,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управление культуры, МАУ «Спортивная школа»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благоустройства городской среды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Реализация мероприятий по благоустройству общественных территорий муниципальных образований, нуждающихся в благоустройстве по итогам проведенной инвентаризации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необходимость приведения общественных территорий в надлежащее состояние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создание условий для развития конкуренции на рынке благоустройства городской среды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информация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орган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Проведение информационно-разъяснительной кампании, направленной на информирование собственников помещений в многоквартирных домах и организаций, оказывающих услуги по содержанию и текущему ремонту общего имущества в многоквартирных домах, об их правах и обязанностях в сфере обслуживания жилищного фонда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низкая активность собственников помещений в многоквартирных домах в решении вопросов содержания общего имущества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создание условий для развития конкуренции на рынке обслуживания жилищного фонда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информация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орган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Организация и проведение открытых конкурсов (электронных аукционов) по муниципальным маршрутам регулярных перевозок в соответствии с Федеральным </w:t>
            </w:r>
            <w:hyperlink r:id="rId11" w:tooltip="consultantplus://offline/ref=818C41871BE4F2EAD3BF9FA2499A27984508B90219A57D38CBFC3758A25E5A22E8A12610AFF70086B1806F6FE7z3l4E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недостаточность регулярного транспортного сообщения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высокие административные барьеры доступа на товарный рынок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Информирование населения о работе пассажирского автомобильного транспорта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низкий уровень информированности населения о работе пассажирского автомобильного транспорта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повышение информированности населения по вопросам организации регулярных перевозок пассажиров автомобильным транспортом в муниципальном сообщении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официальных сайтах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.4.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высокие административные барьеры доступа на товарный рынок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повышение безопасности и качества предоставляемых населению транспортных услуг, увеличение доходов перевозчиков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необходимо-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сти</w:t>
            </w:r>
            <w:proofErr w:type="spellEnd"/>
            <w:proofErr w:type="gramEnd"/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.5.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Мониторинг пассажиропотока и потребностей муниципального образования Ханты-Мансийский район в корректировке существующей маршрутной сети и создание новых маршрутов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высокие административные барьеры доступа на товарный рынок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trike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>информация в автоматизированной информационной системе "Мониторинг Югра"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.6.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высокие административные барьеры доступа на товарный рынок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повышение безопасности и качества предоставляемых населению транспортных услуг, увеличению доходов перевозчиков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правовой акт органов местного самоуправления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услуг связи по предоставлению широкополосного доступа к сети Интернет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Рассмотрение вопросов, связанных с размещением инфраструктуры связи в муниципальных районах, на заседаниях муниципальных общественных советов при участии операторов связи, а также на заседаниях рабочей группы при Департаменте информационных технологий Ханты-Мансийского автономного округа – Югры по развитию конкуренции на рынке услуг связи в Ханты-Мансийском автономном округе – Югре в случае поступления жалоб операторов связи по проблемам размещения объектов связи в муниципальных районах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неравномерная обеспеченность муниципальных образований поставщиками услуг ШПД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увеличение количества объектов инфраструктуры по предоставлению сигнала связи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протоколы заседаний муниципальных общественных советов, протокол заседания рабочей группы при Департаменте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информацион-ных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технологий Ханты-Мансийского автономного округа – Югры по развитию конкуренции на рынке услуг связи в Ханты-Мансийском автономном округе – Югре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Организация взаимодействия операторов связи с органами местного самоуправления и организациями жилищно-коммунального хозяйства по вопросам развития инфраструктуры связи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слабое развитие инфраструктуры связи в муниципальных образованиях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содействие в реализации проектов в сфере развития инфраструктуры связи и средств связи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ритуальных услуг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Ведение реестра участников рынка с указанием перечня предоставляемых ритуальных услуг, в том числе гарантированного перечня услуг по погребению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недостаточное обеспечение прозрачности деятельности участников рынка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повышение информированности населения об организациях, предоставляющих гарантированный перечень услуг по погребению и иные ритуальные услуги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Создание на официальных сайтах органов местного самоуправления муниципальных образований специализированных разделов (вкладок) «Ритуальные услуги», актуализация информации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недостаточное информирование населения об услугах на рынке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создание условий для развития конкуренции на рынке, обеспечение доступа потребителей к информации о перечне 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 стоимости предоставляемых участниками рынка ритуальных услуг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Организация инвентаризации кладбищ и мест захоронений на них, создание по результатам инвентаризации регионального реестра кладбищ и мест захоронений с размещением указанного реестра на региональном портале государственных и муниципальных услуг, доведение до населения информации, в том числе с использованием СМИ о создании названных реестров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закрытость и непрозрачность процедур предоставления мест захоронения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стандартизация и перевод в электронный вид услуг по предоставлению мест захоронений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ноября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правовые акты органов местного самоуправления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администрации сельских поселений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оказания услуг по ремонту автотранспортных средств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товарном рынке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недостаточная информированность хозяйствующих субъектов о регулировании деятельности на товарном рынке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повышение информированности хозяйствующих субъектов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329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нефтепродуктов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.1.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Ведение реестра земельных участков, предназначенных для строительства автозаправочных станций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ограниченная доступность автозаправочных станций в удаленных населенных пунктах и на отдельных участках автомобильных дорог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условий для увеличения количества автозаправочных станций в удаленных населенных пунктах и на отдельных участках автомобильных дорог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12.2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Осуществление мониторинга розничных цен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автомобильное топливо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риски повышения цен на нефтепродукты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контроля за уровнем цен на нефтепродукты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информация в АИС «Мониторинг Югра»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КЭП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13.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Сфера наружной рекламы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13.1.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Выявление и осуществление демонтажа незаконных рекламных конструкций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установка рекламных конструкций в отсутствие действующих разрешений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размещение рекламных конструкций в соответствии с утвержденной схемой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правовые акты органов местного самоуправления, 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администрации 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13.2.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Актуализация схем размещения рекламных конструкций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недостаточная информированность хозяйствующих субъектов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открытый доступ для хозяйствующих субъектов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правовые акты органов местного самоуправления, 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администрации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13.3.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Размещение на официальных сайтах органов местного самоуправления правовых актов в сфере наружной рекламы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недостаточная информированность организаций частной формы собственности о правовом регулировании сферы наружной рекламы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повышение уровня правовой грамотности хозяйствующих субъектов, осуществляющих деятельность в сфере наружной рекламы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администрации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179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13.4.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Размещение информации на официальных сайтах органов местного самоуправления о проведении торгов на право установки и эксплуатации рекламных конструкций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недостаточная информированность организаций частной формы собственности о проведении торгов на право установки и эксплуатации рекламных конструкций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соблюдение принципов открытости и прозрачности при проведении торгов на право установки и эксплуатации рекламных конструкций, проведение торгов в электронном виде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правовые акты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, 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сельских поселений (по согласованию)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14.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Рынок вылова водных биоресурсов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14.1.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Предоставление субсидии на компенсацию части затрат предприятиям </w:t>
            </w:r>
            <w:proofErr w:type="spellStart"/>
            <w:r>
              <w:rPr>
                <w:rFonts w:ascii="Times New Roman" w:hAnsi="Times New Roman" w:cs="Times New Roman"/>
                <w:sz w:val="20"/>
                <w:highlight w:val="white"/>
              </w:rPr>
              <w:t>рыбохозяйственного</w:t>
            </w:r>
            <w:proofErr w:type="spellEnd"/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комплекса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низкая конкурентоспособность продукции рыбного комплекса, произведенной на территории Ханты-Мансийского района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условий для развития конкуренции на рынке продукции рыбного комплекса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30 декабря     2025 года;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14.2.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Размещение информации о рыболовных участках, расположенных на территории автономного округа, а также рыболовных участках, предоставленных в пользование хозяйствующим субъектам по результатам конкурса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организаций частной формы собственности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организаций частной формы собственности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   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14.3.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Оказание содействия хозяйствующим субъектам, занимающимся выловом водных биоресурсов, по участию в выставках и (или) ярмарках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выход на рынок автономного округа новых хозяйствующих субъектов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экономической эффективности и конкурентоспособности хозяйствующих субъектов на рынке сельскохозяйственной продукции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   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15.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Рынок обработки древесины и производство изделий из дерева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15.1.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Оказание муниципальной поддержки (финансовой, имущественной, информационно-консультационной) предприятиям лесопромышленного комплекса, осуществляющим деятельность по обработке древесины и производству изделий из дерева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низкая конкурентоспособность производимой продукции в Ханты-Мансийском районе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условий для развития конкуренции на рынке лесопромышленной продукции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«ОМЦ»;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ДИЗО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15.2.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Формирование инвестиционных площадок для реализации новых инвестиционных проектов в сфере обработки древесины и производство изделий из дерева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низкая конкурентоспособность производимой продукции в Ханты-Мансийском районе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условий для развития конкуренции на рынке лесопромышленной продукции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ДИЗО;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16.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Рынок туристских услуг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16.1.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Информирование хозяйствующих субъектов о мерах муниципальной поддержки на развитие внутреннего и въездного туризма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хозяйствующих субъектов о реализуемых в автономном округе мерах государственной поддержки,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низкая инвестиционная привлекательность рынка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расширение спектра услуг субъектов туристской индустрии, развитие внутреннего и въездного туризма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16.2.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Мероприятия, направленные на продвижение туристских возможностей автономного округа на российском и международном рынках (информационные кампании, ознакомительные поездки, участие в региональных и международных выставках)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низкая информированность потенциальных туристов о туристских возможностях автономного округа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продвижение туристских возможностей автономного округа и турпродуктов субъектов туристской индустрии автономного округа на российском и международном рынках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16.3.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Ведение реестра туристских ресурсов и организаций туристской индустрии муниципального образования в открытом доступе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отсутствие доступной, полной и своевременной информации об услугах в указанной сфере, оказываемых хозяйствующими субъектами автономного округа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содействие в продвижении услуг в сфере туризма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МБУ «Досуговый центр «</w:t>
            </w:r>
            <w:proofErr w:type="spellStart"/>
            <w:r>
              <w:rPr>
                <w:rFonts w:ascii="Times New Roman" w:hAnsi="Times New Roman" w:cs="Times New Roman"/>
                <w:sz w:val="20"/>
                <w:highlight w:val="white"/>
              </w:rPr>
              <w:t>Имитуй</w:t>
            </w:r>
            <w:proofErr w:type="spellEnd"/>
            <w:r>
              <w:rPr>
                <w:rFonts w:ascii="Times New Roman" w:hAnsi="Times New Roman" w:cs="Times New Roman"/>
                <w:sz w:val="20"/>
                <w:highlight w:val="white"/>
              </w:rPr>
              <w:t>»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17.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Рынок сбора и заготовки пищевых лесных ресурсов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17.1.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сбора и заготовки пищевых лесных ресурсов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наличие потребности у хозяйствующих субъектов организационно-методической и консультативной помощи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хозяйствующих субъектов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17.2.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Информирование хозяйствующих субъектов о возможности участия в региональных и межрегиональных выставках-ярмарках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хозяйствующих субъектов о реализуемых в автономном округе мерах государственной поддержки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экономической эффективности и конкурентоспособности хозяйствующих субъектов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17.3.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Информирование хозяйствующих субъектов о возможности участия в региональных и межрегиональных выставках-ярмарках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хозяйствующих субъектов о выставках и ярмарках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экономической эффективности и конкурентоспособности хозяйствующих субъектов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  <w:p w:rsidR="006F4E31" w:rsidRDefault="006F4E31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33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18.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Рынок выездной розничной торговли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18.1.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Формирование перечня выездных торговых мероприятий (ярмарок) в населенных пунктах района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недостаточность информирования участников рынка о проводимых выездных торговых мероприятий (ярмарок) в населенных пунктах района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участников рынка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18.2.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Организация выездных торговых мероприятий (ярмарок) в населенных пунктах района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отсутствие достаточного ассортимента товаров, в том числе продуктов питания для потребителей в сельской местности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обеспечения жителей сельской местности потребительскими товарами в достаточном ассортименте и количестве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18.3.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Оценка состояния конкурентной среды на рынке выездной розничной торговли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недостаточность информации о состоянии отрасли (проблемы развития, меры поддержки)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участников рынка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445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19.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Рынок оказания услуг общественного питания 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19.1.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условий для развития объектов общественного питания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отсутствие услуг общественного питания для населения в сельской местности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обеспечения жителей сельской местности услугами общественного питания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19.2.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Оценка состояния конкурентной среды на рынке оказания услуг общественного питания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недостаточность информации о состоянии отрасли (проблемы развития, меры поддержки)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участников рынка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6F4E31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20.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Рынок услуг в сфере культуры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20.1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услуг в сфере культуры, в том числе о возможности получения мер поддержки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хозяйствующих субъектов об осуществлении деятельности на рынке услуг в сфере культуры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хозяйствующих субъектов о доступности входа на товарный рынок и осуществлении деятельности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управление культуры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20.2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Ведение перечня хозяйствующих субъектов, осуществляющих деятельность в сфере культуры, по направлениям деятельности и видам предоставляемых услуг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хозяйствующих субъектов об осуществлении деятельности на рынке услуг в сфере культуры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населения о деятельности хозяйствующих субъектов, предоставляющих услуги в сфере культуры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управление культуры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1642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20.3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Информирование об организации и проведении культурно-массовых мероприятий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населения о проведении культурно-массовых мероприятий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увеличение числа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посещений культурно-массовых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мероприятий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управление культуры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20.4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Оценка состояния конкурентной среды в сфере культуры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недостаточность информации о состоянии отрасли (проблемы развития, меры поддержки)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участников рынка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управление культуры</w:t>
            </w:r>
          </w:p>
        </w:tc>
      </w:tr>
    </w:tbl>
    <w:p w:rsidR="006F4E31" w:rsidRDefault="006F4E31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0"/>
          <w:highlight w:val="white"/>
        </w:rPr>
      </w:pPr>
    </w:p>
    <w:p w:rsidR="006F4E31" w:rsidRDefault="008C26F1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Раздел II. Целевые показатели, на достижение которых</w:t>
      </w: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направлены системные мероприятия «дорожной карты»</w:t>
      </w:r>
    </w:p>
    <w:p w:rsidR="006F4E31" w:rsidRDefault="006F4E3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62"/>
        <w:gridCol w:w="3544"/>
        <w:gridCol w:w="2835"/>
        <w:gridCol w:w="1276"/>
        <w:gridCol w:w="567"/>
        <w:gridCol w:w="567"/>
        <w:gridCol w:w="567"/>
        <w:gridCol w:w="567"/>
        <w:gridCol w:w="709"/>
        <w:gridCol w:w="3546"/>
      </w:tblGrid>
      <w:tr w:rsidR="006F4E31">
        <w:trPr>
          <w:trHeight w:val="20"/>
        </w:trPr>
        <w:tc>
          <w:tcPr>
            <w:tcW w:w="56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№ п/п</w:t>
            </w:r>
          </w:p>
        </w:tc>
        <w:tc>
          <w:tcPr>
            <w:tcW w:w="6379" w:type="dxa"/>
            <w:gridSpan w:val="2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Наименование контрольного (целевого) показателя</w:t>
            </w:r>
          </w:p>
        </w:tc>
        <w:tc>
          <w:tcPr>
            <w:tcW w:w="1276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Ед. изм.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</w:t>
            </w:r>
          </w:p>
        </w:tc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</w:t>
            </w:r>
          </w:p>
        </w:tc>
        <w:tc>
          <w:tcPr>
            <w:tcW w:w="354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Исполнитель</w:t>
            </w:r>
          </w:p>
        </w:tc>
      </w:tr>
      <w:tr w:rsidR="006F4E31">
        <w:trPr>
          <w:trHeight w:val="20"/>
        </w:trPr>
        <w:tc>
          <w:tcPr>
            <w:tcW w:w="56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</w:t>
            </w:r>
          </w:p>
        </w:tc>
        <w:tc>
          <w:tcPr>
            <w:tcW w:w="6379" w:type="dxa"/>
            <w:gridSpan w:val="2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</w:t>
            </w:r>
          </w:p>
        </w:tc>
        <w:tc>
          <w:tcPr>
            <w:tcW w:w="1276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5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6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7</w:t>
            </w:r>
          </w:p>
        </w:tc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8</w:t>
            </w:r>
          </w:p>
        </w:tc>
        <w:tc>
          <w:tcPr>
            <w:tcW w:w="354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8</w:t>
            </w:r>
          </w:p>
        </w:tc>
      </w:tr>
      <w:tr w:rsidR="006F4E31">
        <w:trPr>
          <w:trHeight w:val="20"/>
        </w:trPr>
        <w:tc>
          <w:tcPr>
            <w:tcW w:w="562" w:type="dxa"/>
          </w:tcPr>
          <w:p w:rsidR="006F4E31" w:rsidRDefault="008C26F1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</w:t>
            </w:r>
          </w:p>
        </w:tc>
        <w:tc>
          <w:tcPr>
            <w:tcW w:w="3544" w:type="dxa"/>
          </w:tcPr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0634" w:type="dxa"/>
            <w:gridSpan w:val="8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Развитие конкуренции при осуществлении процедур государственных и муниципальных закупок, а также закупок хозяйствующих субъектов, доля автономного округа или муниципального образования в которых составляет более 50 процентов</w:t>
            </w:r>
          </w:p>
        </w:tc>
      </w:tr>
      <w:tr w:rsidR="006F4E31">
        <w:trPr>
          <w:trHeight w:val="20"/>
        </w:trPr>
        <w:tc>
          <w:tcPr>
            <w:tcW w:w="56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1.1.</w:t>
            </w:r>
          </w:p>
        </w:tc>
        <w:tc>
          <w:tcPr>
            <w:tcW w:w="6379" w:type="dxa"/>
            <w:gridSpan w:val="2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закупок, осуществляемых в соответствии с Федеральным </w:t>
            </w:r>
            <w:hyperlink r:id="rId12" w:tooltip="consultantplus://offline/ref=818C41871BE4F2EAD3BF9FA2499A27984601B80A1EA57D38CBFC3758A25E5A22E8A12610AFF70086B1806F6FE7z3l4E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  <w:highlight w:val="white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br/>
              <w:t>18 июля 2011 года № 223-ФЗ «О закупках товаров, работ, услуг отдельными видами юридических лиц»</w:t>
            </w:r>
          </w:p>
        </w:tc>
        <w:tc>
          <w:tcPr>
            <w:tcW w:w="1276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процент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</w:t>
            </w:r>
          </w:p>
        </w:tc>
        <w:tc>
          <w:tcPr>
            <w:tcW w:w="709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35</w:t>
            </w:r>
          </w:p>
        </w:tc>
        <w:tc>
          <w:tcPr>
            <w:tcW w:w="3544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«ОМЦ»;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муниципальное автономное учреждение Ханты-Мансийского района «Редакция газеты «Наш район» (далее – МАУ Газета «Наш район»);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муниципальное автономное учреждение «Молодежный Центр Ханты-Мансийского района»;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администрации сельских поселений 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(по согласованию)</w:t>
            </w:r>
          </w:p>
        </w:tc>
      </w:tr>
      <w:tr w:rsidR="006F4E31">
        <w:trPr>
          <w:trHeight w:val="20"/>
        </w:trPr>
        <w:tc>
          <w:tcPr>
            <w:tcW w:w="56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1.2.</w:t>
            </w:r>
          </w:p>
        </w:tc>
        <w:tc>
          <w:tcPr>
            <w:tcW w:w="6379" w:type="dxa"/>
            <w:gridSpan w:val="2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Среднее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нужд, осуществляемых в соответствии с Федеральным </w:t>
            </w:r>
            <w:hyperlink r:id="rId13" w:tooltip="consultantplus://offline/ref=818C41871BE4F2EAD3BF9FA2499A27984401BB0218A47D38CBFC3758A25E5A22E8A12610AFF70086B1806F6FE7z3l4E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  <w:highlight w:val="white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от 5 апреля 2013 года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      </w:r>
          </w:p>
        </w:tc>
        <w:tc>
          <w:tcPr>
            <w:tcW w:w="1276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ед.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70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b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354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финансам;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администрации сельских поселений 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(по согласованию)</w:t>
            </w:r>
          </w:p>
        </w:tc>
      </w:tr>
      <w:tr w:rsidR="006F4E31">
        <w:trPr>
          <w:trHeight w:val="20"/>
        </w:trPr>
        <w:tc>
          <w:tcPr>
            <w:tcW w:w="56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1.3.</w:t>
            </w:r>
          </w:p>
        </w:tc>
        <w:tc>
          <w:tcPr>
            <w:tcW w:w="6379" w:type="dxa"/>
            <w:gridSpan w:val="2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Доля закупок у субъектов малого предпринимательства, социально ориентированных некоммерческих организаций в соответствии с Федеральным </w:t>
            </w:r>
            <w:hyperlink r:id="rId14" w:tooltip="consultantplus://offline/ref=818C41871BE4F2EAD3BF9FA2499A27984401BB0218A47D38CBFC3758A25E5A22E8A12610AFF70086B1806F6FE7z3l4E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  <w:highlight w:val="white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№ 44-ФЗ </w:t>
            </w:r>
          </w:p>
        </w:tc>
        <w:tc>
          <w:tcPr>
            <w:tcW w:w="1276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процент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31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31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31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31</w:t>
            </w:r>
          </w:p>
        </w:tc>
        <w:tc>
          <w:tcPr>
            <w:tcW w:w="70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b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highlight w:val="white"/>
              </w:rPr>
              <w:t>35</w:t>
            </w:r>
          </w:p>
        </w:tc>
        <w:tc>
          <w:tcPr>
            <w:tcW w:w="354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комитет по финансам; 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администрации сельских поселений 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(по согласованию)</w:t>
            </w:r>
          </w:p>
        </w:tc>
      </w:tr>
    </w:tbl>
    <w:p w:rsidR="006F4E31" w:rsidRDefault="006F4E31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6F4E31" w:rsidRDefault="008C26F1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Раздел 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en-US"/>
        </w:rPr>
        <w:t>II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. Системные мероприятия, направленные на развитие</w:t>
      </w: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конкурентной среды</w:t>
      </w:r>
    </w:p>
    <w:p w:rsidR="006F4E31" w:rsidRDefault="006F4E3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</w:p>
    <w:tbl>
      <w:tblPr>
        <w:tblW w:w="148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62"/>
        <w:gridCol w:w="4258"/>
        <w:gridCol w:w="2268"/>
        <w:gridCol w:w="2484"/>
        <w:gridCol w:w="1559"/>
        <w:gridCol w:w="2056"/>
        <w:gridCol w:w="1630"/>
        <w:gridCol w:w="17"/>
      </w:tblGrid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№ </w:t>
            </w:r>
          </w:p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п/п</w:t>
            </w:r>
          </w:p>
        </w:tc>
        <w:tc>
          <w:tcPr>
            <w:tcW w:w="4258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Наименование мероприятия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Описание проблемы, </w:t>
            </w:r>
          </w:p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на решение которой направлено </w:t>
            </w:r>
          </w:p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мероприятие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Ключевое событие/результат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Срок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Вид документа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Исполнитель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</w:t>
            </w:r>
          </w:p>
        </w:tc>
        <w:tc>
          <w:tcPr>
            <w:tcW w:w="4258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5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6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7</w:t>
            </w:r>
          </w:p>
        </w:tc>
      </w:tr>
      <w:tr w:rsidR="006F4E31">
        <w:tc>
          <w:tcPr>
            <w:tcW w:w="14834" w:type="dxa"/>
            <w:gridSpan w:val="8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Раздел I. Системные мероприятия, предусмотренные пунктом 30 Стандарта развития конкуренции в субъектах Российской Федерации, утвержденного распоряжением Правительства Российской Федерации от 17 апреля 2019 года № 768-р (далее – стандарт)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</w:t>
            </w:r>
          </w:p>
        </w:tc>
        <w:tc>
          <w:tcPr>
            <w:tcW w:w="14272" w:type="dxa"/>
            <w:gridSpan w:val="7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1.1.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Организация участия экспортно-ориентированных субъектов малого и среднего предпринимательства Югры в международных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выставочно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-ярмарочных мероприятиях, бизнес-миссиях</w:t>
            </w:r>
          </w:p>
        </w:tc>
        <w:tc>
          <w:tcPr>
            <w:tcW w:w="2268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отсутствие системы продвижения продукции субъектов малого и среднего предпринимательства</w:t>
            </w:r>
          </w:p>
        </w:tc>
        <w:tc>
          <w:tcPr>
            <w:tcW w:w="2484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продвижение продукции и услуг малых и средних компаний на внешних рынках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25 января 2023 года; 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 января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 января 2025 года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 января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1.2.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Содействие в разработке технических условий, получении документов соответствия (сертификатов, деклараций) на продукцию, производимую субъектами малого и среднего предпринимательства, в том числе экспортно-ориентированных предприятий</w:t>
            </w:r>
          </w:p>
        </w:tc>
        <w:tc>
          <w:tcPr>
            <w:tcW w:w="2268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необходимость увеличения количества субъектов малого и среднего предпринимательства</w:t>
            </w:r>
          </w:p>
        </w:tc>
        <w:tc>
          <w:tcPr>
            <w:tcW w:w="2484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создание условий для развития субъектов малого и среднего предпринимательства, в том числе экспортно-ориентированных предприятий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2.</w:t>
            </w:r>
          </w:p>
        </w:tc>
        <w:tc>
          <w:tcPr>
            <w:tcW w:w="14272" w:type="dxa"/>
            <w:gridSpan w:val="7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2.1.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Проведение обучающих мероприятий для субъектов малого и среднего предпринимательства по участию в закупках по Федеральному закону № 44-ФЗ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масштабные преобразования и изменения законодательства в сфере закупок требуют соответствующего повышения квалификации субъектов малого и среднего предпринимательства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повышение уровня компетентности субъектов малого и среднего предпринимательства по участию в закупках по Федеральному закону 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№ 44-ФЗ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МАУ «ОМЦ» 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3.</w:t>
            </w:r>
          </w:p>
        </w:tc>
        <w:tc>
          <w:tcPr>
            <w:tcW w:w="14272" w:type="dxa"/>
            <w:gridSpan w:val="7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Повышение качества управления закупочной деятельностью учреждений с муниципальным участием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3.1.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Размещение хозяйствующими субъектами, доля муниципального образования в которых составляет более 50% в открытом доступе в сети Интернет перечня товаров (работ и услуг), поставляемых (выполняемых или оказываемых) субъектами малого и среднего предпринимательства</w:t>
            </w:r>
          </w:p>
        </w:tc>
        <w:tc>
          <w:tcPr>
            <w:tcW w:w="2268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низкий уровень участия субъектов малого и среднего предпринимательства при закупках в соответствии с Законом № 223-ФЗ</w:t>
            </w:r>
          </w:p>
        </w:tc>
        <w:tc>
          <w:tcPr>
            <w:tcW w:w="2484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повышение эффективности закупочной деятельности хозяйствующих субъектов, доля муниципального образования в которых составляет более 50% у субъектов малого и среднего предпринимательства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Газета «Наш район»,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МБУ «Досуговый центр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Имитуй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»,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администрации сельских поселений 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(по согласованию)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4.</w:t>
            </w:r>
          </w:p>
        </w:tc>
        <w:tc>
          <w:tcPr>
            <w:tcW w:w="14272" w:type="dxa"/>
            <w:gridSpan w:val="7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Совершенствование процессов управления объектами муниципальной собственности, включая разработку, утверждение и выполнение комплексного плана по эффективному управлению муниципальными предприятиями и учреждениями, акционерными обществами с муниципальным участием, муниципальными некоммерческими организациями, осуществляющими предпринимательскую деятельность, в котором содержатся в том числе ключевые показатели эффективности деятельности, целевые показатели доли муниципального участия (сектора) в различных отраслях экономики, программа (план) приватизации предприятий и пакетов акций акционерных обществ, находящихся в муниципальной собственности, с учетом задачи развития конкуренции, а также меры по ограничению влияния муниципальных предприятий на условия формирования рыночных отношений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4.1.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Оценка эффективности управления муниципальным имуществом в соответствии с методикой, утвержденной приказом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Депимущества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 Югры от 16 сентября 2019 года № 13-Пр-2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влияние муниципальных предприятий на развитие конкуренции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совершенствование процессов управления объектами муниципальной собственности, ограничение влияния предприятий на конкуренцию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органа местного самоуправления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4.2.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Мониторинг принятых на муниципальном уровне решений, приводящих к росту доли хозяйствующих субъектов, учреждаемых и контролируемых муниципальными образованиями, с оценкой их влияния на состояние конкуренции по соответствующим товарным рынкам  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влияние муниципальных предприятий на развитие конкуренции 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сокращение доли хозяйствующих субъектов, учреждаемых или контролируемых государством и/или муниципальными образованиями, в общем количестве хозяйствующих субъектов, осуществляющих деятельность на товарных рынках 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управление культуры,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4.3.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Ежегодный отчет о выполнении комплекса мероприятий (программы) по эффективному управлению муниципальными предприятиями и учреждениями, акционерными обществами с муниципальным участием, муниципальными некоммерческими организациями, наделенными правом предпринимательской деятельности 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влияние муниципальных предприятий на развитие конкуренции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совершенствование процессов управления объектами муниципальной собственности автономного округа, ограничение влияния муниципальных предприятий на конкуренцию 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управление культуры,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4.4.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Организация и проведение публичных торгов при реализации имущества государственными и муниципальными предприятиями, хозяйствующими субъектами, доля участия субъекта автономного округа или муниципального образования в которых составляет более 50%</w:t>
            </w:r>
          </w:p>
          <w:p w:rsidR="006F4E31" w:rsidRDefault="006F4E31">
            <w:pPr>
              <w:widowControl w:val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низкая активность частных организаций при проведении публичных торгов муниципального имущества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совершенствование процессов управления объектами муниципальной собственности, ограничение влияния муниципальных предприятий на конкуренцию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правовой акт органа местного самоуправления, информация в уполномоченный орган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5.</w:t>
            </w:r>
          </w:p>
        </w:tc>
        <w:tc>
          <w:tcPr>
            <w:tcW w:w="14272" w:type="dxa"/>
            <w:gridSpan w:val="7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5.1.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рынка), и их устранение, проведение межведомственных экспертных советов</w:t>
            </w:r>
          </w:p>
        </w:tc>
        <w:tc>
          <w:tcPr>
            <w:tcW w:w="2268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избыточные ограничения для деятельности субъектов предпринимательства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2484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устранение избыточного муниципального регулирования, снижение административных барьеров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правовой акт органа местного самоуправления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КЭП; 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ДИЗО;  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управление культуры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6.</w:t>
            </w:r>
          </w:p>
        </w:tc>
        <w:tc>
          <w:tcPr>
            <w:tcW w:w="14272" w:type="dxa"/>
            <w:gridSpan w:val="7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6.1.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Передача муниципальных объектов недвижимого имущества, включая не используемые по назначению, негосударственным (немуниципальным) организациям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образование; детский отдых и оздоровление; здравоохранение; социальное обслуживание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недостаточное участие негосударственных организаций, в том числе социально ориентированных некоммерческих организаций, в предоставлении услуг социальной сферы, низкая конкуренция на рынке услуг социальной сферы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правовой акт органа местного самоуправления, концессионное соглашение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ДИЗО, 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7.</w:t>
            </w:r>
          </w:p>
        </w:tc>
        <w:tc>
          <w:tcPr>
            <w:tcW w:w="14272" w:type="dxa"/>
            <w:gridSpan w:val="7"/>
          </w:tcPr>
          <w:p w:rsidR="006F4E31" w:rsidRDefault="008C26F1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Содействие развитию практики применения механизмов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-частного партнерства, в том числе практики заключения концессионных соглашений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районах), а также в сфере теплоснабжения, водоснабжения и водоотведения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7.1.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Применение механизмов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муниципально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-частного партнерства, заключение концессионных соглашений в одной или нескольких из следующих сфер: детский отдых и оздоровление; спорт; здравоохранение; социальное обслуживание; дошкольное образование; общее образование; культура, теплоснабжение, водоснабжение, водоотведение, туризм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недостаточное участие негосударственных организаций, в том числе социально ориентированных некоммерческих организаций, в предоставлении услуг социальной сферы, низкая конкуренция на рынке услуг социальной сферы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содействие развитию практики применения механизмов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-частного партнерства, заключения концессионных соглашений в социальной сфере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соглашения 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-частном партнерстве; концессионные соглашения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КЭП, 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ДИЗО, 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, 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управление культуры,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 сельских поселений (по согласованию)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7.2.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Передача в управление частным операторам на основе концессионных соглашений объектов коммунального хозяйства муниципальных предприятий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низкий уровень эффективности деятельности муниципальных предприятий в сфере коммунального хозяйства, повышение эффективности эксплуатации муниципального имущества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создание условий для развития конкуренции на рынке услуг коммунального хозяйства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концессионные соглашения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7.3.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Оказание консультационной поддержки, методологического содействия органам местного самоуправления, проведение экспертизы по вопросам подготовки и реализации концессионных соглашений и инвестиционных программ в сфере тепло-, водоснабжения и водоотведения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Низкий уровень подготовки органами местного самоуправления проектов концессионных соглашений,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организациями инвестиционных программ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повышение уровня компетенций органов местного самоуправления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органа местного самоуправления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8.</w:t>
            </w:r>
          </w:p>
        </w:tc>
        <w:tc>
          <w:tcPr>
            <w:tcW w:w="14272" w:type="dxa"/>
            <w:gridSpan w:val="7"/>
          </w:tcPr>
          <w:p w:rsidR="006F4E31" w:rsidRDefault="008C26F1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Содействие развитию негосударственных (немуниципальных) социально ориентированных некоммерческих организаций и «социального предпринимательства», включая наличие в муниципальных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«социального предпринимательства» в таких сферах, как дошкольное, общее образование, детский отдых и оздоровление детей, дополнительное образование детей, производство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«социального предпринимательства»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8.1.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Оказание поддержки социально ориентированным некоммерческим организациям и (или) субъектам малого и среднего предпринимательства, в том числе индивидуальным предпринимателям, и разработка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оздоровление, дополнительное образование детей, реализация технических средств реабилитации для лиц с ограниченными возможностями</w:t>
            </w:r>
          </w:p>
        </w:tc>
        <w:tc>
          <w:tcPr>
            <w:tcW w:w="2268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недостаточное участие негосударственных организаций, в том числе социально ориентированных некоммерческих организаций, в предоставлении гражданам услуг социальной сферы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2484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tabs>
                <w:tab w:val="left" w:pos="240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управление культуры,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8.2.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Оказание содействия субъектам малого и среднего предпринимательства, осуществляющим социально значимые виды деятельности, определенные муниципальным образованием</w:t>
            </w:r>
          </w:p>
        </w:tc>
        <w:tc>
          <w:tcPr>
            <w:tcW w:w="2268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недостаточный уровень вовлечения субъектов малого бизнеса в социальную сферу деятельности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стимулирование новых предпринимательских инициатив</w:t>
            </w:r>
          </w:p>
          <w:p w:rsidR="006F4E31" w:rsidRDefault="006F4E3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9.</w:t>
            </w:r>
          </w:p>
        </w:tc>
        <w:tc>
          <w:tcPr>
            <w:tcW w:w="14272" w:type="dxa"/>
            <w:gridSpan w:val="7"/>
          </w:tcPr>
          <w:p w:rsidR="006F4E31" w:rsidRDefault="008C26F1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9.1.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Содействие развитию научной, творческой и предпринимательской активности детей и молодежи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отсутствие систематизированной информации о реализуемых мероприятиях, направленных на саморазвитие детей и молодежи, обеспечение поддержки научной, творческой и предпринимательской активности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повышение уровня информированности населения о мероприятиях, направленных на саморазвитие детей и молодежи, обеспечение поддержки научной, творческой и предпринимательской активности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комитет по образованию, 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9.2.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Развитие сети детских технопарков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», включение детей и молодежи в реализацию иных проектов, соответствующих основным направлениям Национальной технологической инициативы и социально-экономического и технологического развития района, в том числе развитие кружкового движения Национальной технологической инициативы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отсутствие инфраструктуры развития инновационной деятельности молодежи, необходимость формирования у школьников компетенций для решения задач сектора реальной экономики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9.3.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Создание и развитие центров молодежного инновационного творчества в муниципальных образованиях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отсутствие инфраструктуры развития инновационной деятельности молодежи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создание институциональной среды, способствующей внедрению инноваций и увеличению возможности молодежи Югры в разработке и внедрению новых технологических решений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МБУ «Молодежный центр»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, КЭП, 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10.</w:t>
            </w:r>
          </w:p>
        </w:tc>
        <w:tc>
          <w:tcPr>
            <w:tcW w:w="14272" w:type="dxa"/>
            <w:gridSpan w:val="7"/>
          </w:tcPr>
          <w:p w:rsidR="006F4E31" w:rsidRDefault="008C26F1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Обеспечение равных условий доступа к информации о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(www.torgi.gov.ru) и на официальном сайте уполномоченного органа в сети «Интернет»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10.1.</w:t>
            </w:r>
          </w:p>
        </w:tc>
        <w:tc>
          <w:tcPr>
            <w:tcW w:w="4258" w:type="dxa"/>
          </w:tcPr>
          <w:p w:rsidR="006F4E31" w:rsidRDefault="008C26F1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Размещение в открытом доступе информации о реализации имущества, находящегося в собственности муниципальных образований, а также ресурсов всех видов, находящихся в муниципальной собственности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низкая активность частных организаций при проведении публичных торгов муниципального имущества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обеспечение равных условий доступа к информации о реализации имущества, находящегося в собственности муниципальных образований, а также ресурсов всех видов, находящихся в муниципальной собственности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поддерживается в актуальном состоянии, ежегодно до 30 декабря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Российской Федерации в сети Интернет для размещения информации о проведении торгов (www.torgi.gov.ru), на официальном сайте уполномоченного органа в сети Интернет, на официальных сайтах органов местного самоуправления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ДИЗО, администрации сельских поселений (по согласованию)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10.2.</w:t>
            </w:r>
          </w:p>
        </w:tc>
        <w:tc>
          <w:tcPr>
            <w:tcW w:w="4258" w:type="dxa"/>
          </w:tcPr>
          <w:p w:rsidR="006F4E31" w:rsidRDefault="008C26F1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Опубликование и актуализация на официальном сайте Администрации Ханты-Мансийского района в информационно-телекоммуникационной сети «Интернет» информации об объектах, находящихся в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недостаточный уровень эффективности управления муниципальным имуществом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повышение эффективности управления муниципальным имуществом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информация на 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официальных сайтах органов местного самоуправления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ДИЗО, администрации сельских поселений (по согласованию)</w:t>
            </w:r>
          </w:p>
        </w:tc>
      </w:tr>
      <w:tr w:rsidR="006F4E31">
        <w:tc>
          <w:tcPr>
            <w:tcW w:w="562" w:type="dxa"/>
          </w:tcPr>
          <w:p w:rsidR="006F4E31" w:rsidRDefault="006F4E3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4272" w:type="dxa"/>
            <w:gridSpan w:val="7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. Дополнительные системные мероприятия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11.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Обеспечение внедрения лучших региональных практик содействия развитию конкуренции, практик содействия развитию конкуренции, рекомендованных Межведомственной рабочей группой по вопросам реализации положений стандарта развития конкуренции в субъектах Российской Федерации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потребность в новых идеях/проектах для развития конкурентной среды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развитие конкуренции на рынках товаров и услуг района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образованию, управление культуры, администрации сельских поселений (по согласованию)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12.</w:t>
            </w:r>
          </w:p>
        </w:tc>
        <w:tc>
          <w:tcPr>
            <w:tcW w:w="14272" w:type="dxa"/>
            <w:gridSpan w:val="7"/>
          </w:tcPr>
          <w:p w:rsidR="006F4E31" w:rsidRDefault="008C26F1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Мероприятия по определению состава имущества, находящегося в муниципальной собственности, не используемого для реализации функций и полномочий органов местного самоуправления (п. 5 распоряжения Правительства Российской Федерации от 2 сентября 2021 года № 2424-р) 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12.1.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Составление планов-графиков полной инвентаризации муниципального имущества, в том числе закрепленного за предприятиями, учреждениями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неэффективность использования муниципального имущества  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план-график полной инвентаризации муниципального имущества, в том числе закрепленного за предприятиями, учреждениями на текущий год 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 февраля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1февраля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 февраля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 февраля 2025 года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 февраля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года</w:t>
            </w:r>
          </w:p>
        </w:tc>
        <w:tc>
          <w:tcPr>
            <w:tcW w:w="2056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правовой акт органов местного самоуправления</w:t>
            </w:r>
          </w:p>
          <w:p w:rsidR="006F4E31" w:rsidRDefault="006F4E3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 сельских поселений (по согласованию)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12.2.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неэффективность использования муниципального имущества  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формирование перечня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правовой акт органов местного самоуправления</w:t>
            </w:r>
          </w:p>
          <w:p w:rsidR="006F4E31" w:rsidRDefault="006F4E3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 сельских поселений (по согласованию)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13.</w:t>
            </w:r>
          </w:p>
        </w:tc>
        <w:tc>
          <w:tcPr>
            <w:tcW w:w="14272" w:type="dxa"/>
            <w:gridSpan w:val="7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Мероприятия по приватизации имущества, находящегося в собственности муниципального образования, не используемого для реализации функций и полномочий органов местного самоуправления (п. 5 распоряжения Правительства Российской Федерации от 2 сентября 2021 года № 2424-р)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13.1.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Включение неиспользуемого муниципального имущества в программу приватизации  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недостаточный уровень эффективности управления имуществом муниципального образования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включение имущества в прогнозный план приватизации имущества муниципального образования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2056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прогнозный план приватизации органа местного самоуправления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 сельских поселений (по согласованию)</w:t>
            </w:r>
          </w:p>
        </w:tc>
      </w:tr>
      <w:tr w:rsidR="006F4E31">
        <w:trPr>
          <w:gridAfter w:val="1"/>
          <w:wAfter w:w="17" w:type="dxa"/>
        </w:trPr>
        <w:tc>
          <w:tcPr>
            <w:tcW w:w="562" w:type="dxa"/>
          </w:tcPr>
          <w:p w:rsidR="006F4E31" w:rsidRDefault="008C26F1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13.2.</w:t>
            </w:r>
          </w:p>
        </w:tc>
        <w:tc>
          <w:tcPr>
            <w:tcW w:w="4258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Организация и проведение торгов по реализации государственного имущества муниципального образования</w:t>
            </w:r>
          </w:p>
        </w:tc>
        <w:tc>
          <w:tcPr>
            <w:tcW w:w="2268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недостаточный уровень эффективности управления имуществом </w:t>
            </w:r>
          </w:p>
        </w:tc>
        <w:tc>
          <w:tcPr>
            <w:tcW w:w="2484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приватизация муниципального имущества</w:t>
            </w:r>
          </w:p>
        </w:tc>
        <w:tc>
          <w:tcPr>
            <w:tcW w:w="1559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 марта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 марта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 марта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 марта 2025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 марта 2026 года</w:t>
            </w:r>
          </w:p>
        </w:tc>
        <w:tc>
          <w:tcPr>
            <w:tcW w:w="2056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отчет об итогах исполнения программы приватизации в соответствии с Правилами разработки прогнозных планов (программ) приватизации муниципального имущества, утвержденными постановлением Правительства Российской Федерации от 26 декабря 2005 года № 806</w:t>
            </w:r>
          </w:p>
        </w:tc>
        <w:tc>
          <w:tcPr>
            <w:tcW w:w="1630" w:type="dxa"/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ДИЗО,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 сельских поселений (по согласованию)</w:t>
            </w:r>
          </w:p>
        </w:tc>
      </w:tr>
    </w:tbl>
    <w:p w:rsidR="006F4E31" w:rsidRDefault="006F4E31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  <w:highlight w:val="white"/>
        </w:rPr>
      </w:pPr>
    </w:p>
    <w:p w:rsidR="006F4E31" w:rsidRDefault="008C26F1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Раздел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V. Создание и реализация механизмов общественного</w:t>
      </w: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контроля за деятельностью субъектов естественных монополий</w:t>
      </w:r>
    </w:p>
    <w:p w:rsidR="006F4E31" w:rsidRDefault="006F4E3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2977"/>
        <w:gridCol w:w="1985"/>
        <w:gridCol w:w="1842"/>
        <w:gridCol w:w="1560"/>
      </w:tblGrid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№ </w:t>
            </w:r>
          </w:p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п/п</w:t>
            </w:r>
          </w:p>
        </w:tc>
        <w:tc>
          <w:tcPr>
            <w:tcW w:w="510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Наименование мероприятия</w:t>
            </w:r>
          </w:p>
        </w:tc>
        <w:tc>
          <w:tcPr>
            <w:tcW w:w="297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Ключевое событие/результат</w:t>
            </w:r>
          </w:p>
        </w:tc>
        <w:tc>
          <w:tcPr>
            <w:tcW w:w="1985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Срок</w:t>
            </w:r>
          </w:p>
        </w:tc>
        <w:tc>
          <w:tcPr>
            <w:tcW w:w="184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Вид документа</w:t>
            </w:r>
          </w:p>
        </w:tc>
        <w:tc>
          <w:tcPr>
            <w:tcW w:w="1560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Исполнитель</w:t>
            </w:r>
          </w:p>
        </w:tc>
      </w:tr>
      <w:tr w:rsidR="006F4E31">
        <w:tc>
          <w:tcPr>
            <w:tcW w:w="562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6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bookmarkStart w:id="0" w:name="P1833"/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Представление письменных ответов на полученное мнение потребителей, предпринимателей и экспертов, задействованных в рамках общественного контроля за деятельностью субъектов естественных монополий (далее – участники общественного контроля). Обеспечение обязательного получения и учета обоснованного мнения потребителей товаров и услуг субъектов естественных монополий, предпринимателей и экспертов при осуществлении следующих процедур: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создание и реализация механизмов общественного контроля за деятельностью субъектов естественных монополий, органов исполнительной власти автономного округа, осуществляющих регулирование деятельности субъектов естественных монополий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</w:p>
        </w:tc>
      </w:tr>
      <w:tr w:rsidR="006F4E31">
        <w:tc>
          <w:tcPr>
            <w:tcW w:w="562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.1.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При согласовании и утверждении схем территориального планирования муниципальных районов, генеральных планов сельских поселений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F4E31" w:rsidRDefault="006F4E3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F4E31" w:rsidRDefault="006F4E3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4E31" w:rsidRDefault="006F4E3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</w:p>
        </w:tc>
      </w:tr>
    </w:tbl>
    <w:p w:rsidR="006F4E31" w:rsidRDefault="006F4E3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F4E31" w:rsidRDefault="008C26F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Раздел V. Организационные мероприятия</w:t>
      </w:r>
    </w:p>
    <w:p w:rsidR="006F4E31" w:rsidRDefault="006F4E31">
      <w:pPr>
        <w:pStyle w:val="ConsPlusNormal0"/>
        <w:jc w:val="right"/>
        <w:rPr>
          <w:rFonts w:ascii="Times New Roman" w:hAnsi="Times New Roman" w:cs="Times New Roman"/>
          <w:highlight w:val="white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62"/>
        <w:gridCol w:w="4820"/>
        <w:gridCol w:w="2977"/>
        <w:gridCol w:w="1984"/>
        <w:gridCol w:w="1985"/>
        <w:gridCol w:w="1842"/>
      </w:tblGrid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№ п/п</w:t>
            </w:r>
          </w:p>
        </w:tc>
        <w:tc>
          <w:tcPr>
            <w:tcW w:w="4820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Наименование мероприятия</w:t>
            </w:r>
          </w:p>
        </w:tc>
        <w:tc>
          <w:tcPr>
            <w:tcW w:w="297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Ключевое событие/результат</w:t>
            </w:r>
          </w:p>
        </w:tc>
        <w:tc>
          <w:tcPr>
            <w:tcW w:w="198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Срок</w:t>
            </w:r>
          </w:p>
        </w:tc>
        <w:tc>
          <w:tcPr>
            <w:tcW w:w="1985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Вид документа</w:t>
            </w:r>
          </w:p>
        </w:tc>
        <w:tc>
          <w:tcPr>
            <w:tcW w:w="184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Исполнитель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</w:t>
            </w:r>
          </w:p>
        </w:tc>
        <w:tc>
          <w:tcPr>
            <w:tcW w:w="4820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</w:t>
            </w:r>
          </w:p>
        </w:tc>
        <w:tc>
          <w:tcPr>
            <w:tcW w:w="297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</w:t>
            </w:r>
          </w:p>
        </w:tc>
        <w:tc>
          <w:tcPr>
            <w:tcW w:w="198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4</w:t>
            </w:r>
          </w:p>
        </w:tc>
        <w:tc>
          <w:tcPr>
            <w:tcW w:w="1985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5</w:t>
            </w:r>
          </w:p>
        </w:tc>
        <w:tc>
          <w:tcPr>
            <w:tcW w:w="184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6</w:t>
            </w:r>
          </w:p>
        </w:tc>
      </w:tr>
      <w:tr w:rsidR="006F4E31">
        <w:tc>
          <w:tcPr>
            <w:tcW w:w="562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Осуществление взаимодействия между исполнительными органами государственной власти автономного округа и органами местного самоуправления на основании соглашения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br/>
              <w:t xml:space="preserve">от 25 декабря 2015 года между Правительством автономного округа и органами местного самоуправления по внедрению в автономном округе Стандарта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реализация соглашения между Правительством автономного округа и органами местного самоуправления по внедрению Стандарта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КЭП,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ДИЗО,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,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образованию,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управление культуры</w:t>
            </w:r>
          </w:p>
        </w:tc>
      </w:tr>
      <w:tr w:rsidR="006F4E31">
        <w:tblPrEx>
          <w:tblBorders>
            <w:insideH w:val="none" w:sz="4" w:space="0" w:color="000000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Размещение информации о состоянии конкурентной среды и деятельности по содействию развитию конкуренции в сети Интернет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регионе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управление по информационным технологиям Администрации Ханты-Мансийского района</w:t>
            </w:r>
          </w:p>
        </w:tc>
      </w:tr>
    </w:tbl>
    <w:p w:rsidR="006F4E31" w:rsidRDefault="006F4E31">
      <w:pPr>
        <w:widowControl w:val="0"/>
        <w:rPr>
          <w:rFonts w:ascii="Times New Roman" w:hAnsi="Times New Roman"/>
        </w:rPr>
        <w:sectPr w:rsidR="006F4E31">
          <w:headerReference w:type="default" r:id="rId15"/>
          <w:headerReference w:type="first" r:id="rId16"/>
          <w:pgSz w:w="16838" w:h="11905" w:orient="landscape"/>
          <w:pgMar w:top="1418" w:right="1276" w:bottom="1134" w:left="1559" w:header="340" w:footer="0" w:gutter="0"/>
          <w:cols w:space="720"/>
          <w:docGrid w:linePitch="360"/>
        </w:sectPr>
      </w:pPr>
    </w:p>
    <w:p w:rsidR="006F4E31" w:rsidRDefault="008C26F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Раздел VI.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Проведение мониторинга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состояния и развития конкуренции на товарных рынках для содействия развитию конкуренции в Ханты-Мансийском автономном округе – Югре </w:t>
      </w:r>
    </w:p>
    <w:p w:rsidR="006F4E31" w:rsidRDefault="006F4E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f3"/>
        <w:tblW w:w="0" w:type="auto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32"/>
        <w:gridCol w:w="4082"/>
        <w:gridCol w:w="2155"/>
        <w:gridCol w:w="2381"/>
      </w:tblGrid>
      <w:tr w:rsidR="006F4E31">
        <w:tc>
          <w:tcPr>
            <w:tcW w:w="432" w:type="dxa"/>
            <w:shd w:val="clear" w:color="auto" w:fill="auto"/>
          </w:tcPr>
          <w:p w:rsidR="006F4E31" w:rsidRDefault="008C26F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</w:p>
          <w:p w:rsidR="006F4E31" w:rsidRDefault="008C26F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082" w:type="dxa"/>
            <w:shd w:val="clear" w:color="auto" w:fill="auto"/>
          </w:tcPr>
          <w:p w:rsidR="006F4E31" w:rsidRDefault="008C26F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Составляющие мониторинга развития конкуренции</w:t>
            </w:r>
          </w:p>
        </w:tc>
        <w:tc>
          <w:tcPr>
            <w:tcW w:w="2155" w:type="dxa"/>
            <w:shd w:val="clear" w:color="auto" w:fill="auto"/>
          </w:tcPr>
          <w:p w:rsidR="006F4E31" w:rsidRDefault="008C26F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Сроки</w:t>
            </w:r>
          </w:p>
        </w:tc>
        <w:tc>
          <w:tcPr>
            <w:tcW w:w="2381" w:type="dxa"/>
            <w:shd w:val="clear" w:color="auto" w:fill="auto"/>
          </w:tcPr>
          <w:p w:rsidR="006F4E31" w:rsidRDefault="008C26F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Исполнитель</w:t>
            </w:r>
          </w:p>
        </w:tc>
      </w:tr>
      <w:tr w:rsidR="006F4E31">
        <w:tc>
          <w:tcPr>
            <w:tcW w:w="432" w:type="dxa"/>
            <w:shd w:val="clear" w:color="auto" w:fill="auto"/>
          </w:tcPr>
          <w:p w:rsidR="006F4E31" w:rsidRDefault="008C26F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82" w:type="dxa"/>
            <w:shd w:val="clear" w:color="auto" w:fill="auto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Информация о результатах рассмотрения обращений предпринимателей с жалобами об устранении административных барьеров </w:t>
            </w:r>
          </w:p>
        </w:tc>
        <w:tc>
          <w:tcPr>
            <w:tcW w:w="2155" w:type="dxa"/>
            <w:shd w:val="clear" w:color="auto" w:fill="auto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июля 2022 года, </w:t>
            </w:r>
          </w:p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2023 года,</w:t>
            </w:r>
          </w:p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2024 года,</w:t>
            </w:r>
          </w:p>
          <w:p w:rsidR="006F4E31" w:rsidRDefault="008C26F1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2025 года,</w:t>
            </w:r>
          </w:p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июля 2026 года </w:t>
            </w:r>
          </w:p>
        </w:tc>
        <w:tc>
          <w:tcPr>
            <w:tcW w:w="2381" w:type="dxa"/>
            <w:shd w:val="clear" w:color="auto" w:fill="auto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органы Администрации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Ханты-Мансийского района, осуществляющие (координирующие) деятельность в сфере утвержденных товарных рынков</w:t>
            </w:r>
          </w:p>
        </w:tc>
      </w:tr>
      <w:tr w:rsidR="006F4E31">
        <w:tc>
          <w:tcPr>
            <w:tcW w:w="432" w:type="dxa"/>
            <w:shd w:val="clear" w:color="auto" w:fill="auto"/>
          </w:tcPr>
          <w:p w:rsidR="006F4E31" w:rsidRDefault="008C26F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82" w:type="dxa"/>
            <w:shd w:val="clear" w:color="auto" w:fill="auto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Информация о наличии (отсутствии) возможности недискриминационного доступа на товарные рынки Ханты-Мансийского района и на товарные рынки приграничных субъектов Российской Федерации (Красноярский край, Республика Коми, Томская область, Свердловская область, Тюменская область, Ямало-Ненецкий автономный округ)</w:t>
            </w:r>
          </w:p>
        </w:tc>
        <w:tc>
          <w:tcPr>
            <w:tcW w:w="2155" w:type="dxa"/>
            <w:shd w:val="clear" w:color="auto" w:fill="auto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июля 2022 года, </w:t>
            </w:r>
          </w:p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2023 года,</w:t>
            </w:r>
          </w:p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2024 года,</w:t>
            </w:r>
          </w:p>
          <w:p w:rsidR="006F4E31" w:rsidRDefault="008C26F1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2025 года,</w:t>
            </w:r>
          </w:p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июля 2026 года </w:t>
            </w:r>
          </w:p>
        </w:tc>
        <w:tc>
          <w:tcPr>
            <w:tcW w:w="2381" w:type="dxa"/>
            <w:shd w:val="clear" w:color="auto" w:fill="auto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органы Администрации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Ханты-Мансийского района, осуществляющие (координирующие) деятельность в сфере утвержденных товарных рынков</w:t>
            </w:r>
          </w:p>
        </w:tc>
      </w:tr>
      <w:tr w:rsidR="006F4E31">
        <w:tc>
          <w:tcPr>
            <w:tcW w:w="432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82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Информация о хозяйствующих субъектах доля участия муниципального образования в которых составляет 50 и более процентов (заполнение типовой формы с обозначением рынка присутствия хозяйствующих субъектов, на котором осуществляется такая деятельность, с указанием рынка каждого такого хозяйствующего субъекта, объема выручки, объема реализованных на рынке товаров, работ и услуг в натуральном выражении, объема финансирования из бюджета муниципального образования</w:t>
            </w:r>
          </w:p>
        </w:tc>
        <w:tc>
          <w:tcPr>
            <w:tcW w:w="2155" w:type="dxa"/>
          </w:tcPr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июля 2022 года, </w:t>
            </w:r>
          </w:p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2023 года,</w:t>
            </w:r>
          </w:p>
          <w:p w:rsidR="006F4E31" w:rsidRDefault="008C26F1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2024 года,</w:t>
            </w:r>
          </w:p>
          <w:p w:rsidR="006F4E31" w:rsidRDefault="008C26F1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2025 года,</w:t>
            </w:r>
          </w:p>
          <w:p w:rsidR="006F4E31" w:rsidRDefault="008C26F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июля 2026 года </w:t>
            </w:r>
          </w:p>
        </w:tc>
        <w:tc>
          <w:tcPr>
            <w:tcW w:w="2381" w:type="dxa"/>
          </w:tcPr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КЭП, ДИЗО,</w:t>
            </w:r>
          </w:p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администрации сельских поселений </w:t>
            </w:r>
          </w:p>
          <w:p w:rsidR="006F4E31" w:rsidRDefault="008C26F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(по согласованию)</w:t>
            </w:r>
          </w:p>
        </w:tc>
      </w:tr>
    </w:tbl>
    <w:p w:rsidR="006F4E31" w:rsidRDefault="006F4E3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6F4E31" w:rsidRDefault="008C26F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Раздел VII. Ключевые показатели развития конкуренции </w:t>
      </w:r>
    </w:p>
    <w:p w:rsidR="006F4E31" w:rsidRDefault="008C26F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отраслях экономики на 2022 – 2026 годы</w:t>
      </w:r>
    </w:p>
    <w:p w:rsidR="006F4E31" w:rsidRDefault="006F4E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09"/>
        <w:gridCol w:w="3822"/>
        <w:gridCol w:w="997"/>
        <w:gridCol w:w="563"/>
        <w:gridCol w:w="567"/>
        <w:gridCol w:w="567"/>
        <w:gridCol w:w="634"/>
        <w:gridCol w:w="783"/>
        <w:gridCol w:w="1134"/>
      </w:tblGrid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ключевого показателя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83" w:type="dxa"/>
          </w:tcPr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дорожной деятельности (за исключением проектирования)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дорожной деятельности (за исключением проектирования)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widowControl w:val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Рынок реализации продукции животноводства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4E31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племенного животноводства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>
        <w:tc>
          <w:tcPr>
            <w:tcW w:w="709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9067" w:type="dxa"/>
            <w:gridSpan w:val="8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благоустройства городской среды</w:t>
            </w:r>
          </w:p>
        </w:tc>
      </w:tr>
      <w:tr w:rsidR="006F4E31">
        <w:tc>
          <w:tcPr>
            <w:tcW w:w="709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организаций частной формы собственности в сфере выполнения работ по благоустройству городской среды 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4E31" w:rsidRDefault="006F4E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85,6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администрации сельских поселений (по согласованию)</w:t>
            </w:r>
          </w:p>
        </w:tc>
      </w:tr>
      <w:tr w:rsidR="006F4E31">
        <w:tc>
          <w:tcPr>
            <w:tcW w:w="709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9067" w:type="dxa"/>
            <w:gridSpan w:val="8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6F4E31">
        <w:tc>
          <w:tcPr>
            <w:tcW w:w="709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80,6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сельских поселений (по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согласо-ванию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(городской транспорт), </w:t>
            </w:r>
            <w:r>
              <w:rPr>
                <w:rFonts w:ascii="Times New Roman" w:hAnsi="Times New Roman" w:cs="Times New Roman"/>
                <w:sz w:val="20"/>
              </w:rPr>
              <w:br/>
              <w:t>за исключением городского наземного электрического транспорта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(расчет по количеству перевезенных пассажиров)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5.2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(расчет по объему пробега транспортных средств)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услуг связи по предоставлению широкополосного доступа к сети Интернет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4E31" w:rsidRDefault="006F4E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ДИЗО,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сельских поселений (по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согласо-ванию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6.2.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 телекоммуникационной сети «Интернет»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4E31" w:rsidRDefault="006F4E3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  <w:p w:rsidR="006F4E31" w:rsidRDefault="006F4E3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98,4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98,6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ритуальных услуг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33,3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сельских поселений (по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согласо-ванию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7.2.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кладбищ и захоронений на них, в отношении которых созданы и размещены на региональных порталах государственных и муниципальных услуг реестры со сведениями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 существующих кладбищах и местах захоронений на них 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сельских поселений (по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согласо-ванию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оказания услуг по ремонту автотранспортных средств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оказания услуг по ремонту автотранспортных средств</w:t>
            </w:r>
          </w:p>
          <w:p w:rsidR="006F4E31" w:rsidRDefault="006F4E3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Процент 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нефтепродуктов</w:t>
            </w:r>
          </w:p>
        </w:tc>
      </w:tr>
      <w:tr w:rsidR="006F4E31">
        <w:trPr>
          <w:trHeight w:val="920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нефтепродуктов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процент 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98,1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98,3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98,5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98,5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услуг отдыха и оздоровления детей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Доля организаций отдыха и оздоровления детей частной формы собственности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образованию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Сфера наружной рекламы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4E31" w:rsidRDefault="006F4E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6F4E3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</w:p>
        </w:tc>
      </w:tr>
      <w:tr w:rsidR="006F4E31">
        <w:tc>
          <w:tcPr>
            <w:tcW w:w="709" w:type="dxa"/>
          </w:tcPr>
          <w:p w:rsidR="006F4E31" w:rsidRDefault="008C26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жилищного строительства (за исключением индивидуального жилищного строительства)</w:t>
            </w:r>
          </w:p>
        </w:tc>
      </w:tr>
      <w:tr w:rsidR="006F4E31">
        <w:trPr>
          <w:trHeight w:val="1425"/>
        </w:trPr>
        <w:tc>
          <w:tcPr>
            <w:tcW w:w="709" w:type="dxa"/>
          </w:tcPr>
          <w:p w:rsidR="006F4E31" w:rsidRDefault="008C26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  <w:p w:rsidR="006F4E31" w:rsidRDefault="006F4E3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6F4E31" w:rsidRDefault="006F4E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6F4E31" w:rsidRDefault="008C2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</w:p>
        </w:tc>
      </w:tr>
      <w:tr w:rsidR="006F4E31">
        <w:trPr>
          <w:trHeight w:val="39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9067" w:type="dxa"/>
            <w:gridSpan w:val="8"/>
            <w:tcBorders>
              <w:bottom w:val="none" w:sz="4" w:space="0" w:color="000000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услуг дополнительного образования детей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634" w:type="dxa"/>
            <w:tcBorders>
              <w:top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образованию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13.2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Доля детей, которым в отчетном периоде были оказаны услуги дополнительного образования организациями частной формы собственности 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образованию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вылова водных биоресурсов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вылова водных биоресурсов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  <w:p w:rsidR="006F4E31" w:rsidRDefault="006F4E3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Рынок обработки древесины и производства из дерева</w:t>
            </w:r>
          </w:p>
        </w:tc>
      </w:tr>
      <w:tr w:rsidR="006F4E31"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15.1.</w:t>
            </w:r>
          </w:p>
        </w:tc>
        <w:tc>
          <w:tcPr>
            <w:tcW w:w="3822" w:type="dxa"/>
          </w:tcPr>
          <w:p w:rsidR="006F4E31" w:rsidRDefault="008C26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Доля организаций частной формы собственности на рынке производства древесины и производство изделий из дерева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  <w:p w:rsidR="006F4E31" w:rsidRDefault="006F4E3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4E31">
        <w:trPr>
          <w:trHeight w:val="25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туристских услуг</w:t>
            </w:r>
          </w:p>
        </w:tc>
      </w:tr>
      <w:tr w:rsidR="006F4E31">
        <w:trPr>
          <w:trHeight w:val="25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туристических услуг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 «Досуговый центр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Имитуй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»,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  <w:p w:rsidR="006F4E31" w:rsidRDefault="006F4E3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4E31">
        <w:trPr>
          <w:trHeight w:val="25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16.2.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организаций, оказывающих туристские услуги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Миллион рублей</w:t>
            </w:r>
          </w:p>
          <w:p w:rsidR="006F4E31" w:rsidRDefault="006F4E3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 «Досуговый центр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Имитуй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»,</w:t>
            </w:r>
          </w:p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  <w:p w:rsidR="006F4E31" w:rsidRDefault="006F4E3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4E31">
        <w:trPr>
          <w:trHeight w:val="25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сбора и заготовки пищевых лесных ресурсов</w:t>
            </w:r>
          </w:p>
        </w:tc>
      </w:tr>
      <w:tr w:rsidR="006F4E31">
        <w:trPr>
          <w:trHeight w:val="25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сбора и заготовки пищевых лесных ресурсов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>
        <w:trPr>
          <w:trHeight w:val="25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выездной розничной торговли</w:t>
            </w:r>
          </w:p>
        </w:tc>
      </w:tr>
      <w:tr w:rsidR="006F4E31">
        <w:trPr>
          <w:trHeight w:val="25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18.1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выездной розничной торговли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>
        <w:trPr>
          <w:trHeight w:val="25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.2.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ярмарочных мероприятий, проведенных в населенных пунктах 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>
        <w:trPr>
          <w:trHeight w:val="25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оказания услуг общественного питания</w:t>
            </w:r>
          </w:p>
        </w:tc>
      </w:tr>
      <w:tr w:rsidR="006F4E31">
        <w:trPr>
          <w:trHeight w:val="25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19.1.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оказания услуг общественного питания</w:t>
            </w: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>
        <w:trPr>
          <w:trHeight w:val="25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9067" w:type="dxa"/>
            <w:gridSpan w:val="8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услуг в сфере культуры</w:t>
            </w:r>
          </w:p>
        </w:tc>
      </w:tr>
      <w:tr w:rsidR="006F4E31">
        <w:trPr>
          <w:trHeight w:val="253"/>
        </w:trPr>
        <w:tc>
          <w:tcPr>
            <w:tcW w:w="70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20.1</w:t>
            </w:r>
          </w:p>
        </w:tc>
        <w:tc>
          <w:tcPr>
            <w:tcW w:w="3822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культуры</w:t>
            </w:r>
          </w:p>
          <w:p w:rsidR="006F4E31" w:rsidRDefault="006F4E3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6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567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634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78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</w:tr>
    </w:tbl>
    <w:p w:rsidR="006F4E31" w:rsidRDefault="006F4E31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F4E31">
          <w:headerReference w:type="default" r:id="rId17"/>
          <w:pgSz w:w="11906" w:h="16838"/>
          <w:pgMar w:top="1418" w:right="1276" w:bottom="1134" w:left="1559" w:header="567" w:footer="0" w:gutter="0"/>
          <w:cols w:space="720"/>
          <w:titlePg/>
          <w:docGrid w:linePitch="360"/>
        </w:sectPr>
      </w:pPr>
    </w:p>
    <w:p w:rsidR="006F4E31" w:rsidRDefault="008C26F1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F4E31" w:rsidRDefault="008C26F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плану мероприятий </w:t>
      </w:r>
    </w:p>
    <w:p w:rsidR="006F4E31" w:rsidRDefault="008C26F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(«дорожной карте»)</w:t>
      </w:r>
    </w:p>
    <w:p w:rsidR="006F4E31" w:rsidRDefault="008C26F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содействию развитию конкуренции </w:t>
      </w:r>
    </w:p>
    <w:p w:rsidR="006F4E31" w:rsidRDefault="008C26F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Ханты-Мансийском районе</w:t>
      </w:r>
    </w:p>
    <w:p w:rsidR="006F4E31" w:rsidRDefault="006F4E3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Мероприятия, </w:t>
      </w: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предусмотренные иными утвержденными </w:t>
      </w: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установленном порядке на муниципальном уровне стратегическими и программными документами, реализация которых оказывает влияние </w:t>
      </w:r>
    </w:p>
    <w:p w:rsidR="006F4E31" w:rsidRDefault="008C26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состояние конкуренции</w:t>
      </w:r>
    </w:p>
    <w:p w:rsidR="006F4E31" w:rsidRDefault="006F4E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1"/>
        <w:gridCol w:w="2369"/>
        <w:gridCol w:w="4293"/>
        <w:gridCol w:w="1989"/>
      </w:tblGrid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Правовой акт (вид документа, реквизиты)</w:t>
            </w:r>
          </w:p>
        </w:tc>
        <w:tc>
          <w:tcPr>
            <w:tcW w:w="198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Ссылка на адрес в Интернете, где размещен документ</w:t>
            </w:r>
          </w:p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9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F4E31">
        <w:tc>
          <w:tcPr>
            <w:tcW w:w="9072" w:type="dxa"/>
            <w:gridSpan w:val="4"/>
          </w:tcPr>
          <w:p w:rsidR="006F4E31" w:rsidRDefault="008C26F1">
            <w:pPr>
              <w:pStyle w:val="ConsPlusNormal0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Раздел I. Мероприятия по содействию развитию конкуренции на товарных рынках Ханты-Мансийского района</w:t>
            </w:r>
          </w:p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конкуренции на рынке услуг дополнительного образования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«Развитие образования в Ханты-Мансийском районе» (постановление Администрации Ханты-Мансийского района от 12.02.2025 года № 115)</w:t>
            </w:r>
          </w:p>
        </w:tc>
        <w:tc>
          <w:tcPr>
            <w:tcW w:w="1989" w:type="dxa"/>
            <w:vMerge w:val="restart"/>
          </w:tcPr>
          <w:p w:rsidR="006F4E31" w:rsidRDefault="008850A3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hyperlink r:id="rId18" w:tooltip="http://hmrn.ru/raion/ekonomika/ser/socio_economic_programm/programms/perechen-munitsipalnykh-programm.php?clear_cache=Y" w:history="1">
              <w:r w:rsidR="008C26F1">
                <w:rPr>
                  <w:rStyle w:val="aff5"/>
                  <w:rFonts w:ascii="Times New Roman" w:hAnsi="Times New Roman" w:cs="Times New Roman"/>
                  <w:sz w:val="20"/>
                </w:rPr>
                <w:t>http://hmrn.ru/raion/ekonomika/ser/socio_economic_programm/programms/perechen-munitsipalnykh-programm.php?clear_cache=Y</w:t>
              </w:r>
            </w:hyperlink>
          </w:p>
          <w:p w:rsidR="006F4E31" w:rsidRDefault="006F4E3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конкуренции на рынке услуг жилищно-коммунального хозяйства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«Развитие и модернизация жилищно-коммунального комплекса и повышение энергетической эффективности в Ханты-Мансийском районе» (постановление Администрации Ханты-Мансийского района от 28 декабря 2024 года № 1188)</w:t>
            </w:r>
          </w:p>
        </w:tc>
        <w:tc>
          <w:tcPr>
            <w:tcW w:w="1989" w:type="dxa"/>
            <w:vMerge/>
          </w:tcPr>
          <w:p w:rsidR="006F4E31" w:rsidRDefault="006F4E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конкуренции на рынке услуг отдыха и оздоровления детей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«Развитие образования в Ханты-Мансийском районе» (постановление Администрации Ханты-Мансийского района от 12.02.2025 года № 115)</w:t>
            </w:r>
          </w:p>
        </w:tc>
        <w:tc>
          <w:tcPr>
            <w:tcW w:w="1989" w:type="dxa"/>
            <w:vMerge/>
          </w:tcPr>
          <w:p w:rsidR="006F4E31" w:rsidRDefault="006F4E31"/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конкуренции на рынке жилищного строительства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«Улучшение жилищных условий жителей Ханты-Мансийского района» (постановление Администрации Ханты-Мансийского района от 28.12.2024 года № 1185)</w:t>
            </w:r>
          </w:p>
        </w:tc>
        <w:tc>
          <w:tcPr>
            <w:tcW w:w="1989" w:type="dxa"/>
            <w:vMerge/>
          </w:tcPr>
          <w:p w:rsidR="006F4E31" w:rsidRDefault="006F4E31"/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конкуренции на рынке дорожной деятельности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«Комплексное развитие транспортной системы на территории Ханты-Мансийского района» (постановление Администрации Ханты-Мансийского района от 28.12.2024 года № 1178)</w:t>
            </w:r>
          </w:p>
        </w:tc>
        <w:tc>
          <w:tcPr>
            <w:tcW w:w="1989" w:type="dxa"/>
            <w:vMerge/>
          </w:tcPr>
          <w:p w:rsidR="006F4E31" w:rsidRDefault="006F4E31"/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Развитие конкуренции на рынке благоустройства 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«Благоустройство и градостроительная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</w:rPr>
              <w:t>деятельность Ханты-Мансийского района» (постановление Администрации Ханты-Мансийского района от 28.12.2024 года № 1180)</w:t>
            </w:r>
          </w:p>
        </w:tc>
        <w:tc>
          <w:tcPr>
            <w:tcW w:w="1989" w:type="dxa"/>
            <w:vMerge/>
          </w:tcPr>
          <w:p w:rsidR="006F4E31" w:rsidRDefault="006F4E31"/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конкуренции на рынке пассажирских перевозок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«Комплексное развитие транспортной системы на территории Ханты-Мансийского района» (постановление Администрации Ханты-Мансийского района от 28.12.2024 года № 1178)</w:t>
            </w:r>
          </w:p>
        </w:tc>
        <w:tc>
          <w:tcPr>
            <w:tcW w:w="1989" w:type="dxa"/>
            <w:vMerge/>
          </w:tcPr>
          <w:p w:rsidR="006F4E31" w:rsidRDefault="006F4E31"/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конкуренции на рынке услуг связи по доступу по предоставлению широкополосного доступа к сети Интернет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Развитие цифрового общества Ханты-Мансийского района» (постановление Администрации Ханты-Мансийского района от 28.12.2024 года № 1190)</w:t>
            </w:r>
          </w:p>
        </w:tc>
        <w:tc>
          <w:tcPr>
            <w:tcW w:w="1989" w:type="dxa"/>
            <w:vMerge/>
          </w:tcPr>
          <w:p w:rsidR="006F4E31" w:rsidRDefault="006F4E31"/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рынка вылова водных биоресурсов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«Развитие агропромышленного комплекса Ханты-Мансийского района» (постановление Администрации Ханты-Мансийского района от 28.12.2024 года № 1183)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«Развитие малого и среднего предпринимательства на территории Ханты-Мансийского района» (постановление Администрации Ханты-Мансийского района от 28.12.2024 года № 1176)</w:t>
            </w:r>
          </w:p>
        </w:tc>
        <w:tc>
          <w:tcPr>
            <w:tcW w:w="1989" w:type="dxa"/>
            <w:vMerge/>
          </w:tcPr>
          <w:p w:rsidR="006F4E31" w:rsidRDefault="006F4E31"/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Развитие конкуренции на рынке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продукции  животноводства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F4E31" w:rsidRDefault="006F4E3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муниципальная программа «Развитие агропромышленного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комплекса  Ханты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-Мансийского района» (постановление Администрации Ханты-Мансийского района от 28.12.2024 года № 1183)</w:t>
            </w:r>
          </w:p>
        </w:tc>
        <w:tc>
          <w:tcPr>
            <w:tcW w:w="1989" w:type="dxa"/>
            <w:vMerge/>
          </w:tcPr>
          <w:p w:rsidR="006F4E31" w:rsidRDefault="006F4E31"/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конкуренции на рынке сбора и заготовки пищевых лесных ресурсов</w:t>
            </w:r>
          </w:p>
          <w:p w:rsidR="006F4E31" w:rsidRDefault="006F4E3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муниципальная программа «Развитие агропромышленного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комплекса  Ханты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-Мансийского района» (постановление Администрации Ханты-Мансийского района от 28.12.2024 года № 1183)</w:t>
            </w:r>
          </w:p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«Развитие малого и среднего предпринимательства на территории Ханты-Мансийского района» (постановление Администрации Ханты-Мансийского района от 28.12.2024 года № 1176)</w:t>
            </w:r>
          </w:p>
        </w:tc>
        <w:tc>
          <w:tcPr>
            <w:tcW w:w="1989" w:type="dxa"/>
            <w:vMerge/>
          </w:tcPr>
          <w:p w:rsidR="006F4E31" w:rsidRDefault="006F4E31"/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Развитие конкуренции на рынке обработки древесины и производства изделий из дерева 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«Развитие малого и среднего предпринимательства на территории Ханты-Мансийского района» (постановление Администрации Ханты-Мансийского района от 28.12.2024 года № 1176)</w:t>
            </w:r>
          </w:p>
        </w:tc>
        <w:tc>
          <w:tcPr>
            <w:tcW w:w="1989" w:type="dxa"/>
            <w:vMerge/>
          </w:tcPr>
          <w:p w:rsidR="006F4E31" w:rsidRDefault="006F4E31"/>
        </w:tc>
      </w:tr>
      <w:tr w:rsidR="006F4E31">
        <w:tc>
          <w:tcPr>
            <w:tcW w:w="421" w:type="dxa"/>
          </w:tcPr>
          <w:p w:rsidR="006F4E31" w:rsidRDefault="008C26F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369" w:type="dxa"/>
          </w:tcPr>
          <w:p w:rsidR="006F4E31" w:rsidRDefault="008C26F1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Содействие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самозанятости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отдельных категорий граждан и </w:t>
            </w:r>
          </w:p>
        </w:tc>
        <w:tc>
          <w:tcPr>
            <w:tcW w:w="4293" w:type="dxa"/>
          </w:tcPr>
          <w:p w:rsidR="006F4E31" w:rsidRDefault="008C26F1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«Развитие малого и среднего предпринимательства на территории Ханты-Мансийского района» (постановление Администрации Ханты-Мансийского района от28 декабря 2024 года № 1176)</w:t>
            </w:r>
          </w:p>
        </w:tc>
        <w:tc>
          <w:tcPr>
            <w:tcW w:w="1989" w:type="dxa"/>
            <w:vMerge/>
          </w:tcPr>
          <w:p w:rsidR="006F4E31" w:rsidRDefault="006F4E31"/>
        </w:tc>
      </w:tr>
    </w:tbl>
    <w:p w:rsidR="006F4E31" w:rsidRDefault="006F4E31" w:rsidP="008850A3">
      <w:pPr>
        <w:widowControl w:val="0"/>
        <w:tabs>
          <w:tab w:val="left" w:pos="0"/>
        </w:tabs>
        <w:jc w:val="right"/>
        <w:rPr>
          <w:rFonts w:ascii="Times New Roman" w:hAnsi="Times New Roman"/>
          <w:sz w:val="28"/>
          <w:szCs w:val="16"/>
        </w:rPr>
      </w:pPr>
      <w:bookmarkStart w:id="1" w:name="_GoBack"/>
      <w:bookmarkEnd w:id="1"/>
    </w:p>
    <w:sectPr w:rsidR="006F4E3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276" w:bottom="1134" w:left="1559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31" w:rsidRDefault="008C26F1">
      <w:r>
        <w:separator/>
      </w:r>
    </w:p>
  </w:endnote>
  <w:endnote w:type="continuationSeparator" w:id="0">
    <w:p w:rsidR="006F4E31" w:rsidRDefault="008C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31" w:rsidRDefault="008C26F1">
    <w:pPr>
      <w:pStyle w:val="aa"/>
      <w:tabs>
        <w:tab w:val="clear" w:pos="4677"/>
        <w:tab w:val="clear" w:pos="9355"/>
        <w:tab w:val="left" w:pos="122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31" w:rsidRDefault="006F4E3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31" w:rsidRDefault="006F4E31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31" w:rsidRDefault="006F4E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31" w:rsidRDefault="008C26F1">
      <w:r>
        <w:separator/>
      </w:r>
    </w:p>
  </w:footnote>
  <w:footnote w:type="continuationSeparator" w:id="0">
    <w:p w:rsidR="006F4E31" w:rsidRDefault="008C2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16761794"/>
      <w:docPartObj>
        <w:docPartGallery w:val="Page Numbers (Top of Page)"/>
        <w:docPartUnique/>
      </w:docPartObj>
    </w:sdtPr>
    <w:sdtEndPr/>
    <w:sdtContent>
      <w:p w:rsidR="006F4E31" w:rsidRDefault="006F4E31">
        <w:pPr>
          <w:pStyle w:val="a9"/>
          <w:jc w:val="center"/>
          <w:rPr>
            <w:sz w:val="24"/>
            <w:szCs w:val="24"/>
          </w:rPr>
        </w:pPr>
      </w:p>
      <w:p w:rsidR="006F4E31" w:rsidRDefault="008850A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5636849"/>
      <w:docPartObj>
        <w:docPartGallery w:val="Page Numbers (Top of Page)"/>
        <w:docPartUnique/>
      </w:docPartObj>
    </w:sdtPr>
    <w:sdtEndPr/>
    <w:sdtContent>
      <w:p w:rsidR="006F4E31" w:rsidRDefault="008C26F1">
        <w:pPr>
          <w:pStyle w:val="a9"/>
          <w:jc w:val="center"/>
          <w:rPr>
            <w:rFonts w:ascii="Times New Roman" w:hAnsi="Times New Roman"/>
            <w:sz w:val="26"/>
            <w:szCs w:val="26"/>
          </w:rPr>
        </w:pPr>
        <w:r>
          <w:rPr>
            <w:rFonts w:ascii="Times New Roman" w:hAnsi="Times New Roman"/>
            <w:sz w:val="26"/>
            <w:szCs w:val="26"/>
          </w:rPr>
          <w:fldChar w:fldCharType="begin"/>
        </w:r>
        <w:r>
          <w:rPr>
            <w:rFonts w:ascii="Times New Roman" w:hAnsi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/>
            <w:sz w:val="26"/>
            <w:szCs w:val="26"/>
          </w:rPr>
          <w:fldChar w:fldCharType="separate"/>
        </w:r>
        <w:r>
          <w:rPr>
            <w:rFonts w:ascii="Times New Roman" w:hAnsi="Times New Roman"/>
            <w:sz w:val="26"/>
            <w:szCs w:val="26"/>
          </w:rPr>
          <w:t>25</w:t>
        </w:r>
        <w:r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6102158"/>
      <w:docPartObj>
        <w:docPartGallery w:val="Page Numbers (Top of Page)"/>
        <w:docPartUnique/>
      </w:docPartObj>
    </w:sdtPr>
    <w:sdtEndPr/>
    <w:sdtContent>
      <w:p w:rsidR="006F4E31" w:rsidRDefault="008C26F1">
        <w:pPr>
          <w:pStyle w:val="a9"/>
          <w:jc w:val="center"/>
          <w:rPr>
            <w:rFonts w:ascii="Times New Roman" w:hAnsi="Times New Roman"/>
            <w:sz w:val="26"/>
            <w:szCs w:val="26"/>
          </w:rPr>
        </w:pPr>
        <w:r>
          <w:rPr>
            <w:rFonts w:ascii="Times New Roman" w:hAnsi="Times New Roman"/>
            <w:sz w:val="26"/>
            <w:szCs w:val="26"/>
          </w:rPr>
          <w:fldChar w:fldCharType="begin"/>
        </w:r>
        <w:r>
          <w:rPr>
            <w:rFonts w:ascii="Times New Roman" w:hAnsi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/>
            <w:sz w:val="26"/>
            <w:szCs w:val="26"/>
          </w:rPr>
          <w:fldChar w:fldCharType="separate"/>
        </w:r>
        <w:r w:rsidR="008850A3">
          <w:rPr>
            <w:rFonts w:ascii="Times New Roman" w:hAnsi="Times New Roman"/>
            <w:noProof/>
            <w:sz w:val="26"/>
            <w:szCs w:val="26"/>
          </w:rPr>
          <w:t>27</w:t>
        </w:r>
        <w:r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9640329"/>
      <w:docPartObj>
        <w:docPartGallery w:val="Page Numbers (Top of Page)"/>
        <w:docPartUnique/>
      </w:docPartObj>
    </w:sdtPr>
    <w:sdtEndPr/>
    <w:sdtContent>
      <w:p w:rsidR="006F4E31" w:rsidRDefault="008C26F1">
        <w:pPr>
          <w:pStyle w:val="a9"/>
          <w:jc w:val="center"/>
          <w:rPr>
            <w:rFonts w:ascii="Times New Roman" w:hAnsi="Times New Roman"/>
            <w:sz w:val="26"/>
            <w:szCs w:val="26"/>
          </w:rPr>
        </w:pPr>
        <w:r>
          <w:rPr>
            <w:rFonts w:ascii="Times New Roman" w:hAnsi="Times New Roman"/>
            <w:sz w:val="26"/>
            <w:szCs w:val="26"/>
          </w:rPr>
          <w:fldChar w:fldCharType="begin"/>
        </w:r>
        <w:r>
          <w:rPr>
            <w:rFonts w:ascii="Times New Roman" w:hAnsi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/>
            <w:sz w:val="26"/>
            <w:szCs w:val="26"/>
          </w:rPr>
          <w:fldChar w:fldCharType="separate"/>
        </w:r>
        <w:r w:rsidR="008850A3">
          <w:rPr>
            <w:rFonts w:ascii="Times New Roman" w:hAnsi="Times New Roman"/>
            <w:noProof/>
            <w:sz w:val="26"/>
            <w:szCs w:val="26"/>
          </w:rPr>
          <w:t>28</w:t>
        </w:r>
        <w:r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906124"/>
      <w:docPartObj>
        <w:docPartGallery w:val="Page Numbers (Top of Page)"/>
        <w:docPartUnique/>
      </w:docPartObj>
    </w:sdtPr>
    <w:sdtEndPr/>
    <w:sdtContent>
      <w:p w:rsidR="006F4E31" w:rsidRDefault="008C26F1">
        <w:pPr>
          <w:pStyle w:val="a9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8850A3">
          <w:rPr>
            <w:rFonts w:ascii="Times New Roman" w:hAnsi="Times New Roman"/>
            <w:noProof/>
            <w:sz w:val="24"/>
            <w:szCs w:val="24"/>
          </w:rPr>
          <w:t>31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31" w:rsidRDefault="006F4E31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516818435"/>
      <w:docPartObj>
        <w:docPartGallery w:val="Page Numbers (Top of Page)"/>
        <w:docPartUnique/>
      </w:docPartObj>
    </w:sdtPr>
    <w:sdtEndPr/>
    <w:sdtContent>
      <w:p w:rsidR="006F4E31" w:rsidRDefault="006F4E31">
        <w:pPr>
          <w:pStyle w:val="a9"/>
          <w:jc w:val="center"/>
          <w:rPr>
            <w:sz w:val="24"/>
            <w:szCs w:val="24"/>
          </w:rPr>
        </w:pPr>
      </w:p>
      <w:p w:rsidR="006F4E31" w:rsidRDefault="008C26F1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8850A3">
          <w:rPr>
            <w:rFonts w:ascii="Times New Roman" w:hAnsi="Times New Roman"/>
            <w:noProof/>
            <w:sz w:val="24"/>
            <w:szCs w:val="24"/>
          </w:rPr>
          <w:t>33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788287"/>
      <w:docPartObj>
        <w:docPartGallery w:val="Page Numbers (Top of Page)"/>
        <w:docPartUnique/>
      </w:docPartObj>
    </w:sdtPr>
    <w:sdtEndPr/>
    <w:sdtContent>
      <w:p w:rsidR="006F4E31" w:rsidRDefault="008C26F1">
        <w:pPr>
          <w:pStyle w:val="a9"/>
          <w:jc w:val="center"/>
          <w:rPr>
            <w:rFonts w:ascii="Times New Roman" w:hAnsi="Times New Roman"/>
            <w:sz w:val="26"/>
            <w:szCs w:val="26"/>
          </w:rPr>
        </w:pPr>
        <w:r>
          <w:rPr>
            <w:rFonts w:ascii="Times New Roman" w:hAnsi="Times New Roman"/>
            <w:sz w:val="26"/>
            <w:szCs w:val="26"/>
          </w:rPr>
          <w:fldChar w:fldCharType="begin"/>
        </w:r>
        <w:r>
          <w:rPr>
            <w:rFonts w:ascii="Times New Roman" w:hAnsi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/>
            <w:sz w:val="26"/>
            <w:szCs w:val="26"/>
          </w:rPr>
          <w:fldChar w:fldCharType="separate"/>
        </w:r>
        <w:r w:rsidR="008850A3">
          <w:rPr>
            <w:rFonts w:ascii="Times New Roman" w:hAnsi="Times New Roman"/>
            <w:noProof/>
            <w:sz w:val="26"/>
            <w:szCs w:val="26"/>
          </w:rPr>
          <w:t>32</w:t>
        </w:r>
        <w:r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20913"/>
    <w:multiLevelType w:val="hybridMultilevel"/>
    <w:tmpl w:val="B1C68AAA"/>
    <w:lvl w:ilvl="0" w:tplc="34CE24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53A5FF4">
      <w:start w:val="1"/>
      <w:numFmt w:val="lowerLetter"/>
      <w:lvlText w:val="%2."/>
      <w:lvlJc w:val="left"/>
      <w:pPr>
        <w:ind w:left="1364" w:hanging="360"/>
      </w:pPr>
    </w:lvl>
    <w:lvl w:ilvl="2" w:tplc="68088D0E">
      <w:start w:val="1"/>
      <w:numFmt w:val="lowerRoman"/>
      <w:lvlText w:val="%3."/>
      <w:lvlJc w:val="right"/>
      <w:pPr>
        <w:ind w:left="2084" w:hanging="180"/>
      </w:pPr>
    </w:lvl>
    <w:lvl w:ilvl="3" w:tplc="CA081DD8">
      <w:start w:val="1"/>
      <w:numFmt w:val="decimal"/>
      <w:lvlText w:val="%4."/>
      <w:lvlJc w:val="left"/>
      <w:pPr>
        <w:ind w:left="2804" w:hanging="360"/>
      </w:pPr>
    </w:lvl>
    <w:lvl w:ilvl="4" w:tplc="5BC63306">
      <w:start w:val="1"/>
      <w:numFmt w:val="lowerLetter"/>
      <w:lvlText w:val="%5."/>
      <w:lvlJc w:val="left"/>
      <w:pPr>
        <w:ind w:left="3524" w:hanging="360"/>
      </w:pPr>
    </w:lvl>
    <w:lvl w:ilvl="5" w:tplc="B6BCBF20">
      <w:start w:val="1"/>
      <w:numFmt w:val="lowerRoman"/>
      <w:lvlText w:val="%6."/>
      <w:lvlJc w:val="right"/>
      <w:pPr>
        <w:ind w:left="4244" w:hanging="180"/>
      </w:pPr>
    </w:lvl>
    <w:lvl w:ilvl="6" w:tplc="E8EE9B70">
      <w:start w:val="1"/>
      <w:numFmt w:val="decimal"/>
      <w:lvlText w:val="%7."/>
      <w:lvlJc w:val="left"/>
      <w:pPr>
        <w:ind w:left="4964" w:hanging="360"/>
      </w:pPr>
    </w:lvl>
    <w:lvl w:ilvl="7" w:tplc="863E7638">
      <w:start w:val="1"/>
      <w:numFmt w:val="lowerLetter"/>
      <w:lvlText w:val="%8."/>
      <w:lvlJc w:val="left"/>
      <w:pPr>
        <w:ind w:left="5684" w:hanging="360"/>
      </w:pPr>
    </w:lvl>
    <w:lvl w:ilvl="8" w:tplc="E8743C12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31"/>
    <w:rsid w:val="0066562E"/>
    <w:rsid w:val="006F4E31"/>
    <w:rsid w:val="008850A3"/>
    <w:rsid w:val="008C26F1"/>
    <w:rsid w:val="0095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C158F-5D65-49EB-9E51-266FAF32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b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af1">
    <w:name w:val="Верхний колонтитул Знак"/>
    <w:basedOn w:val="a0"/>
    <w:uiPriority w:val="99"/>
    <w:qFormat/>
    <w:rPr>
      <w:rFonts w:ascii="Calibri" w:hAnsi="Calibri" w:cs="Times New Roman"/>
    </w:rPr>
  </w:style>
  <w:style w:type="character" w:customStyle="1" w:styleId="af2">
    <w:name w:val="Нижний колонтитул Знак"/>
    <w:basedOn w:val="a0"/>
    <w:uiPriority w:val="99"/>
    <w:qFormat/>
    <w:rPr>
      <w:rFonts w:ascii="Calibri" w:hAnsi="Calibri" w:cs="Times New Roman"/>
    </w:rPr>
  </w:style>
  <w:style w:type="character" w:customStyle="1" w:styleId="af3">
    <w:name w:val="Текст сноски Знак"/>
    <w:basedOn w:val="a0"/>
    <w:uiPriority w:val="99"/>
    <w:qFormat/>
    <w:rPr>
      <w:sz w:val="20"/>
      <w:szCs w:val="20"/>
    </w:rPr>
  </w:style>
  <w:style w:type="character" w:customStyle="1" w:styleId="af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rFonts w:cs="Times New Roman"/>
      <w:vertAlign w:val="superscript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7">
    <w:name w:val="Текст примечания Знак"/>
    <w:basedOn w:val="a0"/>
    <w:uiPriority w:val="99"/>
    <w:qFormat/>
    <w:rPr>
      <w:rFonts w:ascii="Calibri" w:hAnsi="Calibri" w:cs="Times New Roman"/>
      <w:sz w:val="20"/>
      <w:szCs w:val="20"/>
    </w:rPr>
  </w:style>
  <w:style w:type="character" w:customStyle="1" w:styleId="af8">
    <w:name w:val="Тема примечания Знак"/>
    <w:basedOn w:val="af7"/>
    <w:uiPriority w:val="99"/>
    <w:semiHidden/>
    <w:qFormat/>
    <w:rPr>
      <w:rFonts w:ascii="Calibri" w:hAnsi="Calibri" w:cs="Times New Roman"/>
      <w:b/>
      <w:bCs/>
      <w:sz w:val="20"/>
      <w:szCs w:val="20"/>
    </w:rPr>
  </w:style>
  <w:style w:type="character" w:styleId="af9">
    <w:name w:val="Emphasis"/>
    <w:basedOn w:val="a0"/>
    <w:uiPriority w:val="20"/>
    <w:qFormat/>
    <w:rPr>
      <w:i/>
      <w:iCs/>
    </w:rPr>
  </w:style>
  <w:style w:type="character" w:customStyle="1" w:styleId="ConsPlusNormal">
    <w:name w:val="ConsPlusNormal Знак"/>
    <w:basedOn w:val="a0"/>
    <w:qFormat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eastAsia="Calibri"/>
    </w:rPr>
  </w:style>
  <w:style w:type="character" w:customStyle="1" w:styleId="ListLabel3">
    <w:name w:val="ListLabel 3"/>
    <w:qFormat/>
    <w:rPr>
      <w:rFonts w:eastAsia="Calibri"/>
    </w:rPr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eastAsia="Calibri"/>
    </w:rPr>
  </w:style>
  <w:style w:type="character" w:customStyle="1" w:styleId="ListLabel7">
    <w:name w:val="ListLabel 7"/>
    <w:qFormat/>
    <w:rPr>
      <w:rFonts w:eastAsia="Calibri"/>
    </w:rPr>
  </w:style>
  <w:style w:type="character" w:customStyle="1" w:styleId="ListLabel8">
    <w:name w:val="ListLabel 8"/>
    <w:qFormat/>
    <w:rPr>
      <w:rFonts w:eastAsia="Calibri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eastAsia="Calibri"/>
    </w:rPr>
  </w:style>
  <w:style w:type="character" w:customStyle="1" w:styleId="ListLabel11">
    <w:name w:val="ListLabel 11"/>
    <w:qFormat/>
    <w:rPr>
      <w:rFonts w:eastAsia="Calibri"/>
    </w:rPr>
  </w:style>
  <w:style w:type="character" w:customStyle="1" w:styleId="ListLabel12">
    <w:name w:val="ListLabel 12"/>
    <w:qFormat/>
    <w:rPr>
      <w:rFonts w:eastAsia="Calibri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ascii="Times New Roman" w:eastAsia="Courier New" w:hAnsi="Times New Roman"/>
      <w:sz w:val="28"/>
      <w:szCs w:val="28"/>
      <w:lang w:eastAsia="ru-RU"/>
    </w:rPr>
  </w:style>
  <w:style w:type="character" w:customStyle="1" w:styleId="ListLabel15">
    <w:name w:val="ListLabel 15"/>
    <w:qFormat/>
    <w:rPr>
      <w:rFonts w:ascii="Times New Roman" w:eastAsia="Courier New" w:hAnsi="Times New Roman"/>
      <w:sz w:val="28"/>
      <w:szCs w:val="28"/>
      <w:lang w:eastAsia="ru-RU"/>
    </w:rPr>
  </w:style>
  <w:style w:type="character" w:customStyle="1" w:styleId="ListLabel16">
    <w:name w:val="ListLabel 16"/>
    <w:qFormat/>
    <w:rPr>
      <w:rFonts w:ascii="Times New Roman" w:eastAsia="Courier New" w:hAnsi="Times New Roman"/>
      <w:sz w:val="28"/>
      <w:szCs w:val="28"/>
      <w:lang w:eastAsia="ru-RU"/>
    </w:rPr>
  </w:style>
  <w:style w:type="character" w:customStyle="1" w:styleId="ListLabel17">
    <w:name w:val="ListLabel 17"/>
    <w:qFormat/>
    <w:rPr>
      <w:rFonts w:ascii="Times New Roman" w:eastAsia="Courier New" w:hAnsi="Times New Roman"/>
      <w:sz w:val="28"/>
      <w:szCs w:val="28"/>
      <w:lang w:eastAsia="ru-RU"/>
    </w:rPr>
  </w:style>
  <w:style w:type="paragraph" w:customStyle="1" w:styleId="16">
    <w:name w:val="Заголовок1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6"/>
      <w:szCs w:val="20"/>
      <w:lang w:eastAsia="ru-RU"/>
    </w:rPr>
  </w:style>
  <w:style w:type="paragraph" w:styleId="afe">
    <w:name w:val="List Paragraph"/>
    <w:basedOn w:val="a"/>
    <w:uiPriority w:val="34"/>
    <w:qFormat/>
    <w:pPr>
      <w:ind w:left="720"/>
    </w:pPr>
  </w:style>
  <w:style w:type="paragraph" w:styleId="a9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note text"/>
    <w:basedOn w:val="a"/>
    <w:link w:val="14"/>
    <w:uiPriority w:val="99"/>
    <w:unhideWhenUsed/>
    <w:rPr>
      <w:rFonts w:cstheme="minorBidi"/>
      <w:sz w:val="20"/>
      <w:szCs w:val="20"/>
    </w:rPr>
  </w:style>
  <w:style w:type="paragraph" w:styleId="aff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0">
    <w:name w:val="annotation text"/>
    <w:basedOn w:val="a"/>
    <w:uiPriority w:val="99"/>
    <w:unhideWhenUsed/>
    <w:qFormat/>
    <w:rPr>
      <w:sz w:val="20"/>
      <w:szCs w:val="20"/>
    </w:rPr>
  </w:style>
  <w:style w:type="paragraph" w:styleId="aff1">
    <w:name w:val="annotation subject"/>
    <w:basedOn w:val="aff0"/>
    <w:next w:val="aff0"/>
    <w:uiPriority w:val="99"/>
    <w:semiHidden/>
    <w:unhideWhenUsed/>
    <w:qFormat/>
    <w:rPr>
      <w:b/>
      <w:bCs/>
    </w:rPr>
  </w:style>
  <w:style w:type="paragraph" w:styleId="aff2">
    <w:name w:val="Revision"/>
    <w:uiPriority w:val="99"/>
    <w:semiHidden/>
    <w:qFormat/>
    <w:rPr>
      <w:rFonts w:cs="Times New Roman"/>
      <w:sz w:val="22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Cs w:val="20"/>
      <w:lang w:eastAsia="ru-RU"/>
    </w:rPr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footnote reference"/>
    <w:uiPriority w:val="99"/>
    <w:rPr>
      <w:vertAlign w:val="superscript"/>
    </w:rPr>
  </w:style>
  <w:style w:type="character" w:styleId="aff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55"/>
    </w:pPr>
    <w:rPr>
      <w:rFonts w:ascii="Times New Roman" w:eastAsia="Times New Roman" w:hAnsi="Times New Roman"/>
      <w:lang w:eastAsia="ru-RU" w:bidi="ru-RU"/>
    </w:rPr>
  </w:style>
  <w:style w:type="character" w:customStyle="1" w:styleId="HTML">
    <w:name w:val="Стандартный HTML Знак"/>
    <w:basedOn w:val="a0"/>
    <w:link w:val="HTML0"/>
    <w:uiPriority w:val="99"/>
    <w:semiHidden/>
    <w:rPr>
      <w:rFonts w:ascii="Courier New" w:eastAsia="Times New Roman" w:hAnsi="Courier New" w:cs="Courier New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No Spacing"/>
    <w:link w:val="aff7"/>
    <w:uiPriority w:val="1"/>
    <w:qFormat/>
    <w:rPr>
      <w:rFonts w:ascii="Calibri" w:eastAsia="Times New Roman" w:hAnsi="Calibri" w:cs="Times New Roman"/>
      <w:sz w:val="22"/>
      <w:lang w:eastAsia="ru-RU"/>
    </w:rPr>
  </w:style>
  <w:style w:type="character" w:customStyle="1" w:styleId="aff7">
    <w:name w:val="Без интервала Знак"/>
    <w:basedOn w:val="a0"/>
    <w:link w:val="aff6"/>
    <w:uiPriority w:val="1"/>
    <w:rPr>
      <w:rFonts w:ascii="Calibri" w:eastAsia="Times New Roman" w:hAnsi="Calibri" w:cs="Times New Roman"/>
      <w:sz w:val="22"/>
      <w:lang w:eastAsia="ru-RU"/>
    </w:rPr>
  </w:style>
  <w:style w:type="paragraph" w:customStyle="1" w:styleId="FR1">
    <w:name w:val="FR1"/>
    <w:pPr>
      <w:widowControl w:val="0"/>
      <w:spacing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8C41871BE4F2EAD3BF9FA2499A27984401BB0218A47D38CBFC3758A25E5A22E8A12610AFF70086B1806F6FE7z3l4E" TargetMode="External"/><Relationship Id="rId18" Type="http://schemas.openxmlformats.org/officeDocument/2006/relationships/hyperlink" Target="http://hmrn.ru/raion/ekonomika/ser/socio_economic_programm/programms/perechen-munitsipalnykh-programm.php?clear_cache=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8C41871BE4F2EAD3BF9FA2499A27984601B80A1EA57D38CBFC3758A25E5A22E8A12610AFF70086B1806F6FE7z3l4E" TargetMode="Externa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8C41871BE4F2EAD3BF9FA2499A27984508B90219A57D38CBFC3758A25E5A22E8A12610AFF70086B1806F6FE7z3l4E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18C41871BE4F2EAD3BF9FA2499A27984401BB0218A47D38CBFC3758A25E5A22E8A12610AFF70086B1806F6FE7z3l4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E495E-DD62-4EA5-9D9F-786B467D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10964</Words>
  <Characters>62499</Characters>
  <Application>Microsoft Office Word</Application>
  <DocSecurity>0</DocSecurity>
  <Lines>520</Lines>
  <Paragraphs>146</Paragraphs>
  <ScaleCrop>false</ScaleCrop>
  <Company/>
  <LinksUpToDate>false</LinksUpToDate>
  <CharactersWithSpaces>73317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Орлова О.А.</cp:lastModifiedBy>
  <cp:revision>110</cp:revision>
  <dcterms:created xsi:type="dcterms:W3CDTF">2024-11-21T10:01:00Z</dcterms:created>
  <dcterms:modified xsi:type="dcterms:W3CDTF">2025-10-17T04:44:00Z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