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</w:t>
      </w:r>
      <w:r>
        <w:rPr>
          <w:sz w:val="28"/>
          <w:szCs w:val="28"/>
          <w:lang w:val="en-US"/>
        </w:rPr>
        <w:t xml:space="preserve">0</w:t>
      </w:r>
      <w:r>
        <w:rPr>
          <w:sz w:val="28"/>
          <w:szCs w:val="28"/>
        </w:rPr>
        <w:t xml:space="preserve">.0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>
          <w:trHeight w:val="841"/>
        </w:trPr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Ханты-Мансийского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голосован</w:t>
      </w:r>
      <w:r>
        <w:rPr>
          <w:sz w:val="28"/>
          <w:szCs w:val="28"/>
          <w:highlight w:val="white"/>
        </w:rPr>
        <w:t xml:space="preserve">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0</w:t>
      </w:r>
      <w:r>
        <w:rPr>
          <w:sz w:val="28"/>
          <w:szCs w:val="28"/>
          <w:highlight w:val="white"/>
        </w:rPr>
        <w:t xml:space="preserve"> чело</w:t>
      </w:r>
      <w:r>
        <w:rPr>
          <w:sz w:val="28"/>
          <w:szCs w:val="28"/>
          <w:highlight w:val="white"/>
        </w:rPr>
        <w:t xml:space="preserve">ве</w:t>
      </w:r>
      <w:r>
        <w:rPr>
          <w:sz w:val="28"/>
          <w:szCs w:val="28"/>
        </w:rPr>
        <w:t xml:space="preserve">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:</w:t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Об оказании имущественной </w:t>
      </w:r>
      <w:r>
        <w:rPr>
          <w:rFonts w:eastAsia="Calibri"/>
          <w:bCs/>
          <w:sz w:val="28"/>
          <w:szCs w:val="28"/>
          <w:lang w:eastAsia="en-US"/>
        </w:rPr>
        <w:t xml:space="preserve">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</w:t>
      </w:r>
      <w:r>
        <w:rPr>
          <w:sz w:val="28"/>
          <w:szCs w:val="28"/>
        </w:rPr>
        <w:t xml:space="preserve">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Отметить: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12 Правил оказания имущественной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ход» Ханты-Мансийского района, утвержденных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дминистрации Ханты-Мансийского района от 02.09.2016 № 266 (далее – Правила), в адрес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адрес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автономного учреждения «Организационно-методический центр» (далее – МАУ «ОМЦ»)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субъектов малого и среднего предпринимательства и физических лиц, не являющимися индивидуальными предпринимателями и применяющим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специальный налоговый режим «Налог на профессиональный доход»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 Субъекты):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Осокина Елизавета Александровна (ИНН 860106446701) о предоставлении в аренду сроком на 11 (Одиннадцать) месяцев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имущества Ханты-Мансийского района, а именно, нежилого помещения № 7 площадью 9,8 кв.м., расположенного по адресу: Ханты-Мансийский район, пос. Горноправдинск, ул. Таежная, дом 14А, с целью использования для бытовых услуг, ногтевого сервиса;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Физическое лицо, не являющееся индивидуальным предпринимателем и применяющим специальный налоговый режим «Налог на профессиональный доход» Носов Яков Михайлович (ИНН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861801103546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о предоставлении в аренду сроком на 11 (Одиннадцать) месяцев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униципального имущества Ханты-Мансийского района, а именно, нежилого помещения № 21 площадью 7,6 кв.м., расположенного по адресу: Ханты-Мансийский район, пос. Горноправдинск, ул. Таежная, дом 14А, с целью использования для бытовых услуг, ногтевого сервиса.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Субъекты отвечают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1.2.1.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соответствуют условиям  </w:t>
      </w:r>
      <w:hyperlink r:id="rId11" w:tooltip="consultantplus://offline/ref=AA704E6C430C1D9D4A71AA967A2EF7E767FD3A05A7388336F7481526DC49A046D332717B72E8D4061E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ст. 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частью 3 статьи 14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Федерального закона от 24.07.2007 № 209-ФЗ;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1.2.2. Объекты имущества, указанные в 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протокола, включены в Перечень имущества, находяще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гося в муниципальной собственности Ханты-Мансийского района, свободного от прав третьих лиц (за исключением  права хозяйственного ведения, права оперативного управления, а также имущественных прав субъектов малого и среднего предпринимательства), предназна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ченного для предоставления во владение и(или)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Мансийского района, утвержденный постановлением Администрации Ханты-Мансийского района от 25.02.2021 № 53 (далее – Перечень имущества), и предназначены для оказания имуществ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поддержки указанным лицам.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 пунктом 16 Совет в форме заочного рассмотрения вопроса об оказании имущественной поддержки выражает мнение 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возможности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аренду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Физическому лицу, не являющейся индивидуальным предпринимателем и применяющим специальный налоговый режим «Налог на профессиональный доход» Осокиной Елизавете Александровне (ИНН 860106446701) о предоставлении в аренду сроком на 11 (Одиннадцать) месяцев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 имущества Ханты-Мансийского района, а именно, нежилого помещения № 7 площадью 9,8 кв.м., расположенного по адресу: Ханты-Мансийский район, пос. Горноправдинск, ул. Таежная, дом 14А, с целью использования для бытовых услуг, ногтевого сервиса;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Физическому лицу, не являющемуся индивидуальным предпринимателем и применяющим специальный налоговый режим «Налог на профессиональный доход» Носов Яков Михайлович (ИНН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861801103546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о предоставлении в аренду сроком на 11 (Одиннадцать) месяцев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униципального имущества Ханты-Мансийского района, а именно, нежилого помещения № 21 площадью 7,6 кв.м., расположенного по адресу: Ханты-Мансийский район, пос. Горноправдинск, ул. Таежная, дом 14А, с целью использования для бытовых услуг, ногтевого сервиса.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голосования: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«ЗА»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0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«ПРОТИВ»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«ВОЗДЕРЖАЛИСЬ»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69"/>
        <w:tblW w:w="94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редседател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Совета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К.Р.Минулин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Китайкина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экономической политики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.А.Овсянник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6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1"/>
    <w:link w:val="855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1"/>
    <w:link w:val="856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1"/>
    <w:link w:val="85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1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61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4"/>
    <w:next w:val="85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4"/>
    <w:next w:val="85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861"/>
    <w:link w:val="865"/>
    <w:uiPriority w:val="10"/>
    <w:rPr>
      <w:sz w:val="48"/>
      <w:szCs w:val="48"/>
    </w:rPr>
  </w:style>
  <w:style w:type="character" w:styleId="703">
    <w:name w:val="Subtitle Char"/>
    <w:basedOn w:val="861"/>
    <w:link w:val="866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61"/>
    <w:link w:val="874"/>
    <w:uiPriority w:val="99"/>
  </w:style>
  <w:style w:type="character" w:styleId="709">
    <w:name w:val="Footer Char"/>
    <w:basedOn w:val="861"/>
    <w:link w:val="876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6"/>
    <w:uiPriority w:val="99"/>
  </w:style>
  <w:style w:type="table" w:styleId="712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61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61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</w:style>
  <w:style w:type="paragraph" w:styleId="855">
    <w:name w:val="Heading 1"/>
    <w:basedOn w:val="854"/>
    <w:next w:val="854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56">
    <w:name w:val="Heading 2"/>
    <w:basedOn w:val="854"/>
    <w:next w:val="85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7">
    <w:name w:val="Heading 3"/>
    <w:basedOn w:val="854"/>
    <w:next w:val="854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8">
    <w:name w:val="Heading 4"/>
    <w:basedOn w:val="854"/>
    <w:next w:val="854"/>
    <w:pPr>
      <w:keepLines/>
      <w:keepNext/>
      <w:spacing w:before="240" w:after="40"/>
      <w:outlineLvl w:val="3"/>
    </w:pPr>
    <w:rPr>
      <w:b/>
    </w:rPr>
  </w:style>
  <w:style w:type="paragraph" w:styleId="859">
    <w:name w:val="Heading 5"/>
    <w:basedOn w:val="854"/>
    <w:next w:val="854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0">
    <w:name w:val="Heading 6"/>
    <w:basedOn w:val="854"/>
    <w:next w:val="854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5">
    <w:name w:val="Title"/>
    <w:basedOn w:val="854"/>
    <w:next w:val="854"/>
    <w:pPr>
      <w:jc w:val="center"/>
    </w:pPr>
    <w:rPr>
      <w:sz w:val="32"/>
      <w:szCs w:val="32"/>
    </w:rPr>
  </w:style>
  <w:style w:type="paragraph" w:styleId="866">
    <w:name w:val="Subtitle"/>
    <w:basedOn w:val="854"/>
    <w:next w:val="85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7" w:customStyle="1">
    <w:name w:val="StGen0"/>
    <w:basedOn w:val="86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68">
    <w:name w:val="List Paragraph"/>
    <w:basedOn w:val="854"/>
    <w:uiPriority w:val="34"/>
    <w:qFormat/>
    <w:pPr>
      <w:contextualSpacing/>
      <w:ind w:left="720"/>
    </w:pPr>
  </w:style>
  <w:style w:type="table" w:styleId="869">
    <w:name w:val="Table Grid"/>
    <w:basedOn w:val="86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854"/>
    <w:link w:val="87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61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3">
    <w:name w:val="Hyperlink"/>
    <w:basedOn w:val="861"/>
    <w:uiPriority w:val="99"/>
    <w:semiHidden/>
    <w:unhideWhenUsed/>
    <w:rPr>
      <w:color w:val="0000ff"/>
      <w:u w:val="single"/>
    </w:rPr>
  </w:style>
  <w:style w:type="paragraph" w:styleId="874">
    <w:name w:val="Header"/>
    <w:basedOn w:val="85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1"/>
    <w:link w:val="874"/>
    <w:uiPriority w:val="99"/>
  </w:style>
  <w:style w:type="paragraph" w:styleId="876">
    <w:name w:val="Footer"/>
    <w:basedOn w:val="854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1"/>
    <w:link w:val="876"/>
    <w:uiPriority w:val="99"/>
  </w:style>
  <w:style w:type="paragraph" w:styleId="878" w:customStyle="1">
    <w:name w:val="Body Text"/>
    <w:basedOn w:val="849"/>
    <w:link w:val="868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20EC-28F4-47C0-BCCE-E20B64DB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50</cp:revision>
  <dcterms:created xsi:type="dcterms:W3CDTF">2023-10-25T04:08:00Z</dcterms:created>
  <dcterms:modified xsi:type="dcterms:W3CDTF">2026-02-20T06:18:27Z</dcterms:modified>
</cp:coreProperties>
</file>