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Ханты-Мансийского района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Совет).</w:t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15 октября 2025</w:t>
      </w:r>
      <w:r>
        <w:rPr>
          <w:sz w:val="28"/>
          <w:szCs w:val="28"/>
        </w:rPr>
        <w:t xml:space="preserve"> года                                                                                № 5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Председательствовал:</w:t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/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r>
              <w:rPr>
                <w:sz w:val="28"/>
                <w:szCs w:val="28"/>
              </w:rPr>
              <w:t xml:space="preserve">Равильевич</w:t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Ханты-Мансийского района, председатель Совета</w:t>
            </w:r>
            <w:r>
              <w:rPr>
                <w:sz w:val="28"/>
                <w:szCs w:val="28"/>
              </w:rPr>
            </w:r>
          </w:p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голосовании 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человек.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района.</w:t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</w:t>
      </w:r>
      <w:r>
        <w:rPr>
          <w:sz w:val="28"/>
          <w:szCs w:val="28"/>
        </w:rPr>
        <w:t xml:space="preserve">иональный доход» Ханты-Мансийского район</w:t>
      </w:r>
      <w:r>
        <w:rPr>
          <w:sz w:val="28"/>
          <w:szCs w:val="28"/>
        </w:rPr>
        <w:t xml:space="preserve">а, утвержденных постановлением А</w:t>
      </w:r>
      <w:r>
        <w:rPr>
          <w:sz w:val="28"/>
          <w:szCs w:val="28"/>
        </w:rPr>
        <w:t xml:space="preserve">дминистрации Ханты-Мансийского района от 02.09.2016 № 266 (далее – Правила), уведомляем вас о том, что в адрес комитета экономической политики Администрации Ханты-Мансийского района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Департамента имущественных и земельных отношений Администрации Ханты-Мансийского района (далее – </w:t>
      </w:r>
      <w:r>
        <w:rPr>
          <w:rFonts w:eastAsia="Calibri"/>
          <w:sz w:val="28"/>
          <w:szCs w:val="28"/>
        </w:rPr>
        <w:t xml:space="preserve">депимущества</w:t>
      </w:r>
      <w:r>
        <w:rPr>
          <w:rFonts w:eastAsia="Calibri"/>
          <w:sz w:val="28"/>
          <w:szCs w:val="28"/>
        </w:rPr>
        <w:t xml:space="preserve">) и муниципального автономного учреждения «Организационно-методический центр» (далее – МАУ «ОМЦ») </w:t>
      </w:r>
      <w:r>
        <w:rPr>
          <w:sz w:val="28"/>
          <w:szCs w:val="28"/>
        </w:rPr>
        <w:t xml:space="preserve">поступили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</w:t>
      </w:r>
      <w:r>
        <w:rPr>
          <w:sz w:val="28"/>
          <w:szCs w:val="28"/>
        </w:rPr>
        <w:t xml:space="preserve">ндивидуального предпринимателя </w:t>
      </w:r>
      <w:r>
        <w:rPr>
          <w:sz w:val="28"/>
          <w:szCs w:val="28"/>
        </w:rPr>
        <w:t xml:space="preserve">Тандаловой</w:t>
      </w:r>
      <w:r>
        <w:rPr>
          <w:sz w:val="28"/>
          <w:szCs w:val="28"/>
        </w:rPr>
        <w:t xml:space="preserve"> Екатерины Александровны (ИНН 362803129097) (далее – субъект МСП, арендатор) о возможности воспользоваться</w:t>
      </w:r>
      <w:r>
        <w:rPr>
          <w:sz w:val="28"/>
          <w:szCs w:val="28"/>
        </w:rPr>
        <w:t xml:space="preserve"> преимущественным правом </w:t>
      </w:r>
      <w:r>
        <w:rPr>
          <w:sz w:val="28"/>
          <w:szCs w:val="28"/>
        </w:rPr>
        <w:t xml:space="preserve">выкупа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арендов</w:t>
      </w:r>
      <w:r>
        <w:rPr>
          <w:sz w:val="28"/>
          <w:szCs w:val="28"/>
        </w:rPr>
        <w:t xml:space="preserve">анного движимого муниципального</w:t>
      </w:r>
      <w:r>
        <w:rPr>
          <w:sz w:val="28"/>
          <w:szCs w:val="28"/>
        </w:rPr>
        <w:t xml:space="preserve"> имущества Ханты-Мансийского района в количестве 26 единиц, (технолог</w:t>
      </w:r>
      <w:r>
        <w:rPr>
          <w:sz w:val="28"/>
          <w:szCs w:val="28"/>
        </w:rPr>
        <w:t xml:space="preserve">ически и функционально связанного с объектом) согласно приложению 1.</w:t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Данное и</w:t>
      </w:r>
      <w:r>
        <w:rPr>
          <w:sz w:val="28"/>
          <w:szCs w:val="28"/>
        </w:rPr>
        <w:t xml:space="preserve">мущество </w:t>
      </w:r>
      <w:r>
        <w:rPr>
          <w:sz w:val="28"/>
          <w:szCs w:val="28"/>
        </w:rPr>
        <w:t xml:space="preserve">предоставлено в аренду субъекту МСП на основании </w:t>
      </w:r>
      <w:r>
        <w:rPr>
          <w:bCs/>
          <w:sz w:val="28"/>
          <w:szCs w:val="28"/>
        </w:rPr>
        <w:t xml:space="preserve">договоров</w:t>
      </w:r>
      <w:r>
        <w:rPr>
          <w:bCs/>
          <w:sz w:val="28"/>
          <w:szCs w:val="28"/>
        </w:rPr>
        <w:t xml:space="preserve"> аренды муниципал</w:t>
      </w:r>
      <w:r>
        <w:rPr>
          <w:bCs/>
          <w:sz w:val="28"/>
          <w:szCs w:val="28"/>
        </w:rPr>
        <w:t xml:space="preserve">ьного имущества от 27.08.2021 №4/05/21, от 04.10.2021 №</w:t>
      </w:r>
      <w:r>
        <w:rPr>
          <w:bCs/>
          <w:sz w:val="28"/>
          <w:szCs w:val="28"/>
        </w:rPr>
        <w:t xml:space="preserve">4/06/21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срок </w:t>
      </w:r>
      <w:r>
        <w:rPr>
          <w:sz w:val="28"/>
          <w:szCs w:val="28"/>
        </w:rPr>
        <w:t xml:space="preserve">с 27.08.2021 по 26.08.2026 и с 04.10.2021 по 03.10.2031 соответственно, в порядке оказания имущественной поддержки в соответствии с Правилами</w:t>
      </w:r>
      <w:r>
        <w:rPr>
          <w:sz w:val="28"/>
          <w:szCs w:val="28"/>
        </w:rPr>
        <w:t xml:space="preserve">;</w:t>
      </w:r>
      <w:r>
        <w:t xml:space="preserve"> </w:t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бщества с ограниченной ответственностью «Национальная родовая община «</w:t>
      </w:r>
      <w:r>
        <w:rPr>
          <w:sz w:val="28"/>
          <w:szCs w:val="28"/>
        </w:rPr>
        <w:t xml:space="preserve">Колмодай</w:t>
      </w:r>
      <w:r>
        <w:rPr>
          <w:sz w:val="28"/>
          <w:szCs w:val="28"/>
        </w:rPr>
        <w:t xml:space="preserve">» (ИНН 8618001386) (далее – субъект МСП, арендатор) о возможности воспольз</w:t>
      </w:r>
      <w:r>
        <w:rPr>
          <w:sz w:val="28"/>
          <w:szCs w:val="28"/>
        </w:rPr>
        <w:t xml:space="preserve">оваться преимущественным правом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выкупа</w:t>
      </w:r>
      <w:r>
        <w:rPr>
          <w:sz w:val="28"/>
          <w:szCs w:val="28"/>
        </w:rPr>
        <w:t xml:space="preserve"> арендов</w:t>
      </w:r>
      <w:r>
        <w:rPr>
          <w:sz w:val="28"/>
          <w:szCs w:val="28"/>
        </w:rPr>
        <w:t xml:space="preserve">анного движимого муниципального</w:t>
      </w:r>
      <w:r>
        <w:rPr>
          <w:sz w:val="28"/>
          <w:szCs w:val="28"/>
        </w:rPr>
        <w:t xml:space="preserve"> имущества Ханты-Мансийского района в количестве 2 единиц, (технологически и функционально связанного с объектом) согласно приложению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Данное иму</w:t>
      </w:r>
      <w:r>
        <w:rPr>
          <w:sz w:val="28"/>
          <w:szCs w:val="28"/>
        </w:rPr>
        <w:t xml:space="preserve">щество предоставлено в аренду субъекту МСП на основании </w:t>
      </w:r>
      <w:r>
        <w:rPr>
          <w:bCs/>
          <w:sz w:val="28"/>
          <w:szCs w:val="28"/>
        </w:rPr>
        <w:t xml:space="preserve">договора аренды муниципал</w:t>
      </w:r>
      <w:r>
        <w:rPr>
          <w:bCs/>
          <w:sz w:val="28"/>
          <w:szCs w:val="28"/>
        </w:rPr>
        <w:t xml:space="preserve">ьного имущества от 08.10.2018 №</w:t>
      </w:r>
      <w:r>
        <w:rPr>
          <w:bCs/>
          <w:sz w:val="28"/>
          <w:szCs w:val="28"/>
        </w:rPr>
        <w:t xml:space="preserve">4/05/18 </w:t>
      </w:r>
      <w:r>
        <w:rPr>
          <w:sz w:val="28"/>
          <w:szCs w:val="28"/>
        </w:rPr>
        <w:t xml:space="preserve">на срок с 08.10.2018 по 07.10.2028, в порядке оказания имущественной поддержки в соответствии с Правилами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 Рассмотрение заявлений, поступивших в адрес муниципального автономного учреждения «Организационно-методический центр»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индивидуального предпринимателя и физического лица, не являющимся индивидуальным предпринимателям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амозанятого</w:t>
      </w:r>
      <w:r>
        <w:rPr>
          <w:sz w:val="28"/>
          <w:szCs w:val="28"/>
        </w:rPr>
        <w:t xml:space="preserve"> гражданина Российской Федерации </w:t>
      </w:r>
      <w:r>
        <w:rPr>
          <w:sz w:val="28"/>
          <w:szCs w:val="28"/>
        </w:rPr>
        <w:t xml:space="preserve">Аразовой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Аскеровны</w:t>
      </w:r>
      <w:r>
        <w:rPr>
          <w:sz w:val="28"/>
          <w:szCs w:val="28"/>
        </w:rPr>
        <w:t xml:space="preserve"> (ИНН 8</w:t>
      </w:r>
      <w:r>
        <w:rPr>
          <w:sz w:val="28"/>
          <w:szCs w:val="28"/>
        </w:rPr>
        <w:t xml:space="preserve">61801751297) о предоставлении в аренду сроком на 11 (Одиннадцать) месяцев муниципального имущества Ханты-Мансийского района, а именно, нежилого помещения № 31 площадью 15,2 кв. м., расположенного по адресу: Ханты-Мансийский район, пос. </w:t>
      </w:r>
      <w:r>
        <w:rPr>
          <w:sz w:val="28"/>
          <w:szCs w:val="28"/>
        </w:rPr>
        <w:t xml:space="preserve">Горноправдинск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Киевская, дом 4, корпус 1, с целью использования для оказания бытовых услуг (парикмахерская);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ндивидуального предпринимателя Бояриновой Ольги Валерьевны (ИНН 860108359885) о предоставлении в аренду сроком на 11 (Одиннадцать) месяцев муниципального иму</w:t>
      </w:r>
      <w:r>
        <w:rPr>
          <w:sz w:val="28"/>
          <w:szCs w:val="28"/>
        </w:rPr>
        <w:t xml:space="preserve">щества Ханты-Мансийского </w:t>
      </w:r>
      <w:r>
        <w:rPr>
          <w:sz w:val="28"/>
          <w:szCs w:val="28"/>
        </w:rPr>
        <w:t xml:space="preserve">района, а именно, нежилого помещения № 10, площадью 41,5 кв. м., расположенного по адресу: Ханты-Мансийский район, пос. </w:t>
      </w:r>
      <w:r>
        <w:rPr>
          <w:sz w:val="28"/>
          <w:szCs w:val="28"/>
        </w:rPr>
        <w:t xml:space="preserve">Горноправдинск</w:t>
      </w:r>
      <w:r>
        <w:rPr>
          <w:sz w:val="28"/>
          <w:szCs w:val="28"/>
        </w:rPr>
        <w:t xml:space="preserve">, ул. Киевская, дом 4, корпус 1, с целью использования для оказания услуг иных видов экономическо</w:t>
      </w:r>
      <w:r>
        <w:rPr>
          <w:sz w:val="28"/>
          <w:szCs w:val="28"/>
        </w:rPr>
        <w:t xml:space="preserve">й деятельности (Торговля розничная по почте или по информационно-</w:t>
      </w:r>
      <w:r>
        <w:rPr>
          <w:sz w:val="28"/>
          <w:szCs w:val="28"/>
        </w:rPr>
        <w:t xml:space="preserve">коммуникационной сети Интернет).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Арендуемое имущество включено в утвержденный в соответствии с </w:t>
      </w:r>
      <w:hyperlink r:id="rId11" w:tooltip="consultantplus://offline/ref=B449CB6594C0E281109E3F881F0862493D914DAB82BD4BF408C64F1C4B970276DFD19BEC8C4367EDF8Q2K" w:history="1">
        <w:r>
          <w:rPr>
            <w:color w:val="000000"/>
            <w:sz w:val="28"/>
            <w:szCs w:val="28"/>
          </w:rPr>
          <w:t xml:space="preserve">частью 4 статьи 18</w:t>
        </w:r>
      </w:hyperlink>
      <w:r>
        <w:rPr>
          <w:color w:val="000000"/>
          <w:sz w:val="28"/>
          <w:szCs w:val="28"/>
        </w:rPr>
        <w:t xml:space="preserve"> Федерального закона от 24.07.2007 №  209-ФЗ «О развитии малого и среднего предп</w:t>
      </w:r>
      <w:r>
        <w:rPr>
          <w:color w:val="000000"/>
          <w:sz w:val="28"/>
          <w:szCs w:val="28"/>
        </w:rPr>
        <w:t xml:space="preserve">ринимательства в Российской Федерации» Перечень </w:t>
      </w:r>
      <w:r>
        <w:rPr>
          <w:bCs/>
          <w:sz w:val="28"/>
          <w:szCs w:val="28"/>
        </w:rPr>
        <w:t xml:space="preserve">имущества, находящегося в муниципальной собственности Ханты-Мансийского района, свободного от прав третьих лиц (за исключением права хозяйственного ведения, права оперативного управления, а также имущественны</w:t>
      </w:r>
      <w:r>
        <w:rPr>
          <w:bCs/>
          <w:sz w:val="28"/>
          <w:szCs w:val="28"/>
        </w:rPr>
        <w:t xml:space="preserve">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</w:t>
      </w:r>
      <w:r>
        <w:rPr>
          <w:bCs/>
          <w:sz w:val="28"/>
          <w:szCs w:val="28"/>
        </w:rPr>
        <w:t xml:space="preserve">специальный налоговый режим «Налог на профессиональный доход»</w:t>
      </w:r>
      <w:r>
        <w:rPr>
          <w:color w:val="000000"/>
          <w:sz w:val="28"/>
          <w:szCs w:val="28"/>
        </w:rPr>
        <w:t xml:space="preserve"> (постановление Администрации Ханты-Мансийского района </w:t>
      </w:r>
      <w:r>
        <w:rPr>
          <w:bCs/>
          <w:sz w:val="28"/>
          <w:szCs w:val="28"/>
        </w:rPr>
        <w:t xml:space="preserve">от 25.02.2021 № 53) </w:t>
      </w:r>
      <w:r>
        <w:rPr>
          <w:sz w:val="28"/>
          <w:szCs w:val="28"/>
        </w:rPr>
        <w:t xml:space="preserve"> (далее – Перечень).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53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3, пунктом 2.1 статьи 9 Закона № 159-ФЗ условия, при которых </w:t>
      </w:r>
      <w:r>
        <w:rPr>
          <w:sz w:val="28"/>
          <w:szCs w:val="28"/>
        </w:rPr>
        <w:t xml:space="preserve">арендатор муниципального имущества, включенного в Перечень, может заявиться в уполномоченный орган с преимущественным правом выкупа арендованного имущества, в отношении арендатора соблюдены, а именно: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53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1) арендуемое имущество на день подачи субъектом МСП з</w:t>
      </w:r>
      <w:r>
        <w:rPr>
          <w:sz w:val="28"/>
          <w:szCs w:val="28"/>
        </w:rPr>
        <w:t xml:space="preserve">аявления находится в его временном владении и пользовании или временном пользовании непрерывно в течение одного года и более для движимого имущества в соответствии с договором или договорами аренды такого имущества;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53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 арендуемое имущество включено в утве</w:t>
      </w:r>
      <w:r>
        <w:rPr>
          <w:sz w:val="28"/>
          <w:szCs w:val="28"/>
        </w:rPr>
        <w:t xml:space="preserve">ржденный Перечень в течение трех лет до дня подачи заявления в отношении движимого имущества;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539"/>
        <w:jc w:val="both"/>
        <w:spacing w:before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в отношении арендуемого движимого имущества в утвержденном Перечне отсутствуют сведения об отнесении такого имущества к имуществу, не подлежащему о</w:t>
      </w:r>
      <w:r>
        <w:rPr>
          <w:sz w:val="28"/>
          <w:szCs w:val="28"/>
        </w:rPr>
        <w:t xml:space="preserve">тчуждению в соответствии с Распоряжением Правительства РФ от 18.03.2023 № 632-р «Об утверждении состава и видов движимого имущества, не подлежащего отчуждению в соответствии с Федеральным законом от 22.07.2008 № 159-ФЗ»;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4) отсутствует задолженнос</w:t>
      </w:r>
      <w:r>
        <w:rPr>
          <w:sz w:val="28"/>
          <w:szCs w:val="28"/>
        </w:rPr>
        <w:t xml:space="preserve">ть по арендной плате за имущество, неустойкам (штрафам, пеням).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Условия оказания имущественной поддержки, в том числе по оплате арендной платы, исполняются субъектом МСП в соответствии с условиями договора аренды.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Заявления Субъектов и прилагаемые документы соответствуют п. 6 Правил.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Заявителями выполнены условия оказания поддержки, установленные п. 5 Правил.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оказании имущественной поддержки установленных в п. 18 </w:t>
      </w:r>
      <w:r>
        <w:rPr>
          <w:sz w:val="28"/>
          <w:szCs w:val="28"/>
        </w:rPr>
        <w:t xml:space="preserve">Правил отсутствуют.</w:t>
      </w:r>
      <w:r>
        <w:rPr>
          <w:sz w:val="28"/>
          <w:szCs w:val="28"/>
        </w:rPr>
      </w:r>
    </w:p>
    <w:p>
      <w:pPr>
        <w:pStyle w:val="87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Субъекты отвечают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3.1.    </w:t>
      </w:r>
      <w:r>
        <w:rPr>
          <w:sz w:val="28"/>
          <w:szCs w:val="28"/>
          <w:lang w:eastAsia="ar-SA"/>
        </w:rPr>
        <w:t xml:space="preserve">соответствуют условиям  </w:t>
      </w:r>
      <w:hyperlink r:id="rId12" w:tooltip="consultantplus://offline/ref=AA704E6C430C1D9D4A71AA967A2EF7E767FD3A05A7388336F7481526DC49A046D332717B72E8D4061EFAE8A8E60BF3F9B2150A8E5798027DHE50M" w:history="1">
        <w:r>
          <w:rPr>
            <w:sz w:val="28"/>
            <w:szCs w:val="28"/>
            <w:lang w:eastAsia="ar-SA"/>
          </w:rPr>
          <w:t xml:space="preserve">ст. 4</w:t>
        </w:r>
      </w:hyperlink>
      <w:r>
        <w:rPr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3" w:tooltip="consultantplus://offline/ref=AA704E6C430C1D9D4A71AA967A2EF7E767FD3A05A7388336F7481526DC49A046D332717B72E8D5041FFAE8A8E60BF3F9B2150A8E5798027DHE50M" w:history="1">
        <w:r>
          <w:rPr>
            <w:sz w:val="28"/>
            <w:szCs w:val="28"/>
            <w:lang w:eastAsia="ar-SA"/>
          </w:rPr>
          <w:t xml:space="preserve">частью 3 статьи 14</w:t>
        </w:r>
      </w:hyperlink>
      <w:r>
        <w:rPr>
          <w:sz w:val="28"/>
          <w:szCs w:val="28"/>
          <w:lang w:eastAsia="ar-SA"/>
        </w:rPr>
        <w:t xml:space="preserve"> Федерального закона от 2</w:t>
      </w:r>
      <w:r>
        <w:rPr>
          <w:sz w:val="28"/>
          <w:szCs w:val="28"/>
          <w:lang w:eastAsia="ar-SA"/>
        </w:rPr>
        <w:t xml:space="preserve">4.07.2007 № 209-ФЗ;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 Субъекты зарегистрированы в качестве индивидуальных предпринимателей и физических лиц, не являющимися индивидуальными предпринимателями и применяющими специальный налоговый режим «Налог на профессиональный доход». </w:t>
      </w:r>
      <w:r>
        <w:rPr>
          <w:sz w:val="28"/>
          <w:szCs w:val="28"/>
        </w:rPr>
      </w:r>
    </w:p>
    <w:p>
      <w:pPr>
        <w:pStyle w:val="875"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пунктом 16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форме заочного рассмотрения вопроса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выражает мнение о возможности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воспользоваться преимущественн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 правом выкупа, арендованного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движимого 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имущества Ханты-Мансийского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Имущество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ндивидуальному предпринимателю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Тандаловой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Екатерине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лександровне (ИНН 362803129097)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количестве 26 единиц, согласно 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бществу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ограниченной ответственностью «Национальная родовая община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Колмодай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(ИНН 8618001386)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количестве 2 единиц, согласно 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Совет выражает мнение о </w:t>
      </w:r>
      <w:r>
        <w:rPr>
          <w:sz w:val="28"/>
          <w:szCs w:val="28"/>
          <w:highlight w:val="white"/>
        </w:rPr>
        <w:t xml:space="preserve">возможности предоставить в аренду </w:t>
      </w:r>
      <w:r>
        <w:rPr>
          <w:sz w:val="28"/>
          <w:szCs w:val="28"/>
        </w:rPr>
        <w:t xml:space="preserve">Имущество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амозанятому</w:t>
      </w:r>
      <w:r>
        <w:rPr>
          <w:sz w:val="28"/>
          <w:szCs w:val="28"/>
        </w:rPr>
        <w:t xml:space="preserve"> гражданину Российской Федерации </w:t>
      </w:r>
      <w:r>
        <w:rPr>
          <w:sz w:val="28"/>
          <w:szCs w:val="28"/>
        </w:rPr>
        <w:t xml:space="preserve">Аразовой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Аскеровне</w:t>
      </w:r>
      <w:r>
        <w:rPr>
          <w:sz w:val="28"/>
          <w:szCs w:val="28"/>
        </w:rPr>
        <w:t xml:space="preserve"> (ИНН 861801751297) о</w:t>
      </w:r>
      <w:r>
        <w:rPr>
          <w:sz w:val="28"/>
          <w:szCs w:val="28"/>
        </w:rPr>
        <w:t xml:space="preserve"> предоставлении в аренду сроком на 11 (Одиннадцать) месяцев муниципального имущества Ханты-Мансийского района, а именно, нежилого помещения № 31 площадью 15,2 кв. м., расположенного по адресу: Ханты-Мансийский район, пос. </w:t>
      </w:r>
      <w:r>
        <w:rPr>
          <w:sz w:val="28"/>
          <w:szCs w:val="28"/>
        </w:rPr>
        <w:t xml:space="preserve">Горноправдинск</w:t>
      </w:r>
      <w:r>
        <w:rPr>
          <w:sz w:val="28"/>
          <w:szCs w:val="28"/>
        </w:rPr>
        <w:t xml:space="preserve">, ул. Киевская, дом </w:t>
      </w:r>
      <w:r>
        <w:rPr>
          <w:sz w:val="28"/>
          <w:szCs w:val="28"/>
        </w:rPr>
        <w:t xml:space="preserve">4, корпус 1, с целью использования для оказания бытовых услуг (парикмахерская);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и</w:t>
      </w:r>
      <w:r>
        <w:rPr>
          <w:sz w:val="28"/>
          <w:szCs w:val="28"/>
        </w:rPr>
        <w:t xml:space="preserve">ндивидуальному предпринимателю Бояриновой Ольге Валерьевне (ИНН 860108359885) о предоставлении в аренду сроком на 11 (Одиннадцать) месяцев муниципального имущества Ханты-М</w:t>
      </w:r>
      <w:r>
        <w:rPr>
          <w:sz w:val="28"/>
          <w:szCs w:val="28"/>
        </w:rPr>
        <w:t xml:space="preserve">ансийского района, а именно, нежилого помещения № 10, площадью 41,5 кв. м., расположенного по адресу: Ханты-Мансийский район, пос. </w:t>
      </w:r>
      <w:r>
        <w:rPr>
          <w:sz w:val="28"/>
          <w:szCs w:val="28"/>
        </w:rPr>
        <w:t xml:space="preserve">Горноправдинск</w:t>
      </w:r>
      <w:r>
        <w:rPr>
          <w:sz w:val="28"/>
          <w:szCs w:val="28"/>
        </w:rPr>
        <w:t xml:space="preserve">, ул. Киевская, дом 4, корпус 1, с целью использования для оказания услуг иных видов экономической деятельности</w:t>
      </w:r>
      <w:r>
        <w:rPr>
          <w:sz w:val="28"/>
          <w:szCs w:val="28"/>
        </w:rPr>
        <w:t xml:space="preserve"> (Торговля розничная по почте или по информационно-</w:t>
      </w:r>
      <w:r>
        <w:rPr>
          <w:sz w:val="28"/>
          <w:szCs w:val="28"/>
        </w:rPr>
        <w:t xml:space="preserve">коммуникационной сети Интернет).</w:t>
      </w:r>
      <w:r>
        <w:rPr>
          <w:sz w:val="28"/>
          <w:szCs w:val="28"/>
        </w:rPr>
      </w:r>
    </w:p>
    <w:p>
      <w:pPr>
        <w:pStyle w:val="875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Результаты заочного голосования: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«ЗА» - 16</w:t>
      </w:r>
      <w:bookmarkStart w:id="0" w:name="_GoBack"/>
      <w:r/>
      <w:bookmarkEnd w:id="0"/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- 0;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«ВОЗДЕРЖАЛИСЬ» - 0.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Style w:val="872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К.Р.Минулин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Н.Н.Китайкина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Согласовано: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экономической политики                                                              </w:t>
      </w:r>
      <w:r>
        <w:rPr>
          <w:sz w:val="26"/>
          <w:szCs w:val="26"/>
        </w:rPr>
        <w:t xml:space="preserve">Ю.А.Овсянников</w:t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entury Gothic">
    <w:panose1 w:val="020B050202020202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5</w:t>
    </w:r>
    <w:r>
      <w:rPr>
        <w:color w:val="000000"/>
      </w:rPr>
      <w:fldChar w:fldCharType="end"/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3"/>
    <w:link w:val="868"/>
    <w:uiPriority w:val="10"/>
    <w:rPr>
      <w:sz w:val="48"/>
      <w:szCs w:val="48"/>
    </w:rPr>
  </w:style>
  <w:style w:type="character" w:styleId="37">
    <w:name w:val="Subtitle Char"/>
    <w:basedOn w:val="703"/>
    <w:link w:val="869"/>
    <w:uiPriority w:val="11"/>
    <w:rPr>
      <w:sz w:val="24"/>
      <w:szCs w:val="24"/>
    </w:rPr>
  </w:style>
  <w:style w:type="character" w:styleId="39">
    <w:name w:val="Quote Char"/>
    <w:link w:val="717"/>
    <w:uiPriority w:val="29"/>
    <w:rPr>
      <w:i/>
    </w:rPr>
  </w:style>
  <w:style w:type="character" w:styleId="41">
    <w:name w:val="Intense Quote Char"/>
    <w:link w:val="719"/>
    <w:uiPriority w:val="30"/>
    <w:rPr>
      <w:i/>
    </w:rPr>
  </w:style>
  <w:style w:type="character" w:styleId="176">
    <w:name w:val="Footnote Text Char"/>
    <w:link w:val="850"/>
    <w:uiPriority w:val="99"/>
    <w:rPr>
      <w:sz w:val="18"/>
    </w:rPr>
  </w:style>
  <w:style w:type="character" w:styleId="179">
    <w:name w:val="Endnote Text Char"/>
    <w:link w:val="853"/>
    <w:uiPriority w:val="99"/>
    <w:rPr>
      <w:sz w:val="20"/>
    </w:rPr>
  </w:style>
  <w:style w:type="paragraph" w:styleId="693" w:default="1">
    <w:name w:val="Normal"/>
  </w:style>
  <w:style w:type="paragraph" w:styleId="694">
    <w:name w:val="Heading 1"/>
    <w:basedOn w:val="693"/>
    <w:next w:val="693"/>
    <w:link w:val="70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95">
    <w:name w:val="Heading 2"/>
    <w:basedOn w:val="693"/>
    <w:next w:val="693"/>
    <w:link w:val="70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6">
    <w:name w:val="Heading 3"/>
    <w:basedOn w:val="693"/>
    <w:next w:val="693"/>
    <w:link w:val="70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link w:val="709"/>
    <w:pPr>
      <w:keepLines/>
      <w:keepNext/>
      <w:spacing w:before="240" w:after="40"/>
      <w:outlineLvl w:val="3"/>
    </w:pPr>
    <w:rPr>
      <w:b/>
    </w:rPr>
  </w:style>
  <w:style w:type="paragraph" w:styleId="698">
    <w:name w:val="Heading 5"/>
    <w:basedOn w:val="693"/>
    <w:next w:val="693"/>
    <w:link w:val="71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9">
    <w:name w:val="Heading 6"/>
    <w:basedOn w:val="693"/>
    <w:next w:val="693"/>
    <w:link w:val="71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Название Знак"/>
    <w:basedOn w:val="703"/>
    <w:link w:val="868"/>
    <w:uiPriority w:val="10"/>
    <w:rPr>
      <w:sz w:val="48"/>
      <w:szCs w:val="48"/>
    </w:rPr>
  </w:style>
  <w:style w:type="character" w:styleId="716" w:customStyle="1">
    <w:name w:val="Подзаголовок Знак"/>
    <w:basedOn w:val="703"/>
    <w:link w:val="869"/>
    <w:uiPriority w:val="11"/>
    <w:rPr>
      <w:sz w:val="24"/>
      <w:szCs w:val="24"/>
    </w:rPr>
  </w:style>
  <w:style w:type="paragraph" w:styleId="717">
    <w:name w:val="Quote"/>
    <w:basedOn w:val="693"/>
    <w:next w:val="69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93"/>
    <w:next w:val="69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703"/>
    <w:uiPriority w:val="99"/>
  </w:style>
  <w:style w:type="character" w:styleId="722" w:customStyle="1">
    <w:name w:val="Footer Char"/>
    <w:basedOn w:val="703"/>
    <w:uiPriority w:val="99"/>
  </w:style>
  <w:style w:type="paragraph" w:styleId="723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 w:customStyle="1">
    <w:name w:val="Table Grid Light"/>
    <w:basedOn w:val="7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7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70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70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70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70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70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70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70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70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70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70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70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70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70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70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70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70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70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70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70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70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70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70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70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70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0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70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70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70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70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70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70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basedOn w:val="70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basedOn w:val="70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basedOn w:val="70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basedOn w:val="70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basedOn w:val="70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basedOn w:val="70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basedOn w:val="70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basedOn w:val="70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70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70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70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70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70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70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70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70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70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70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70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70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70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70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70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70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70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70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70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70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70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70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70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70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70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70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70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70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70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70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70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70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70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70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70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70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70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basedOn w:val="70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basedOn w:val="70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basedOn w:val="70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basedOn w:val="70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basedOn w:val="70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basedOn w:val="70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basedOn w:val="70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70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70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70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70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70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70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70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70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70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0">
    <w:name w:val="footnote text"/>
    <w:basedOn w:val="693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703"/>
    <w:uiPriority w:val="99"/>
    <w:unhideWhenUsed/>
    <w:rPr>
      <w:vertAlign w:val="superscript"/>
    </w:rPr>
  </w:style>
  <w:style w:type="paragraph" w:styleId="853">
    <w:name w:val="endnote text"/>
    <w:basedOn w:val="693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703"/>
    <w:uiPriority w:val="99"/>
    <w:semiHidden/>
    <w:unhideWhenUsed/>
    <w:rPr>
      <w:vertAlign w:val="superscript"/>
    </w:rPr>
  </w:style>
  <w:style w:type="paragraph" w:styleId="856">
    <w:name w:val="toc 1"/>
    <w:basedOn w:val="693"/>
    <w:next w:val="693"/>
    <w:uiPriority w:val="39"/>
    <w:unhideWhenUsed/>
    <w:pPr>
      <w:spacing w:after="57"/>
    </w:pPr>
  </w:style>
  <w:style w:type="paragraph" w:styleId="857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58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59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0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1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2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3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4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93"/>
    <w:next w:val="693"/>
    <w:uiPriority w:val="99"/>
    <w:unhideWhenUsed/>
  </w:style>
  <w:style w:type="table" w:styleId="86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8">
    <w:name w:val="Title"/>
    <w:basedOn w:val="693"/>
    <w:next w:val="693"/>
    <w:link w:val="715"/>
    <w:pPr>
      <w:jc w:val="center"/>
    </w:pPr>
    <w:rPr>
      <w:sz w:val="32"/>
      <w:szCs w:val="32"/>
    </w:rPr>
  </w:style>
  <w:style w:type="paragraph" w:styleId="869">
    <w:name w:val="Subtitle"/>
    <w:basedOn w:val="693"/>
    <w:next w:val="693"/>
    <w:link w:val="71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70" w:customStyle="1">
    <w:name w:val="StGen0"/>
    <w:basedOn w:val="8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71">
    <w:name w:val="List Paragraph"/>
    <w:basedOn w:val="693"/>
    <w:uiPriority w:val="34"/>
    <w:qFormat/>
    <w:pPr>
      <w:contextualSpacing/>
      <w:ind w:left="720"/>
    </w:pPr>
  </w:style>
  <w:style w:type="table" w:styleId="872">
    <w:name w:val="Table Grid"/>
    <w:basedOn w:val="7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Balloon Text"/>
    <w:basedOn w:val="693"/>
    <w:link w:val="8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703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6">
    <w:name w:val="Hyperlink"/>
    <w:basedOn w:val="703"/>
    <w:uiPriority w:val="99"/>
    <w:semiHidden/>
    <w:unhideWhenUsed/>
    <w:rPr>
      <w:color w:val="0000ff"/>
      <w:u w:val="single"/>
    </w:rPr>
  </w:style>
  <w:style w:type="paragraph" w:styleId="877">
    <w:name w:val="Header"/>
    <w:basedOn w:val="693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3"/>
    <w:link w:val="877"/>
    <w:uiPriority w:val="99"/>
  </w:style>
  <w:style w:type="paragraph" w:styleId="879">
    <w:name w:val="Footer"/>
    <w:basedOn w:val="693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03"/>
    <w:link w:val="879"/>
    <w:uiPriority w:val="99"/>
  </w:style>
  <w:style w:type="paragraph" w:styleId="881">
    <w:name w:val="Body Text Indent"/>
    <w:basedOn w:val="693"/>
    <w:link w:val="882"/>
    <w:pPr>
      <w:ind w:left="283"/>
      <w:spacing w:after="120" w:line="276" w:lineRule="auto"/>
    </w:pPr>
    <w:rPr>
      <w:rFonts w:ascii="Century Gothic" w:hAnsi="Century Gothic"/>
      <w:sz w:val="22"/>
      <w:szCs w:val="22"/>
      <w:lang w:val="en-US" w:eastAsia="en-US"/>
    </w:rPr>
  </w:style>
  <w:style w:type="character" w:styleId="882" w:customStyle="1">
    <w:name w:val="Основной текст с отступом Знак"/>
    <w:basedOn w:val="703"/>
    <w:link w:val="881"/>
    <w:rPr>
      <w:rFonts w:ascii="Century Gothic" w:hAnsi="Century Gothic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B449CB6594C0E281109E3F881F0862493D914DAB82BD4BF408C64F1C4B970276DFD19BEC8C4367EDF8Q2K" TargetMode="External"/><Relationship Id="rId12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3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A2A9-65AD-4DAD-9FB8-B133004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4</cp:revision>
  <dcterms:created xsi:type="dcterms:W3CDTF">2025-10-15T09:42:00Z</dcterms:created>
  <dcterms:modified xsi:type="dcterms:W3CDTF">2025-10-15T11:39:37Z</dcterms:modified>
</cp:coreProperties>
</file>