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заочного рассмотрения вопросов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Советом по развитию малого и среднего предпринимательства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 Ханты-Мансийского района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– Совет)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</w:r>
      <w:r>
        <w:rPr>
          <w:b/>
          <w:sz w:val="20"/>
          <w:szCs w:val="28"/>
        </w:rPr>
      </w:r>
      <w:r>
        <w:rPr>
          <w:b/>
          <w:sz w:val="20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     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Председательствовал: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363"/>
        <w:gridCol w:w="465"/>
        <w:gridCol w:w="5352"/>
      </w:tblGrid>
      <w:tr>
        <w:tblPrEx/>
        <w:trPr/>
        <w:tc>
          <w:tcPr>
            <w:tcW w:w="3363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Минулин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Кирилл </w:t>
            </w:r>
            <w:r>
              <w:rPr>
                <w:sz w:val="28"/>
                <w:szCs w:val="28"/>
              </w:rPr>
              <w:t xml:space="preserve">Равильевич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5" w:type="dxa"/>
            <w:textDirection w:val="lrTb"/>
            <w:noWrap w:val="false"/>
          </w:tcPr>
          <w:p>
            <w:pPr>
              <w:ind w:firstLine="720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352" w:type="dxa"/>
            <w:textDirection w:val="lrTb"/>
            <w:noWrap w:val="false"/>
          </w:tcPr>
          <w:p>
            <w:pPr>
              <w:ind w:firstLine="26"/>
              <w:jc w:val="both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лав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Ханты-Мансийского района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редседател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Совета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Члены Совета: </w:t>
      </w:r>
      <w:r>
        <w:rPr>
          <w:sz w:val="28"/>
          <w:szCs w:val="28"/>
        </w:rPr>
        <w:t xml:space="preserve">принимали участие в заочном голосовании 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человек.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</w:p>
    <w:p>
      <w:pPr>
        <w:ind w:firstLine="709"/>
        <w:jc w:val="both"/>
        <w:spacing w:line="276" w:lineRule="auto"/>
        <w:widowControl w:val="off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Повестка заседания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: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  <w:r>
        <w:rPr>
          <w:rFonts w:eastAsia="Calibri"/>
          <w:b/>
          <w:bCs/>
          <w:sz w:val="28"/>
          <w:szCs w:val="28"/>
          <w:u w:val="single"/>
          <w:lang w:eastAsia="en-US"/>
        </w:rPr>
      </w:r>
    </w:p>
    <w:p>
      <w:pPr>
        <w:ind w:firstLine="709"/>
        <w:jc w:val="both"/>
        <w:spacing w:line="240" w:lineRule="auto"/>
        <w:widowControl w:val="off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</w:t>
      </w:r>
      <w:r>
        <w:rPr>
          <w:rFonts w:eastAsia="Calibri"/>
          <w:bCs/>
          <w:sz w:val="28"/>
          <w:szCs w:val="28"/>
          <w:lang w:eastAsia="en-US"/>
        </w:rPr>
        <w:t xml:space="preserve">Об оказании имущественной поддержки субъектам</w:t>
      </w:r>
      <w:r>
        <w:rPr>
          <w:sz w:val="28"/>
          <w:szCs w:val="28"/>
        </w:rPr>
        <w:t xml:space="preserve"> малого и среднего предпринимательства Ханты-Мансийского района</w:t>
      </w:r>
      <w:r>
        <w:rPr>
          <w:sz w:val="28"/>
          <w:szCs w:val="28"/>
        </w:rPr>
        <w:t xml:space="preserve">.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contextualSpacing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Отметить: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rFonts w:eastAsia="Calibri"/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 пунктом 12 Правил оказания имущественной поддержки субъектам малого и среднего предпринимательства и физическим лицам</w:t>
      </w:r>
      <w:r>
        <w:rPr>
          <w:sz w:val="28"/>
          <w:szCs w:val="28"/>
        </w:rPr>
        <w:t xml:space="preserve">, не являющимся индивидуальными предпринимателями и применяющим специальный налоговый режим «Налог на профессиональный доход» Ханты-Мансийского района, утвержденных постановлением администрации Ханты-Мансийского района от 02.09.2016 № 266 (далее – Правила)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02.10</w:t>
      </w:r>
      <w:r>
        <w:rPr>
          <w:rFonts w:eastAsia="Calibri"/>
          <w:sz w:val="28"/>
          <w:szCs w:val="28"/>
        </w:rPr>
        <w:t xml:space="preserve">.2025</w:t>
      </w:r>
      <w:r>
        <w:rPr>
          <w:sz w:val="28"/>
          <w:szCs w:val="28"/>
        </w:rPr>
        <w:t xml:space="preserve"> поступило Уведомление </w:t>
      </w:r>
      <w:r>
        <w:rPr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Департамент имущественных и земельных отношений Администрации Ханты-Мансийского района (далее – </w:t>
      </w:r>
      <w:r>
        <w:rPr>
          <w:rFonts w:eastAsia="Calibri"/>
          <w:sz w:val="28"/>
          <w:szCs w:val="28"/>
        </w:rPr>
        <w:t xml:space="preserve">Депимущества</w:t>
      </w:r>
      <w:r>
        <w:rPr>
          <w:rFonts w:eastAsia="Calibri"/>
          <w:sz w:val="28"/>
          <w:szCs w:val="28"/>
        </w:rPr>
        <w:t xml:space="preserve">)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от индивидуального предпринимателя Берсенева Юрия Александровича (ОГРНИП315861700032895 ИНН860101541609) (далее – Субъект) (вх. от 02.10.2025 № 22-04-Вх-1369) о предоставлении в аренду сроком на 10 (десять) лет, в целях использования для производства хлеба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 хлебобулочных изделий, на условиях инвестиционных обязательств, предусматривающих проведение ремонта здания хлебопекарни в течение трех последующих лет в составе работ, определенных дефектной ведомостью (прилагается к настоящему) следующего муниципально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 недвижимого имущества Ханты-Мансийского района, составляющего муниципальную казну: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здание хлебопекарни на 1,5 тонны в сутки хлебобулочных изделий, назначение: нежилое, 1-этажный, общая площадь 406,5 кв.м., инв. </w:t>
        <w:br/>
        <w:t xml:space="preserve"> № 71:129:000:000046820, кадастровый № 86:02:1211005:2131</w:t>
      </w:r>
      <w:r>
        <w:rPr>
          <w:rFonts w:ascii="Times New Roman" w:hAnsi="Times New Roman" w:eastAsia="Times New Roman" w:cs="Times New Roman"/>
          <w:color w:val="343434"/>
          <w:sz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 (местонахождение) объекта: Тюменская область, Ханты-Мансийский автономный округ – Югра, Ханты-Мансийский район, п. Горноправдинск, ул. Вертолетная, д. 21, (далее – объект, Имущество), с одновременной передачей: земельного участка под объектом: катего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рия земель: земли населенных пунктов, вид разрешенного использования: для обслуживания пекарни, площадь 1750 кв.м., кадастровый номер 86:02:1211007:1227, и хлебопекарного оборудования (технологически и функционально связанного с объектом)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(далее – Имущество). </w:t>
      </w:r>
      <w:r/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0" w:firstLine="708"/>
        <w:jc w:val="both"/>
        <w:spacing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Данное Имущество включено в Перечень имущества, находящегося в муниципальной собственности Ханты-Мансийского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едоставления во владение и (или) пользование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Ханты-Мансийского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айона, утвержденный постановлением администрации Ханты-Мансийского района от 25.02.2021 № 53 (далее – Перечень имущества), и предназначено для оказания имущественной поддержки указанным лицам. </w:t>
      </w:r>
      <w:r/>
    </w:p>
    <w:p>
      <w:pPr>
        <w:ind w:left="0" w:right="0" w:firstLine="708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момент подачи заявления Имущество обременено правами третьих лиц – договором аренды от 15.04.2025 № 1/01/25 с индивидуальным предпринимателем Берсеневым Ю.А., заключенным в порядке оказания имущественной поддержки на 6 месяцев на основании постановления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Администрации Ханты-Мансийского района от 15.04.2025 № 254 «Об оказании имущественной поддержки субъекту малого предпринимательства», приказа депимущества района от 15.04.2025 </w:t>
        <w:br/>
        <w:t xml:space="preserve"> № 241-п «Об оказании имущественной поддержки субъекту малого предпринимательс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тва», срок действия которого истекает с 15.10.2025. В соответствии с подпунктом 2 пункта 5 Правил заявление подано не ранее 20 календарных дней до окончания срока аренды и соответствует установленным условиям.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70"/>
        <w:ind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 xml:space="preserve">Субъект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отвеча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условиям оказания имущественной поддержки, установленным Правилами, а именно: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1.2.1. </w:t>
      </w:r>
      <w:r>
        <w:rPr>
          <w:sz w:val="28"/>
          <w:szCs w:val="28"/>
          <w:lang w:eastAsia="ar-SA"/>
        </w:rPr>
        <w:t xml:space="preserve">соответству</w:t>
      </w:r>
      <w:r>
        <w:rPr>
          <w:sz w:val="28"/>
          <w:szCs w:val="28"/>
          <w:lang w:eastAsia="ar-SA"/>
        </w:rPr>
        <w:t xml:space="preserve">е</w:t>
      </w:r>
      <w:r>
        <w:rPr>
          <w:sz w:val="28"/>
          <w:szCs w:val="28"/>
          <w:lang w:eastAsia="ar-SA"/>
        </w:rPr>
        <w:t xml:space="preserve">т условиям</w:t>
      </w:r>
      <w:r>
        <w:rPr>
          <w:sz w:val="28"/>
          <w:szCs w:val="28"/>
          <w:lang w:eastAsia="ar-SA"/>
        </w:rPr>
        <w:t xml:space="preserve">  </w:t>
      </w:r>
      <w:hyperlink r:id="rId11" w:tooltip="consultantplus://offline/ref=AA704E6C430C1D9D4A71AA967A2EF7E767FD3A05A7388336F7481526DC49A046D332717B72E8D4061EFAE8A8E60BF3F9B2150A8E5798027DHE50M" w:history="1">
        <w:r>
          <w:rPr>
            <w:sz w:val="28"/>
            <w:szCs w:val="28"/>
            <w:lang w:eastAsia="ar-SA"/>
          </w:rPr>
          <w:t xml:space="preserve">ст.</w:t>
        </w:r>
        <w:r>
          <w:rPr>
            <w:sz w:val="28"/>
            <w:szCs w:val="28"/>
            <w:lang w:eastAsia="ar-SA"/>
          </w:rPr>
          <w:t xml:space="preserve"> 4</w:t>
        </w:r>
      </w:hyperlink>
      <w:r>
        <w:rPr>
          <w:sz w:val="28"/>
          <w:szCs w:val="28"/>
          <w:lang w:eastAsia="ar-SA"/>
        </w:rPr>
        <w:t xml:space="preserve">, 4.1, 14.1 Федерального закона от 24.07.2007 № 209-ФЗ, отсутствуют признаки, установленные </w:t>
      </w:r>
      <w:hyperlink r:id="rId12" w:tooltip="consultantplus://offline/ref=AA704E6C430C1D9D4A71AA967A2EF7E767FD3A05A7388336F7481526DC49A046D332717B72E8D5041FFAE8A8E60BF3F9B2150A8E5798027DHE50M" w:history="1">
        <w:r>
          <w:rPr>
            <w:sz w:val="28"/>
            <w:szCs w:val="28"/>
            <w:lang w:eastAsia="ar-SA"/>
          </w:rPr>
          <w:t xml:space="preserve">частью 3 статьи 14</w:t>
        </w:r>
      </w:hyperlink>
      <w:r>
        <w:rPr>
          <w:sz w:val="28"/>
          <w:szCs w:val="28"/>
          <w:lang w:eastAsia="ar-SA"/>
        </w:rPr>
        <w:t xml:space="preserve"> Федерального закона от 24.07.2007 № 209-ФЗ</w:t>
      </w:r>
      <w:r>
        <w:rPr>
          <w:sz w:val="28"/>
          <w:szCs w:val="28"/>
          <w:lang w:eastAsia="ar-SA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Согласно сведениям, содержащимся в Едином реестре субъектов малого и среднего предпринимательства, Субъект зарегистрирован в качестве индивидуального предпринимателя с 01.08.2016, место регистрации - с. Нялинское, относится к категории микропредприятие с 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0.07.2023, условия имущественной поддержки, оказанной Субъекту в период с 15.04.2025 по 14.10.2025 соблюдены, </w:t>
      </w:r>
      <w:r>
        <w:rPr>
          <w:rFonts w:eastAsia="Calibri"/>
          <w:sz w:val="28"/>
          <w:szCs w:val="28"/>
          <w:lang w:eastAsia="en-US"/>
        </w:rPr>
        <w:t xml:space="preserve">просроченная задолженность по арендной плате отсутствует.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1.3. </w:t>
      </w:r>
      <w:r>
        <w:rPr>
          <w:rFonts w:eastAsia="Calibri"/>
          <w:sz w:val="28"/>
          <w:szCs w:val="28"/>
        </w:rPr>
        <w:t xml:space="preserve">В соответствии с пунктом </w:t>
      </w:r>
      <w:r>
        <w:rPr>
          <w:rFonts w:eastAsia="Calibri"/>
          <w:sz w:val="28"/>
          <w:szCs w:val="28"/>
          <w:lang w:eastAsia="en-US"/>
        </w:rPr>
        <w:t xml:space="preserve">16</w:t>
      </w:r>
      <w:r>
        <w:rPr>
          <w:rFonts w:eastAsia="Calibri"/>
          <w:sz w:val="28"/>
          <w:szCs w:val="28"/>
          <w:lang w:eastAsia="en-US"/>
        </w:rPr>
        <w:t xml:space="preserve"> Правил</w:t>
      </w:r>
      <w:r>
        <w:rPr>
          <w:rFonts w:eastAsia="Calibri"/>
          <w:sz w:val="28"/>
          <w:szCs w:val="28"/>
          <w:lang w:eastAsia="en-US"/>
        </w:rPr>
        <w:t xml:space="preserve"> Совет в форме заочного рассмотрения вопроса об оказании имущественной поддержки выражает мнение о </w:t>
      </w:r>
      <w:r>
        <w:rPr>
          <w:rFonts w:eastAsia="Cambria"/>
          <w:sz w:val="28"/>
          <w:szCs w:val="28"/>
          <w:lang w:eastAsia="en-US"/>
        </w:rPr>
        <w:t xml:space="preserve">возможности предоставления </w:t>
      </w:r>
      <w:r>
        <w:rPr>
          <w:rFonts w:eastAsia="Calibri"/>
          <w:sz w:val="28"/>
          <w:szCs w:val="28"/>
          <w:lang w:eastAsia="en-US"/>
        </w:rPr>
        <w:t xml:space="preserve">в аренду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360" w:lineRule="auto"/>
        <w:widowControl w:val="off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 xml:space="preserve">индивидуальному предпринимателю </w:t>
      </w:r>
      <w:r>
        <w:rPr>
          <w:rFonts w:eastAsia="Calibri"/>
          <w:sz w:val="28"/>
          <w:szCs w:val="28"/>
        </w:rPr>
        <w:t xml:space="preserve">Берсеневу</w:t>
      </w:r>
      <w:r>
        <w:rPr>
          <w:rFonts w:eastAsia="Calibri"/>
          <w:sz w:val="28"/>
          <w:szCs w:val="28"/>
        </w:rPr>
        <w:t xml:space="preserve"> Юрию Александровичу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(ОГРНИП315861700032895 ИНН860101541609) (далее – Субъект) (вх. от 02.10.2025 № 22-04-Вх-1369) о предоставлении в аренду сроком на 10 (десять) лет, в целях использования для производства хлеба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 хлебобулочных изделий, на условиях инвестиционных обязательств, предусматривающих проведение ремонта здания хлебопекарни в течение трех последующих лет в составе работ, определенных дефектной ведомостью (прилагается к настоящему) следующего муниципально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 недвижимого имущества Ханты-Мансийского района, составляющего муниципальную казну: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spacing w:line="360" w:lineRule="auto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здание хлебопекарни на 1,5 тонны в сутки хлебобулочных изделий, назначение: нежилое, 1-этажный, общая площадь 406,5 кв.м., инв. </w:t>
        <w:br/>
        <w:t xml:space="preserve"> № 71:129:000:000046820, кадастровый № 86:02:1211005:2131</w:t>
      </w:r>
      <w:r>
        <w:rPr>
          <w:rFonts w:ascii="Times New Roman" w:hAnsi="Times New Roman" w:eastAsia="Times New Roman" w:cs="Times New Roman"/>
          <w:color w:val="343434"/>
          <w:sz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 (местонахождение) объекта: Тюменская область, Ханты-Мансийский автономный округ – Югра, Ханты-Мансийский район, п. Горноправдинск, ул. Вертолетная, д. 21, (далее – объект, Имущество), с одновременной передачей: земельного участка под объектом: катего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рия земель: земли населенных пунктов, вид разрешенного использования: для обслуживания пекарни, площадь 1750 кв.м., кадастровый номер 86:02:1211007:1227, и хлебопекарного оборудования </w:t>
      </w:r>
      <w:r>
        <w:rPr>
          <w:rFonts w:eastAsia="Calibri"/>
          <w:sz w:val="28"/>
          <w:szCs w:val="28"/>
          <w:lang w:eastAsia="en-US"/>
        </w:rPr>
        <w:t xml:space="preserve">(технологически и функционально связанного с объектом), закрепленного за Департаментом имущественных и земельных отношений администрации Ханты-Мансийского района на праве оперативного управления.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Результаты </w:t>
      </w:r>
      <w:r>
        <w:rPr>
          <w:rFonts w:eastAsia="Calibri"/>
          <w:sz w:val="28"/>
          <w:szCs w:val="28"/>
        </w:rPr>
        <w:t xml:space="preserve">заочного </w:t>
      </w:r>
      <w:r>
        <w:rPr>
          <w:rFonts w:eastAsia="Calibri"/>
          <w:sz w:val="28"/>
          <w:szCs w:val="28"/>
        </w:rPr>
        <w:t xml:space="preserve">голосования: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«ЗА» - 1</w:t>
      </w:r>
      <w:r>
        <w:rPr>
          <w:rFonts w:eastAsia="Calibri"/>
          <w:sz w:val="28"/>
          <w:szCs w:val="28"/>
        </w:rPr>
        <w:t xml:space="preserve">4</w:t>
      </w:r>
      <w:r>
        <w:rPr>
          <w:rFonts w:eastAsia="Calibri"/>
          <w:sz w:val="28"/>
          <w:szCs w:val="28"/>
        </w:rPr>
        <w:t xml:space="preserve">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«ПРОТИВ» - 0;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«ВОЗДЕРЖАЛИСЬ» - 0.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tbl>
      <w:tblPr>
        <w:tblStyle w:val="867"/>
        <w:tblW w:w="94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351"/>
        <w:gridCol w:w="2915"/>
      </w:tblGrid>
      <w:tr>
        <w:tblPrEx/>
        <w:trPr>
          <w:trHeight w:val="291"/>
        </w:trPr>
        <w:tc>
          <w:tcPr>
            <w:tcW w:w="3227" w:type="dxa"/>
            <w:textDirection w:val="lrTb"/>
            <w:noWrap w:val="false"/>
          </w:tcPr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редседател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Совета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76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Секретарь Совета                                      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351" w:type="dxa"/>
            <w:vAlign w:val="center"/>
            <w:textDirection w:val="lrTb"/>
            <w:noWrap w:val="false"/>
          </w:tcPr>
          <w:p>
            <w:pPr>
              <w:pStyle w:val="870"/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К.Р.Минулин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Н.Н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Китайкина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Председатель</w:t>
      </w:r>
      <w:r>
        <w:rPr>
          <w:sz w:val="26"/>
          <w:szCs w:val="26"/>
        </w:rPr>
        <w:t xml:space="preserve"> комитета</w:t>
      </w:r>
      <w:r>
        <w:rPr>
          <w:sz w:val="26"/>
          <w:szCs w:val="26"/>
        </w:rPr>
      </w:r>
      <w:r>
        <w:rPr>
          <w:sz w:val="26"/>
          <w:szCs w:val="26"/>
          <w:highlight w:val="none"/>
        </w:rPr>
      </w:r>
    </w:p>
    <w:p>
      <w:pPr>
        <w:ind w:left="0" w:right="-142" w:firstLine="0"/>
        <w:tabs>
          <w:tab w:val="left" w:pos="722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экономической политики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Ю.А.</w:t>
      </w:r>
      <w:r>
        <w:rPr>
          <w:sz w:val="26"/>
          <w:szCs w:val="26"/>
        </w:rPr>
        <w:t xml:space="preserve">Овсянников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-425" w:firstLine="0"/>
        <w:spacing w:line="276" w:lineRule="auto"/>
        <w:tabs>
          <w:tab w:val="left" w:pos="6378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418" w:right="1276" w:bottom="1134" w:left="1559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Georgia">
    <w:panose1 w:val="02040502050405020303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 xml:space="preserve">7</w:t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2" w:hanging="720"/>
      </w:pPr>
      <w:rPr>
        <w:rFonts w:hint="default"/>
        <w:b w:val="0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59"/>
    <w:link w:val="853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859"/>
    <w:link w:val="854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859"/>
    <w:link w:val="855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859"/>
    <w:link w:val="856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859"/>
    <w:link w:val="857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859"/>
    <w:link w:val="858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2"/>
    <w:next w:val="852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9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2"/>
    <w:next w:val="852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9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2"/>
    <w:next w:val="852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859"/>
    <w:link w:val="863"/>
    <w:uiPriority w:val="10"/>
    <w:rPr>
      <w:sz w:val="48"/>
      <w:szCs w:val="48"/>
    </w:rPr>
  </w:style>
  <w:style w:type="character" w:styleId="701">
    <w:name w:val="Subtitle Char"/>
    <w:basedOn w:val="859"/>
    <w:link w:val="864"/>
    <w:uiPriority w:val="11"/>
    <w:rPr>
      <w:sz w:val="24"/>
      <w:szCs w:val="24"/>
    </w:rPr>
  </w:style>
  <w:style w:type="paragraph" w:styleId="702">
    <w:name w:val="Quote"/>
    <w:basedOn w:val="852"/>
    <w:next w:val="852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2"/>
    <w:next w:val="852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9"/>
    <w:link w:val="872"/>
    <w:uiPriority w:val="99"/>
  </w:style>
  <w:style w:type="character" w:styleId="707">
    <w:name w:val="Footer Char"/>
    <w:basedOn w:val="859"/>
    <w:link w:val="874"/>
    <w:uiPriority w:val="99"/>
  </w:style>
  <w:style w:type="paragraph" w:styleId="708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874"/>
    <w:uiPriority w:val="99"/>
  </w:style>
  <w:style w:type="table" w:styleId="710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9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9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</w:style>
  <w:style w:type="paragraph" w:styleId="853">
    <w:name w:val="Heading 1"/>
    <w:basedOn w:val="852"/>
    <w:next w:val="852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854">
    <w:name w:val="Heading 2"/>
    <w:basedOn w:val="852"/>
    <w:next w:val="852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55">
    <w:name w:val="Heading 3"/>
    <w:basedOn w:val="852"/>
    <w:next w:val="852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56">
    <w:name w:val="Heading 4"/>
    <w:basedOn w:val="852"/>
    <w:next w:val="852"/>
    <w:pPr>
      <w:keepLines/>
      <w:keepNext/>
      <w:spacing w:before="240" w:after="40"/>
      <w:outlineLvl w:val="3"/>
    </w:pPr>
    <w:rPr>
      <w:b/>
    </w:rPr>
  </w:style>
  <w:style w:type="paragraph" w:styleId="857">
    <w:name w:val="Heading 5"/>
    <w:basedOn w:val="852"/>
    <w:next w:val="852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858">
    <w:name w:val="Heading 6"/>
    <w:basedOn w:val="852"/>
    <w:next w:val="852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table" w:styleId="86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3">
    <w:name w:val="Title"/>
    <w:basedOn w:val="852"/>
    <w:next w:val="852"/>
    <w:pPr>
      <w:jc w:val="center"/>
    </w:pPr>
    <w:rPr>
      <w:sz w:val="32"/>
      <w:szCs w:val="32"/>
    </w:rPr>
  </w:style>
  <w:style w:type="paragraph" w:styleId="864">
    <w:name w:val="Subtitle"/>
    <w:basedOn w:val="852"/>
    <w:next w:val="852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65" w:customStyle="1">
    <w:name w:val="StGen0"/>
    <w:basedOn w:val="86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866">
    <w:name w:val="List Paragraph"/>
    <w:basedOn w:val="852"/>
    <w:uiPriority w:val="34"/>
    <w:qFormat/>
    <w:pPr>
      <w:contextualSpacing/>
      <w:ind w:left="720"/>
    </w:pPr>
  </w:style>
  <w:style w:type="table" w:styleId="867">
    <w:name w:val="Table Grid"/>
    <w:basedOn w:val="86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8">
    <w:name w:val="Balloon Text"/>
    <w:basedOn w:val="852"/>
    <w:link w:val="86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9" w:customStyle="1">
    <w:name w:val="Текст выноски Знак"/>
    <w:basedOn w:val="859"/>
    <w:link w:val="868"/>
    <w:uiPriority w:val="99"/>
    <w:semiHidden/>
    <w:rPr>
      <w:rFonts w:ascii="Segoe UI" w:hAnsi="Segoe UI" w:cs="Segoe UI"/>
      <w:sz w:val="18"/>
      <w:szCs w:val="18"/>
    </w:rPr>
  </w:style>
  <w:style w:type="paragraph" w:styleId="870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71">
    <w:name w:val="Hyperlink"/>
    <w:basedOn w:val="859"/>
    <w:uiPriority w:val="99"/>
    <w:semiHidden/>
    <w:unhideWhenUsed/>
    <w:rPr>
      <w:color w:val="0000ff"/>
      <w:u w:val="single"/>
    </w:rPr>
  </w:style>
  <w:style w:type="paragraph" w:styleId="872">
    <w:name w:val="Header"/>
    <w:basedOn w:val="852"/>
    <w:link w:val="8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59"/>
    <w:link w:val="872"/>
    <w:uiPriority w:val="99"/>
  </w:style>
  <w:style w:type="paragraph" w:styleId="874">
    <w:name w:val="Footer"/>
    <w:basedOn w:val="852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859"/>
    <w:link w:val="874"/>
    <w:uiPriority w:val="99"/>
  </w:style>
  <w:style w:type="paragraph" w:styleId="876" w:customStyle="1">
    <w:name w:val="Default"/>
    <w:rPr>
      <w:color w:val="00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AA704E6C430C1D9D4A71AA967A2EF7E767FD3A05A7388336F7481526DC49A046D332717B72E8D4061EFAE8A8E60BF3F9B2150A8E5798027DHE50M" TargetMode="External"/><Relationship Id="rId12" Type="http://schemas.openxmlformats.org/officeDocument/2006/relationships/hyperlink" Target="consultantplus://offline/ref=AA704E6C430C1D9D4A71AA967A2EF7E767FD3A05A7388336F7481526DC49A046D332717B72E8D5041FFAE8A8E60BF3F9B2150A8E5798027DHE50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703EB-CE69-47D7-84F3-55989785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Пузина Анна</dc:creator>
  <cp:revision>53</cp:revision>
  <dcterms:created xsi:type="dcterms:W3CDTF">2023-10-25T04:08:00Z</dcterms:created>
  <dcterms:modified xsi:type="dcterms:W3CDTF">2025-10-13T07:07:45Z</dcterms:modified>
</cp:coreProperties>
</file>