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заочного рассмотрения вопросов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Советом по развитию малого и среднего предпринимательства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Администрации Ханты-Мансийского района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– Совет).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</w:r>
      <w:r>
        <w:rPr>
          <w:b/>
          <w:sz w:val="20"/>
          <w:szCs w:val="28"/>
        </w:rPr>
      </w:r>
      <w:r>
        <w:rPr>
          <w:b/>
          <w:sz w:val="20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03 марта 2026</w:t>
      </w:r>
      <w:r>
        <w:rPr>
          <w:sz w:val="28"/>
          <w:szCs w:val="28"/>
        </w:rPr>
        <w:t xml:space="preserve"> года                                                                                   № 13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Председательствовал: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363"/>
        <w:gridCol w:w="465"/>
        <w:gridCol w:w="5352"/>
      </w:tblGrid>
      <w:tr>
        <w:tblPrEx/>
        <w:trPr/>
        <w:tc>
          <w:tcPr>
            <w:tcW w:w="336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Минулин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Кирилл </w:t>
            </w:r>
            <w:r>
              <w:rPr>
                <w:sz w:val="28"/>
                <w:szCs w:val="28"/>
              </w:rPr>
              <w:t xml:space="preserve">Равильевич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5" w:type="dxa"/>
            <w:textDirection w:val="lrTb"/>
            <w:noWrap w:val="false"/>
          </w:tcPr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ind w:firstLine="26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Ханты-Мансийского района, председатель Совета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26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Члены Совета: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ринимали участие в заочном голосовани</w:t>
      </w:r>
      <w:r>
        <w:rPr>
          <w:sz w:val="28"/>
          <w:szCs w:val="28"/>
          <w:highlight w:val="white"/>
        </w:rPr>
        <w:t xml:space="preserve">и </w:t>
      </w:r>
      <w:r>
        <w:rPr>
          <w:sz w:val="28"/>
          <w:szCs w:val="28"/>
          <w:highlight w:val="white"/>
        </w:rPr>
        <w:t xml:space="preserve">11</w:t>
      </w:r>
      <w:r>
        <w:rPr>
          <w:sz w:val="28"/>
          <w:szCs w:val="28"/>
          <w:highlight w:val="white"/>
        </w:rPr>
        <w:t xml:space="preserve"> че</w:t>
      </w:r>
      <w:r>
        <w:rPr>
          <w:sz w:val="28"/>
          <w:szCs w:val="28"/>
        </w:rPr>
        <w:t xml:space="preserve">ловек.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</w:p>
    <w:p>
      <w:pPr>
        <w:ind w:firstLine="709"/>
        <w:jc w:val="both"/>
        <w:spacing w:line="264" w:lineRule="auto"/>
        <w:widowControl w:val="off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Повестка заседания: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</w:p>
    <w:p>
      <w:pPr>
        <w:ind w:firstLine="709"/>
        <w:jc w:val="both"/>
        <w:spacing w:line="264" w:lineRule="auto"/>
        <w:widowControl w:val="off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Об оказании имущественной поддержки субъектам</w:t>
      </w:r>
      <w:r>
        <w:rPr>
          <w:sz w:val="28"/>
          <w:szCs w:val="28"/>
        </w:rPr>
        <w:t xml:space="preserve"> малого и среднего предпринимательства Ханты-Мансийского района.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contextualSpacing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Отметить: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В соответствии с пунктом 12 Правил оказания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иональный доход» Ханты-Мансийского район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а, утвержденных постановлением 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дминистрации Ханты-Мансийского района от 02.09.2016 № 266 (далее – Правила), уведомляем вас о том, что в адрес комитета экономической политики Администрации Ханты-Мансийского района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Департамента имущественных и земельных отношений Администрации Ханты-Мансийского района (далее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депимущества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поступило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ведомлени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№22-04-Исх-1042 от 06.02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.2026 года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том,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22.07.2008 № 159-ФЗ «Об особенностях отчуждения движимого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Закон № 159-ФЗ)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КФХ Койлюбаева Ш.А.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(ИНН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05170593949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– субъект МСП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арендатор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может воспользоваться преимущественным правом выкупа арендованного муниципального  имущества Ханты-Мансийского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  <w:t xml:space="preserve">часть здания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коровника племенных пород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площадью 271,2 кв. метра, соразмерн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долей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41/100 в праве общей долевой собственности на здание коровника племенных пород, назначение: нежилое, 1-этажный, общая площадь 661,5 кв. метра, кадастровый № 86:02:0804001:758, адрес (местонахождение) объекта: Ханты-Мансийский автономный округ – Югра, Ханты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Мансийский район, с. Селиярово, ул. Лесная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принадлежащая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муниципальному образованию Ханты-Мансийский район, о чем в ЕГРН 13.06.2014 сделана запись регистрации № 86-86-01/009/2014-713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– Имущество)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предоставлен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субъекту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МСП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договор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аренды муниципального имущества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28.07.2023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1/06/23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срок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28.07.2023 по 27.07.2028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порядке оказания имущественной поддержки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Правилами оказания имущественной поддержки субъектам малого и среднего предпринимательства Ханты-Мансийского района и физическим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лицам, не являющимся индивидуальными предпринимателями и применяющим специальный налоговый режим «Налог на профессиональный доход» Ханты-Мансийского района, утвержденными постановлением Администрации Ханты-Мансийского района от 02 сентября 2016 года № 266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76" w:lineRule="auto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В соответствии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статьей 3,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2.1 статьи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159-ФЗ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условия, при которых арендатор муниципального имущества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включенного в Перечень,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заявиться в уполномоченный орган с преимущественным правом выкупа арендованного имущества, в отношении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арендатора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соблюдены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именно: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1) арендуемое имущество на день подачи субъектом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МСП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заявления находится в его временном владении и пользовании или временном пользовании непрерывно в течение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двух лет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более в соответствии с договором или договорами аренды такого имущества;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2) арендуемое имущество включено в утвержденный Перечень в течение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пяти и более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лет до дня подачи заявления в отношении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недв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ижимого имущества;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отсутствует задолженность по арендной плате за имущество, неустойкам (штрафам, пеням).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Условия оказания имущественной поддержки, в том числе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оплате арендной платы, исполняются субъектом МСП в соответствии с условиями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договора аренды.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пунктом 16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форме заочного рассмотрения вопроса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выражает мнение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возможности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воспользоваться преимущественным правом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выкупа,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арендованного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Имущества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Главе КФХ Койлюбаевой Ш.А.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(ИНН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05170593949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ind w:firstLine="709"/>
        <w:jc w:val="both"/>
        <w:spacing w:line="276" w:lineRule="auto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 здания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коровника племенных пород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площадью 271,2 кв. метра, соразмерн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долей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41/100 в праве общей долевой собственности на здание коровника племенных пород, назначение: нежилое, 1-этажный, общая площадь 661,5 кв. метра, кадастровый № 86:02:0804001:758, адрес (местонахождение) объекта: Ханты-Мансийский автономный округ – Югра, Ханты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Мансийский район, с. Селиярово, ул. Лесная.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5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Результаты заочного голосования: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</w:rPr>
        <w:t xml:space="preserve">«З</w:t>
      </w:r>
      <w:r>
        <w:rPr>
          <w:rFonts w:eastAsia="Calibri"/>
          <w:sz w:val="28"/>
          <w:szCs w:val="28"/>
          <w:highlight w:val="white"/>
        </w:rPr>
        <w:t xml:space="preserve">А» - </w:t>
      </w:r>
      <w:r>
        <w:rPr>
          <w:rFonts w:eastAsia="Calibri"/>
          <w:sz w:val="28"/>
          <w:szCs w:val="28"/>
          <w:highlight w:val="white"/>
        </w:rPr>
        <w:t xml:space="preserve">1</w:t>
      </w:r>
      <w:r>
        <w:rPr>
          <w:rFonts w:eastAsia="Calibri"/>
          <w:sz w:val="28"/>
          <w:szCs w:val="28"/>
          <w:highlight w:val="white"/>
        </w:rPr>
        <w:t xml:space="preserve">1</w:t>
      </w:r>
      <w:bookmarkStart w:id="0" w:name="_GoBack"/>
      <w:r>
        <w:rPr>
          <w:highlight w:val="white"/>
        </w:rPr>
      </w:r>
      <w:bookmarkEnd w:id="0"/>
      <w:r>
        <w:rPr>
          <w:rFonts w:eastAsia="Calibri"/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«ПРОТИВ» - 0;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«ВОЗДЕРЖАЛИСЬ» - 0.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tbl>
      <w:tblPr>
        <w:tblStyle w:val="892"/>
        <w:tblW w:w="94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351"/>
        <w:gridCol w:w="2915"/>
      </w:tblGrid>
      <w:tr>
        <w:tblPrEx/>
        <w:trPr>
          <w:trHeight w:val="748"/>
        </w:trPr>
        <w:tc>
          <w:tcPr>
            <w:tcW w:w="322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Председатель Совета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70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К.Р.Минулин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1"/>
        </w:trPr>
        <w:tc>
          <w:tcPr>
            <w:tcW w:w="322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Секретарь Совета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Н.Н.Китайкина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Согласовано: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комитета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экономической политики                                                              </w:t>
      </w:r>
      <w:r>
        <w:rPr>
          <w:sz w:val="26"/>
          <w:szCs w:val="26"/>
        </w:rPr>
        <w:t xml:space="preserve">Ю.А.Овсянников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1276" w:bottom="1134" w:left="1559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entury Gothic">
    <w:panose1 w:val="020B0502020202020204"/>
  </w:font>
  <w:font w:name="Segoe UI">
    <w:panose1 w:val="020B0502040204020203"/>
  </w:font>
  <w:font w:name="Georgia">
    <w:panose1 w:val="020405020504050203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5</w: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2" w:hanging="720"/>
      </w:pPr>
      <w:rPr>
        <w:rFonts w:hint="default"/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98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723"/>
    <w:link w:val="715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06">
    <w:name w:val="Heading 9 Char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07">
    <w:name w:val="Title Char"/>
    <w:basedOn w:val="723"/>
    <w:link w:val="888"/>
    <w:uiPriority w:val="10"/>
    <w:rPr>
      <w:sz w:val="48"/>
      <w:szCs w:val="48"/>
    </w:rPr>
  </w:style>
  <w:style w:type="character" w:styleId="708">
    <w:name w:val="Subtitle Char"/>
    <w:basedOn w:val="723"/>
    <w:link w:val="889"/>
    <w:uiPriority w:val="11"/>
    <w:rPr>
      <w:sz w:val="24"/>
      <w:szCs w:val="24"/>
    </w:rPr>
  </w:style>
  <w:style w:type="character" w:styleId="709">
    <w:name w:val="Quote Char"/>
    <w:link w:val="737"/>
    <w:uiPriority w:val="29"/>
    <w:rPr>
      <w:i/>
    </w:rPr>
  </w:style>
  <w:style w:type="character" w:styleId="710">
    <w:name w:val="Intense Quote Char"/>
    <w:link w:val="739"/>
    <w:uiPriority w:val="30"/>
    <w:rPr>
      <w:i/>
    </w:rPr>
  </w:style>
  <w:style w:type="character" w:styleId="711">
    <w:name w:val="Footnote Text Char"/>
    <w:link w:val="870"/>
    <w:uiPriority w:val="99"/>
    <w:rPr>
      <w:sz w:val="18"/>
    </w:rPr>
  </w:style>
  <w:style w:type="character" w:styleId="712">
    <w:name w:val="Endnote Text Char"/>
    <w:link w:val="873"/>
    <w:uiPriority w:val="99"/>
    <w:rPr>
      <w:sz w:val="20"/>
    </w:rPr>
  </w:style>
  <w:style w:type="paragraph" w:styleId="713" w:default="1">
    <w:name w:val="Normal"/>
  </w:style>
  <w:style w:type="paragraph" w:styleId="714">
    <w:name w:val="Heading 1"/>
    <w:basedOn w:val="713"/>
    <w:next w:val="713"/>
    <w:link w:val="726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15">
    <w:name w:val="Heading 2"/>
    <w:basedOn w:val="713"/>
    <w:next w:val="713"/>
    <w:link w:val="72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16">
    <w:name w:val="Heading 3"/>
    <w:basedOn w:val="713"/>
    <w:next w:val="713"/>
    <w:link w:val="72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17">
    <w:name w:val="Heading 4"/>
    <w:basedOn w:val="713"/>
    <w:next w:val="713"/>
    <w:link w:val="729"/>
    <w:pPr>
      <w:keepLines/>
      <w:keepNext/>
      <w:spacing w:before="240" w:after="40"/>
      <w:outlineLvl w:val="3"/>
    </w:pPr>
    <w:rPr>
      <w:b/>
    </w:rPr>
  </w:style>
  <w:style w:type="paragraph" w:styleId="718">
    <w:name w:val="Heading 5"/>
    <w:basedOn w:val="713"/>
    <w:next w:val="713"/>
    <w:link w:val="730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719">
    <w:name w:val="Heading 6"/>
    <w:basedOn w:val="713"/>
    <w:next w:val="713"/>
    <w:link w:val="731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720">
    <w:name w:val="Heading 7"/>
    <w:basedOn w:val="713"/>
    <w:next w:val="713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713"/>
    <w:next w:val="713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713"/>
    <w:next w:val="713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Заголовок 1 Знак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basedOn w:val="723"/>
    <w:link w:val="715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Название Знак"/>
    <w:basedOn w:val="723"/>
    <w:link w:val="888"/>
    <w:uiPriority w:val="10"/>
    <w:rPr>
      <w:sz w:val="48"/>
      <w:szCs w:val="48"/>
    </w:rPr>
  </w:style>
  <w:style w:type="character" w:styleId="736" w:customStyle="1">
    <w:name w:val="Подзаголовок Знак"/>
    <w:basedOn w:val="723"/>
    <w:link w:val="889"/>
    <w:uiPriority w:val="11"/>
    <w:rPr>
      <w:sz w:val="24"/>
      <w:szCs w:val="24"/>
    </w:rPr>
  </w:style>
  <w:style w:type="paragraph" w:styleId="737">
    <w:name w:val="Quote"/>
    <w:basedOn w:val="713"/>
    <w:next w:val="713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713"/>
    <w:next w:val="713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character" w:styleId="741" w:customStyle="1">
    <w:name w:val="Header Char"/>
    <w:basedOn w:val="723"/>
    <w:uiPriority w:val="99"/>
  </w:style>
  <w:style w:type="character" w:styleId="742" w:customStyle="1">
    <w:name w:val="Footer Char"/>
    <w:basedOn w:val="723"/>
    <w:uiPriority w:val="99"/>
  </w:style>
  <w:style w:type="paragraph" w:styleId="743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 w:customStyle="1">
    <w:name w:val="Caption Char"/>
    <w:uiPriority w:val="99"/>
  </w:style>
  <w:style w:type="table" w:styleId="745" w:customStyle="1">
    <w:name w:val="Table Grid Light"/>
    <w:basedOn w:val="72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2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2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2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2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2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2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2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2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2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2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2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2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2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2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2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2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2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2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2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2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2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2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2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2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2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2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2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2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basedOn w:val="72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basedOn w:val="72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basedOn w:val="72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basedOn w:val="72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basedOn w:val="72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>
    <w:name w:val="Grid Table 5 Dark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basedOn w:val="72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2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basedOn w:val="72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basedOn w:val="72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basedOn w:val="72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>
    <w:name w:val="Grid Table 7 Colorful"/>
    <w:basedOn w:val="72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1"/>
    <w:basedOn w:val="72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2"/>
    <w:basedOn w:val="72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3"/>
    <w:basedOn w:val="72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4"/>
    <w:basedOn w:val="72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5"/>
    <w:basedOn w:val="72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6"/>
    <w:basedOn w:val="72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>
    <w:name w:val="List Table 1 Light"/>
    <w:basedOn w:val="72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2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2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2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2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2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2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2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2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2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2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2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2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2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2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2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2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2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2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2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2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2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2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2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2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2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2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2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2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2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2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basedOn w:val="72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2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basedOn w:val="72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basedOn w:val="72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basedOn w:val="72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>
    <w:name w:val="List Table 7 Colorful"/>
    <w:basedOn w:val="72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1"/>
    <w:basedOn w:val="72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2"/>
    <w:basedOn w:val="72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3"/>
    <w:basedOn w:val="72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4"/>
    <w:basedOn w:val="72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5"/>
    <w:basedOn w:val="72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6"/>
    <w:basedOn w:val="72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ned - Accent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basedOn w:val="72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2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basedOn w:val="72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basedOn w:val="72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basedOn w:val="72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basedOn w:val="72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basedOn w:val="72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0">
    <w:name w:val="footnote text"/>
    <w:basedOn w:val="713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basedOn w:val="723"/>
    <w:uiPriority w:val="99"/>
    <w:unhideWhenUsed/>
    <w:rPr>
      <w:vertAlign w:val="superscript"/>
    </w:rPr>
  </w:style>
  <w:style w:type="paragraph" w:styleId="873">
    <w:name w:val="endnote text"/>
    <w:basedOn w:val="713"/>
    <w:link w:val="874"/>
    <w:uiPriority w:val="99"/>
    <w:semiHidden/>
    <w:unhideWhenUsed/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23"/>
    <w:uiPriority w:val="99"/>
    <w:semiHidden/>
    <w:unhideWhenUsed/>
    <w:rPr>
      <w:vertAlign w:val="superscript"/>
    </w:rPr>
  </w:style>
  <w:style w:type="paragraph" w:styleId="876">
    <w:name w:val="toc 1"/>
    <w:basedOn w:val="713"/>
    <w:next w:val="713"/>
    <w:uiPriority w:val="39"/>
    <w:unhideWhenUsed/>
    <w:pPr>
      <w:spacing w:after="57"/>
    </w:pPr>
  </w:style>
  <w:style w:type="paragraph" w:styleId="877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78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79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80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81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82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83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84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713"/>
    <w:next w:val="713"/>
    <w:uiPriority w:val="99"/>
    <w:unhideWhenUsed/>
  </w:style>
  <w:style w:type="table" w:styleId="88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8">
    <w:name w:val="Title"/>
    <w:basedOn w:val="713"/>
    <w:next w:val="713"/>
    <w:link w:val="735"/>
    <w:pPr>
      <w:jc w:val="center"/>
    </w:pPr>
    <w:rPr>
      <w:sz w:val="32"/>
      <w:szCs w:val="32"/>
    </w:rPr>
  </w:style>
  <w:style w:type="paragraph" w:styleId="889">
    <w:name w:val="Subtitle"/>
    <w:basedOn w:val="713"/>
    <w:next w:val="713"/>
    <w:link w:val="73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90" w:customStyle="1">
    <w:name w:val="StGen0"/>
    <w:basedOn w:val="88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891">
    <w:name w:val="List Paragraph"/>
    <w:basedOn w:val="713"/>
    <w:uiPriority w:val="34"/>
    <w:qFormat/>
    <w:pPr>
      <w:contextualSpacing/>
      <w:ind w:left="720"/>
    </w:pPr>
  </w:style>
  <w:style w:type="table" w:styleId="892">
    <w:name w:val="Table Grid"/>
    <w:basedOn w:val="72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3">
    <w:name w:val="Balloon Text"/>
    <w:basedOn w:val="713"/>
    <w:link w:val="89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4" w:customStyle="1">
    <w:name w:val="Текст выноски Знак"/>
    <w:basedOn w:val="723"/>
    <w:link w:val="893"/>
    <w:uiPriority w:val="99"/>
    <w:semiHidden/>
    <w:rPr>
      <w:rFonts w:ascii="Segoe UI" w:hAnsi="Segoe UI" w:cs="Segoe UI"/>
      <w:sz w:val="18"/>
      <w:szCs w:val="18"/>
    </w:rPr>
  </w:style>
  <w:style w:type="paragraph" w:styleId="895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6">
    <w:name w:val="Hyperlink"/>
    <w:basedOn w:val="723"/>
    <w:uiPriority w:val="99"/>
    <w:semiHidden/>
    <w:unhideWhenUsed/>
    <w:rPr>
      <w:color w:val="0000ff"/>
      <w:u w:val="single"/>
    </w:rPr>
  </w:style>
  <w:style w:type="paragraph" w:styleId="897">
    <w:name w:val="Header"/>
    <w:basedOn w:val="713"/>
    <w:link w:val="89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8" w:customStyle="1">
    <w:name w:val="Верхний колонтитул Знак"/>
    <w:basedOn w:val="723"/>
    <w:link w:val="897"/>
    <w:uiPriority w:val="99"/>
  </w:style>
  <w:style w:type="paragraph" w:styleId="899">
    <w:name w:val="Footer"/>
    <w:basedOn w:val="713"/>
    <w:link w:val="90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0" w:customStyle="1">
    <w:name w:val="Нижний колонтитул Знак"/>
    <w:basedOn w:val="723"/>
    <w:link w:val="899"/>
    <w:uiPriority w:val="99"/>
  </w:style>
  <w:style w:type="paragraph" w:styleId="901">
    <w:name w:val="Body Text Indent"/>
    <w:basedOn w:val="713"/>
    <w:link w:val="902"/>
    <w:pPr>
      <w:ind w:left="283"/>
      <w:spacing w:after="120" w:line="276" w:lineRule="auto"/>
    </w:pPr>
    <w:rPr>
      <w:rFonts w:ascii="Century Gothic" w:hAnsi="Century Gothic"/>
      <w:sz w:val="22"/>
      <w:szCs w:val="22"/>
      <w:lang w:val="en-US" w:eastAsia="en-US"/>
    </w:rPr>
  </w:style>
  <w:style w:type="character" w:styleId="902" w:customStyle="1">
    <w:name w:val="Основной текст с отступом Знак"/>
    <w:basedOn w:val="723"/>
    <w:link w:val="901"/>
    <w:rPr>
      <w:rFonts w:ascii="Century Gothic" w:hAnsi="Century Gothic"/>
      <w:sz w:val="22"/>
      <w:szCs w:val="22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A2A9-65AD-4DAD-9FB8-B133004E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Пузина Анна</dc:creator>
  <cp:revision>6</cp:revision>
  <dcterms:created xsi:type="dcterms:W3CDTF">2025-10-15T09:42:00Z</dcterms:created>
  <dcterms:modified xsi:type="dcterms:W3CDTF">2026-03-04T10:41:40Z</dcterms:modified>
</cp:coreProperties>
</file>