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v:background id="_x0000_s1025" o:bwmode="white" fillcolor="#e2efd9 [665]" o:targetscreensize="1024,768">
      <v:fill color2="#d5dce4 [671]" focus="100%" type="gradient"/>
    </v:background>
  </w:background>
  <w:body>
    <w:p w:rsidR="0094244F" w:rsidRDefault="0094244F" w:rsidP="0094244F">
      <w:pPr>
        <w:pStyle w:val="ConsPlusNormal"/>
        <w:spacing w:before="460"/>
        <w:jc w:val="center"/>
        <w:rPr>
          <w:b/>
          <w:sz w:val="36"/>
        </w:rPr>
      </w:pPr>
      <w:r w:rsidRPr="008F77DF">
        <w:rPr>
          <w:rFonts w:ascii="Calibri" w:eastAsia="Calibri" w:hAnsi="Calibri" w:cs="Times New Roman"/>
          <w:noProof/>
          <w:szCs w:val="20"/>
        </w:rPr>
        <w:drawing>
          <wp:inline distT="0" distB="0" distL="0" distR="0" wp14:anchorId="4711E4E6" wp14:editId="14872998">
            <wp:extent cx="581025" cy="685800"/>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lum bright="-6000" contrast="36000"/>
                    </a:blip>
                    <a:srcRect/>
                    <a:stretch>
                      <a:fillRect/>
                    </a:stretch>
                  </pic:blipFill>
                  <pic:spPr bwMode="auto">
                    <a:xfrm>
                      <a:off x="0" y="0"/>
                      <a:ext cx="581025" cy="685800"/>
                    </a:xfrm>
                    <a:prstGeom prst="rect">
                      <a:avLst/>
                    </a:prstGeom>
                    <a:noFill/>
                    <a:ln w="9525">
                      <a:noFill/>
                      <a:miter lim="800000"/>
                      <a:headEnd/>
                      <a:tailEnd/>
                    </a:ln>
                  </pic:spPr>
                </pic:pic>
              </a:graphicData>
            </a:graphic>
          </wp:inline>
        </w:drawing>
      </w:r>
    </w:p>
    <w:p w:rsidR="0094244F" w:rsidRDefault="0094244F" w:rsidP="0094244F">
      <w:pPr>
        <w:jc w:val="center"/>
        <w:rPr>
          <w:rFonts w:ascii="Times New Roman" w:hAnsi="Times New Roman" w:cs="Times New Roman"/>
          <w:sz w:val="26"/>
          <w:szCs w:val="26"/>
        </w:rPr>
      </w:pPr>
      <w:r w:rsidRPr="004725FA">
        <w:rPr>
          <w:rFonts w:ascii="Times New Roman" w:hAnsi="Times New Roman" w:cs="Times New Roman"/>
          <w:sz w:val="26"/>
          <w:szCs w:val="26"/>
        </w:rPr>
        <w:t xml:space="preserve">Комитет экономической политики </w:t>
      </w:r>
    </w:p>
    <w:p w:rsidR="0094244F" w:rsidRPr="004725FA" w:rsidRDefault="0094244F" w:rsidP="0094244F">
      <w:pPr>
        <w:jc w:val="center"/>
        <w:rPr>
          <w:rFonts w:ascii="Times New Roman" w:hAnsi="Times New Roman" w:cs="Times New Roman"/>
          <w:sz w:val="26"/>
          <w:szCs w:val="26"/>
        </w:rPr>
      </w:pPr>
      <w:r w:rsidRPr="004725FA">
        <w:rPr>
          <w:rFonts w:ascii="Times New Roman" w:hAnsi="Times New Roman" w:cs="Times New Roman"/>
          <w:sz w:val="26"/>
          <w:szCs w:val="26"/>
        </w:rPr>
        <w:t>администрации Ханты-Мансийского района</w:t>
      </w:r>
    </w:p>
    <w:p w:rsidR="005B13AE" w:rsidRDefault="005B13AE" w:rsidP="0094244F">
      <w:pPr>
        <w:pStyle w:val="ConsPlusNormal"/>
        <w:spacing w:before="460"/>
        <w:jc w:val="center"/>
        <w:rPr>
          <w:b/>
          <w:sz w:val="36"/>
        </w:rPr>
      </w:pPr>
    </w:p>
    <w:p w:rsidR="005B13AE" w:rsidRDefault="005B13AE" w:rsidP="0094244F">
      <w:pPr>
        <w:pStyle w:val="ConsPlusNormal"/>
        <w:spacing w:before="460"/>
        <w:jc w:val="center"/>
        <w:rPr>
          <w:b/>
          <w:sz w:val="36"/>
        </w:rPr>
      </w:pPr>
    </w:p>
    <w:p w:rsidR="0094244F" w:rsidRDefault="0094244F" w:rsidP="0094244F">
      <w:pPr>
        <w:pStyle w:val="ConsPlusNormal"/>
        <w:spacing w:before="460"/>
        <w:contextualSpacing/>
        <w:jc w:val="center"/>
        <w:rPr>
          <w:b/>
          <w:sz w:val="36"/>
        </w:rPr>
      </w:pPr>
      <w:r>
        <w:rPr>
          <w:b/>
          <w:sz w:val="36"/>
        </w:rPr>
        <w:t>Методическое пособие</w:t>
      </w:r>
    </w:p>
    <w:p w:rsidR="0094244F" w:rsidRDefault="001D7005" w:rsidP="0094244F">
      <w:pPr>
        <w:pStyle w:val="ConsPlusNormal"/>
        <w:spacing w:before="460"/>
        <w:contextualSpacing/>
        <w:jc w:val="center"/>
        <w:rPr>
          <w:b/>
          <w:sz w:val="36"/>
        </w:rPr>
      </w:pPr>
      <w:r>
        <w:rPr>
          <w:b/>
          <w:sz w:val="36"/>
        </w:rPr>
        <w:t>Микроповреждения (микротравмы)</w:t>
      </w:r>
    </w:p>
    <w:p w:rsidR="005B13AE" w:rsidRDefault="005B13AE" w:rsidP="0094244F">
      <w:pPr>
        <w:pStyle w:val="ConsPlusNormal"/>
        <w:spacing w:before="460"/>
        <w:contextualSpacing/>
        <w:jc w:val="center"/>
        <w:rPr>
          <w:b/>
          <w:sz w:val="36"/>
        </w:rPr>
      </w:pPr>
    </w:p>
    <w:p w:rsidR="00285949" w:rsidRDefault="001D7005">
      <w:pPr>
        <w:pStyle w:val="ConsPlusNormal"/>
        <w:spacing w:before="460"/>
        <w:rPr>
          <w:b/>
          <w:sz w:val="36"/>
        </w:rPr>
      </w:pPr>
      <w:r w:rsidRPr="001D7005">
        <w:rPr>
          <w:noProof/>
        </w:rPr>
        <w:drawing>
          <wp:inline distT="0" distB="0" distL="0" distR="0">
            <wp:extent cx="5940425" cy="3847577"/>
            <wp:effectExtent l="0" t="0" r="317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847577"/>
                    </a:xfrm>
                    <a:prstGeom prst="rect">
                      <a:avLst/>
                    </a:prstGeom>
                    <a:noFill/>
                  </pic:spPr>
                </pic:pic>
              </a:graphicData>
            </a:graphic>
          </wp:inline>
        </w:drawing>
      </w:r>
    </w:p>
    <w:p w:rsidR="0094244F" w:rsidRDefault="0094244F">
      <w:pPr>
        <w:pStyle w:val="ConsPlusNormal"/>
        <w:spacing w:before="460"/>
        <w:rPr>
          <w:b/>
          <w:sz w:val="36"/>
        </w:rPr>
      </w:pPr>
    </w:p>
    <w:p w:rsidR="00AD0D81" w:rsidRDefault="00AD0D81" w:rsidP="0094244F">
      <w:pPr>
        <w:jc w:val="center"/>
        <w:rPr>
          <w:rFonts w:ascii="Times New Roman" w:hAnsi="Times New Roman" w:cs="Times New Roman"/>
          <w:b/>
          <w:sz w:val="28"/>
          <w:szCs w:val="28"/>
        </w:rPr>
      </w:pPr>
    </w:p>
    <w:p w:rsidR="0094244F" w:rsidRDefault="0094244F" w:rsidP="0094244F">
      <w:pPr>
        <w:jc w:val="center"/>
        <w:rPr>
          <w:rFonts w:ascii="Times New Roman" w:hAnsi="Times New Roman" w:cs="Times New Roman"/>
          <w:b/>
          <w:sz w:val="28"/>
          <w:szCs w:val="28"/>
        </w:rPr>
      </w:pPr>
      <w:r w:rsidRPr="007845A8">
        <w:rPr>
          <w:rFonts w:ascii="Times New Roman" w:hAnsi="Times New Roman" w:cs="Times New Roman"/>
          <w:b/>
          <w:sz w:val="28"/>
          <w:szCs w:val="28"/>
        </w:rPr>
        <w:t>г.</w:t>
      </w:r>
      <w:r>
        <w:rPr>
          <w:rFonts w:ascii="Times New Roman" w:hAnsi="Times New Roman" w:cs="Times New Roman"/>
          <w:b/>
          <w:sz w:val="28"/>
          <w:szCs w:val="28"/>
        </w:rPr>
        <w:t xml:space="preserve"> Х</w:t>
      </w:r>
      <w:r w:rsidRPr="007845A8">
        <w:rPr>
          <w:rFonts w:ascii="Times New Roman" w:hAnsi="Times New Roman" w:cs="Times New Roman"/>
          <w:b/>
          <w:sz w:val="28"/>
          <w:szCs w:val="28"/>
        </w:rPr>
        <w:t>анты-</w:t>
      </w:r>
      <w:r>
        <w:rPr>
          <w:rFonts w:ascii="Times New Roman" w:hAnsi="Times New Roman" w:cs="Times New Roman"/>
          <w:b/>
          <w:sz w:val="28"/>
          <w:szCs w:val="28"/>
        </w:rPr>
        <w:t>М</w:t>
      </w:r>
      <w:r w:rsidRPr="007845A8">
        <w:rPr>
          <w:rFonts w:ascii="Times New Roman" w:hAnsi="Times New Roman" w:cs="Times New Roman"/>
          <w:b/>
          <w:sz w:val="28"/>
          <w:szCs w:val="28"/>
        </w:rPr>
        <w:t>ансийск</w:t>
      </w:r>
    </w:p>
    <w:p w:rsidR="0094244F" w:rsidRDefault="0094244F" w:rsidP="0094244F">
      <w:pPr>
        <w:jc w:val="center"/>
        <w:rPr>
          <w:rFonts w:ascii="Times New Roman" w:hAnsi="Times New Roman" w:cs="Times New Roman"/>
          <w:b/>
          <w:sz w:val="28"/>
          <w:szCs w:val="28"/>
        </w:rPr>
      </w:pPr>
      <w:r>
        <w:rPr>
          <w:rFonts w:ascii="Times New Roman" w:hAnsi="Times New Roman" w:cs="Times New Roman"/>
          <w:b/>
          <w:sz w:val="28"/>
          <w:szCs w:val="28"/>
        </w:rPr>
        <w:t xml:space="preserve"> 202</w:t>
      </w:r>
      <w:r w:rsidR="000D41D6">
        <w:rPr>
          <w:rFonts w:ascii="Times New Roman" w:hAnsi="Times New Roman" w:cs="Times New Roman"/>
          <w:b/>
          <w:sz w:val="28"/>
          <w:szCs w:val="28"/>
        </w:rPr>
        <w:t>6</w:t>
      </w:r>
      <w:bookmarkStart w:id="0" w:name="_GoBack"/>
      <w:bookmarkEnd w:id="0"/>
    </w:p>
    <w:p w:rsidR="00F46187" w:rsidRPr="00063413" w:rsidRDefault="00F46187" w:rsidP="005B13AE">
      <w:pPr>
        <w:rPr>
          <w:rFonts w:ascii="Times New Roman" w:hAnsi="Times New Roman" w:cs="Times New Roman"/>
          <w:lang w:eastAsia="ru-RU"/>
        </w:rPr>
      </w:pPr>
    </w:p>
    <w:p w:rsidR="00831BC2" w:rsidRPr="00831BC2" w:rsidRDefault="00831BC2" w:rsidP="00831BC2">
      <w:pPr>
        <w:spacing w:line="360" w:lineRule="auto"/>
        <w:ind w:firstLine="709"/>
        <w:contextualSpacing/>
        <w:jc w:val="both"/>
        <w:rPr>
          <w:rFonts w:ascii="Times New Roman" w:eastAsia="Times New Roman" w:hAnsi="Times New Roman" w:cs="Times New Roman"/>
          <w:color w:val="000000"/>
          <w:sz w:val="32"/>
          <w:szCs w:val="32"/>
          <w:lang w:eastAsia="ru-RU"/>
        </w:rPr>
      </w:pPr>
      <w:r w:rsidRPr="00831BC2">
        <w:rPr>
          <w:rFonts w:ascii="Times New Roman" w:eastAsia="Times New Roman" w:hAnsi="Times New Roman" w:cs="Times New Roman"/>
          <w:b/>
          <w:bCs/>
          <w:color w:val="000000"/>
          <w:sz w:val="32"/>
          <w:szCs w:val="32"/>
          <w:lang w:eastAsia="ru-RU"/>
        </w:rPr>
        <w:lastRenderedPageBreak/>
        <w:t>Микроповреждения (микротравмы)</w:t>
      </w:r>
      <w:r w:rsidRPr="00831BC2">
        <w:rPr>
          <w:rFonts w:ascii="Times New Roman" w:eastAsia="Times New Roman" w:hAnsi="Times New Roman" w:cs="Times New Roman"/>
          <w:color w:val="000000"/>
          <w:sz w:val="32"/>
          <w:szCs w:val="32"/>
          <w:lang w:eastAsia="ru-RU"/>
        </w:rPr>
        <w:t> – это ссадины, кровоподтеки, ушибы мягких тканей, поверхностные раны и другие повреждения, полученные работниками и другими лицами, которые участвуют в производственной деятельности работодателя, при исполнении трудовых обязанностей или выполнении работы по поручению работодателя (его представителя). При этом должно соблюдаться условие, что полученные микротравмы не повлекли расстройства здоровья или наступление временной нетрудоспособности (ч. 1 ст. 226 ТК РФ).</w:t>
      </w:r>
    </w:p>
    <w:p w:rsidR="00831BC2" w:rsidRPr="00831BC2" w:rsidRDefault="00831BC2" w:rsidP="00831BC2">
      <w:pPr>
        <w:spacing w:line="360" w:lineRule="auto"/>
        <w:ind w:firstLine="709"/>
        <w:contextualSpacing/>
        <w:jc w:val="both"/>
        <w:rPr>
          <w:rFonts w:ascii="Times New Roman" w:eastAsia="Times New Roman" w:hAnsi="Times New Roman" w:cs="Times New Roman"/>
          <w:color w:val="000000"/>
          <w:sz w:val="24"/>
          <w:szCs w:val="24"/>
          <w:lang w:eastAsia="ru-RU"/>
        </w:rPr>
      </w:pPr>
    </w:p>
    <w:p w:rsidR="00831BC2" w:rsidRPr="00831BC2" w:rsidRDefault="00831BC2" w:rsidP="00831BC2">
      <w:pPr>
        <w:spacing w:line="360" w:lineRule="auto"/>
        <w:ind w:firstLine="709"/>
        <w:contextualSpacing/>
        <w:jc w:val="both"/>
        <w:rPr>
          <w:rFonts w:ascii="Times New Roman" w:eastAsia="Times New Roman" w:hAnsi="Times New Roman" w:cs="Times New Roman"/>
          <w:color w:val="000000"/>
          <w:sz w:val="24"/>
          <w:szCs w:val="24"/>
          <w:lang w:eastAsia="ru-RU"/>
        </w:rPr>
      </w:pP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Причины микротравм можно условно разделить на основные и сопутствующие. Основные причины – это сами реализованные опасности – вращающиеся части оборудования, электрический ток, выступающие части конструкций, падение с высоты. Сопутствующие – это несовершенство системы управления охраной труда.</w:t>
      </w:r>
    </w:p>
    <w:p w:rsidR="00831BC2" w:rsidRPr="00831BC2" w:rsidRDefault="00831BC2" w:rsidP="00831BC2">
      <w:pPr>
        <w:spacing w:line="360" w:lineRule="auto"/>
        <w:ind w:firstLine="709"/>
        <w:contextualSpacing/>
        <w:jc w:val="both"/>
        <w:rPr>
          <w:rFonts w:ascii="Times New Roman" w:eastAsia="Times New Roman" w:hAnsi="Times New Roman" w:cs="Times New Roman"/>
          <w:b/>
          <w:bCs/>
          <w:color w:val="000000"/>
          <w:sz w:val="32"/>
          <w:szCs w:val="32"/>
          <w:lang w:eastAsia="ru-RU"/>
        </w:rPr>
      </w:pP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 xml:space="preserve">Расследовать микротравмы необходимо, чтобы принять меры по профилактике травматизма в компании. Сведения о том, какие именно мероприятия содержит 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Он утвержден приказом Минтруда России от 2910.2021 г. № 771н и действует с 1 марта 2022 года. Для подрядных организаций также применяют приказ Минтруда России от 22.09.2021 № 656н </w:t>
      </w:r>
      <w:r w:rsidRPr="00831BC2">
        <w:rPr>
          <w:rFonts w:ascii="Times New Roman" w:eastAsia="Times New Roman" w:hAnsi="Times New Roman" w:cs="Times New Roman"/>
          <w:bCs/>
          <w:color w:val="000000"/>
          <w:sz w:val="32"/>
          <w:szCs w:val="32"/>
          <w:lang w:eastAsia="ru-RU"/>
        </w:rPr>
        <w:lastRenderedPageBreak/>
        <w:t>«Об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p>
    <w:p w:rsidR="00831BC2" w:rsidRPr="00831BC2" w:rsidRDefault="00831BC2" w:rsidP="00831BC2">
      <w:pPr>
        <w:spacing w:line="360" w:lineRule="auto"/>
        <w:ind w:firstLine="709"/>
        <w:contextualSpacing/>
        <w:jc w:val="both"/>
        <w:rPr>
          <w:rFonts w:ascii="Times New Roman" w:eastAsia="Times New Roman" w:hAnsi="Times New Roman" w:cs="Times New Roman"/>
          <w:b/>
          <w:bCs/>
          <w:color w:val="000000"/>
          <w:sz w:val="32"/>
          <w:szCs w:val="32"/>
          <w:lang w:eastAsia="ru-RU"/>
        </w:rPr>
      </w:pPr>
      <w:r w:rsidRPr="00831BC2">
        <w:rPr>
          <w:rFonts w:ascii="Times New Roman" w:eastAsia="Times New Roman" w:hAnsi="Times New Roman" w:cs="Times New Roman"/>
          <w:b/>
          <w:bCs/>
          <w:color w:val="000000"/>
          <w:sz w:val="32"/>
          <w:szCs w:val="32"/>
          <w:lang w:eastAsia="ru-RU"/>
        </w:rPr>
        <w:t>Шаг 1. Специалист по охране труда получает информацию о микротравме</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Пострадавший сотрудник может сообщить о полученной микротравме своему непосредственному или медицинскому работнику, обратившись за помощью. Информацию об этом передают специалисту по охране труда или другому сотруднику, которого назначили ответственным за расследование микротравм.</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На этом этапе важно убедиться, что пострадавшему оказана первая помощь, и что он не нуждается в вызове скорой помощи. Для этого рекомендуем получить заявление об отказе от вызова скорой помощи или составить акт.</w:t>
      </w:r>
    </w:p>
    <w:p w:rsidR="00831BC2" w:rsidRPr="00831BC2" w:rsidRDefault="00831BC2" w:rsidP="00831BC2">
      <w:pPr>
        <w:spacing w:line="360" w:lineRule="auto"/>
        <w:ind w:firstLine="709"/>
        <w:contextualSpacing/>
        <w:jc w:val="both"/>
        <w:rPr>
          <w:rFonts w:ascii="Times New Roman" w:eastAsia="Times New Roman" w:hAnsi="Times New Roman" w:cs="Times New Roman"/>
          <w:b/>
          <w:bCs/>
          <w:color w:val="000000"/>
          <w:sz w:val="32"/>
          <w:szCs w:val="32"/>
          <w:lang w:eastAsia="ru-RU"/>
        </w:rPr>
      </w:pPr>
      <w:r w:rsidRPr="00831BC2">
        <w:rPr>
          <w:rFonts w:ascii="Times New Roman" w:eastAsia="Times New Roman" w:hAnsi="Times New Roman" w:cs="Times New Roman"/>
          <w:b/>
          <w:bCs/>
          <w:color w:val="000000"/>
          <w:sz w:val="32"/>
          <w:szCs w:val="32"/>
          <w:lang w:eastAsia="ru-RU"/>
        </w:rPr>
        <w:t>Шаг 2. Специалист по ОТ выясняет обстоятельства, при которых произошло микроповреждение</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Выяснить обстоятельства и причины получения сотрудником микротравмы необходимо в течение 3 календарных дней после получения соответствующей информации.</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В этот период специалист по охране труда обязан:</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запросить объяснение от пострадавшего сотрудника об обстоятельствах получения им микротравмы. Его можно получить любым доступным способом, определенным работодателем;</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провести осмотр места происшествия;</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lastRenderedPageBreak/>
        <w:t>опросить очевидцев происшествия, руководителей сотрудника, например, руководителя структурного подразделения, в котором трудится пострадавший.</w:t>
      </w:r>
    </w:p>
    <w:p w:rsidR="00831BC2" w:rsidRPr="00831BC2" w:rsidRDefault="00831BC2" w:rsidP="00831BC2">
      <w:pPr>
        <w:spacing w:line="360" w:lineRule="auto"/>
        <w:ind w:firstLine="709"/>
        <w:contextualSpacing/>
        <w:jc w:val="both"/>
        <w:rPr>
          <w:rFonts w:ascii="Times New Roman" w:eastAsia="Times New Roman" w:hAnsi="Times New Roman" w:cs="Times New Roman"/>
          <w:b/>
          <w:bCs/>
          <w:color w:val="000000"/>
          <w:sz w:val="32"/>
          <w:szCs w:val="32"/>
          <w:lang w:eastAsia="ru-RU"/>
        </w:rPr>
      </w:pPr>
    </w:p>
    <w:p w:rsidR="00831BC2" w:rsidRPr="00831BC2" w:rsidRDefault="00831BC2" w:rsidP="00831BC2">
      <w:pPr>
        <w:spacing w:line="360" w:lineRule="auto"/>
        <w:ind w:firstLine="709"/>
        <w:contextualSpacing/>
        <w:jc w:val="both"/>
        <w:rPr>
          <w:rFonts w:ascii="Times New Roman" w:eastAsia="Times New Roman" w:hAnsi="Times New Roman" w:cs="Times New Roman"/>
          <w:b/>
          <w:bCs/>
          <w:color w:val="000000"/>
          <w:sz w:val="32"/>
          <w:szCs w:val="32"/>
          <w:lang w:eastAsia="ru-RU"/>
        </w:rPr>
      </w:pPr>
      <w:r w:rsidRPr="00831BC2">
        <w:rPr>
          <w:rFonts w:ascii="Times New Roman" w:eastAsia="Times New Roman" w:hAnsi="Times New Roman" w:cs="Times New Roman"/>
          <w:b/>
          <w:bCs/>
          <w:color w:val="000000"/>
          <w:sz w:val="32"/>
          <w:szCs w:val="32"/>
          <w:lang w:eastAsia="ru-RU"/>
        </w:rPr>
        <w:t>Шаг 3. Специалист по ОТ регистрирует факт получения микротравмы</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Сообщение сотрудника или медицинского работника организации является основанием для регистрации микротравмы. Чтобы вести учет и регистрировать микротравмы, заведите в компании специальный журнал учета. Оформить его можно по самостоятельно разработанной форме или использовать рекомендуемый образец из приложения № 2 к приказу Минтруда от 15.09.2021 № 632н.</w:t>
      </w:r>
    </w:p>
    <w:p w:rsidR="00831BC2" w:rsidRPr="00831BC2" w:rsidRDefault="00831BC2" w:rsidP="00831BC2">
      <w:pPr>
        <w:spacing w:line="360" w:lineRule="auto"/>
        <w:ind w:firstLine="709"/>
        <w:contextualSpacing/>
        <w:jc w:val="both"/>
        <w:rPr>
          <w:rFonts w:ascii="Times New Roman" w:eastAsia="Times New Roman" w:hAnsi="Times New Roman" w:cs="Times New Roman"/>
          <w:b/>
          <w:bCs/>
          <w:color w:val="000000"/>
          <w:sz w:val="32"/>
          <w:szCs w:val="32"/>
          <w:lang w:eastAsia="ru-RU"/>
        </w:rPr>
      </w:pPr>
      <w:r w:rsidRPr="00831BC2">
        <w:rPr>
          <w:rFonts w:ascii="Times New Roman" w:eastAsia="Times New Roman" w:hAnsi="Times New Roman" w:cs="Times New Roman"/>
          <w:b/>
          <w:bCs/>
          <w:color w:val="000000"/>
          <w:sz w:val="32"/>
          <w:szCs w:val="32"/>
          <w:lang w:eastAsia="ru-RU"/>
        </w:rPr>
        <w:t>Шаг 4. Специалист по ОТ составляет перечень мероприятий по устранению причин, которые привели к микротравме</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Специалисту необходимо разработать и утвердить у своего руководства Перечень мероприятий по устранению причин, которые привели к получению сотрудником микротравмы. К разработке документа можно привлекать руководителя структурного подразделения, в котором трудится пострадавший и представительный орган работников. Если в организации есть комиссия по охране труда, она также может проводить расследование и анализ.</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При подготовке перечня таких мероприятий рекомендуем учитывать:</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lastRenderedPageBreak/>
        <w:t>обстоятельства получения микроповреждения (микротравмы), включая используемые оборудование, инструменты, материалы и сырье, приемы работы, условия труда, и возможность их воспроизведения в схожих ситуациях или на других рабочих местах;</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организационные недостатки в функционировании системы управления охраной труда;</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физическое состояние работника в момент получения микроповреждения (микротравмы);</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меры по контролю;</w:t>
      </w:r>
    </w:p>
    <w:p w:rsidR="00831BC2" w:rsidRP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механизмы оценки эффективности мер по контролю и реализации профилактических мероприятий.</w:t>
      </w:r>
    </w:p>
    <w:p w:rsidR="00831BC2" w:rsidRDefault="00831BC2" w:rsidP="00831BC2">
      <w:pPr>
        <w:spacing w:line="360" w:lineRule="auto"/>
        <w:ind w:firstLine="709"/>
        <w:contextualSpacing/>
        <w:jc w:val="both"/>
        <w:rPr>
          <w:rFonts w:ascii="Times New Roman" w:eastAsia="Times New Roman" w:hAnsi="Times New Roman" w:cs="Times New Roman"/>
          <w:bCs/>
          <w:color w:val="000000"/>
          <w:sz w:val="32"/>
          <w:szCs w:val="32"/>
          <w:lang w:eastAsia="ru-RU"/>
        </w:rPr>
      </w:pPr>
      <w:r w:rsidRPr="00831BC2">
        <w:rPr>
          <w:rFonts w:ascii="Times New Roman" w:eastAsia="Times New Roman" w:hAnsi="Times New Roman" w:cs="Times New Roman"/>
          <w:bCs/>
          <w:color w:val="000000"/>
          <w:sz w:val="32"/>
          <w:szCs w:val="32"/>
          <w:lang w:eastAsia="ru-RU"/>
        </w:rPr>
        <w:t>Оформлять документы, связанные с регистрацией микротравм и расследованием причин их возникновения: справку, журнал, другие документы, работодатель может в электронном виде. При этом используют электронную подпись или любой другой способ, который позволяет идентифицировать личность работника, состави</w:t>
      </w:r>
      <w:r>
        <w:rPr>
          <w:rFonts w:ascii="Times New Roman" w:eastAsia="Times New Roman" w:hAnsi="Times New Roman" w:cs="Times New Roman"/>
          <w:bCs/>
          <w:color w:val="000000"/>
          <w:sz w:val="32"/>
          <w:szCs w:val="32"/>
          <w:lang w:eastAsia="ru-RU"/>
        </w:rPr>
        <w:t>вшего справку и ведущего журнал.</w:t>
      </w:r>
    </w:p>
    <w:sectPr w:rsidR="00831BC2" w:rsidSect="00632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0000002"/>
    <w:multiLevelType w:val="singleLevel"/>
    <w:tmpl w:val="0D9EE0CA"/>
    <w:lvl w:ilvl="0">
      <w:start w:val="1"/>
      <w:numFmt w:val="decimal"/>
      <w:lvlText w:val="%1)"/>
      <w:lvlJc w:val="left"/>
      <w:pPr>
        <w:tabs>
          <w:tab w:val="num" w:pos="540"/>
        </w:tabs>
        <w:ind w:left="540" w:hanging="300"/>
      </w:pPr>
      <w:rPr>
        <w:rFonts w:ascii="Times New Roman" w:eastAsiaTheme="minorHAnsi" w:hAnsi="Times New Roman" w:cs="Times New Roman"/>
      </w:rPr>
    </w:lvl>
  </w:abstractNum>
  <w:abstractNum w:abstractNumId="2" w15:restartNumberingAfterBreak="0">
    <w:nsid w:val="00000003"/>
    <w:multiLevelType w:val="singleLevel"/>
    <w:tmpl w:val="00000000"/>
    <w:lvl w:ilvl="0">
      <w:start w:val="1"/>
      <w:numFmt w:val="decimal"/>
      <w:lvlText w:val="%1)"/>
      <w:lvlJc w:val="left"/>
      <w:pPr>
        <w:tabs>
          <w:tab w:val="num" w:pos="540"/>
        </w:tabs>
        <w:ind w:left="540" w:hanging="300"/>
      </w:pPr>
    </w:lvl>
  </w:abstractNum>
  <w:abstractNum w:abstractNumId="3" w15:restartNumberingAfterBreak="0">
    <w:nsid w:val="00000004"/>
    <w:multiLevelType w:val="singleLevel"/>
    <w:tmpl w:val="00000000"/>
    <w:lvl w:ilvl="0">
      <w:start w:val="1"/>
      <w:numFmt w:val="decimal"/>
      <w:lvlText w:val="%1)"/>
      <w:lvlJc w:val="left"/>
      <w:pPr>
        <w:tabs>
          <w:tab w:val="num" w:pos="540"/>
        </w:tabs>
        <w:ind w:left="540" w:hanging="300"/>
      </w:pPr>
    </w:lvl>
  </w:abstractNum>
  <w:abstractNum w:abstractNumId="4" w15:restartNumberingAfterBreak="0">
    <w:nsid w:val="01DB5848"/>
    <w:multiLevelType w:val="multilevel"/>
    <w:tmpl w:val="0ACC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41587"/>
    <w:multiLevelType w:val="multilevel"/>
    <w:tmpl w:val="2F62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D40A3"/>
    <w:multiLevelType w:val="multilevel"/>
    <w:tmpl w:val="F2D8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62B6D"/>
    <w:multiLevelType w:val="multilevel"/>
    <w:tmpl w:val="81BC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EC226E"/>
    <w:multiLevelType w:val="multilevel"/>
    <w:tmpl w:val="FFBC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60E63"/>
    <w:multiLevelType w:val="hybridMultilevel"/>
    <w:tmpl w:val="2ABA7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D6247C"/>
    <w:multiLevelType w:val="multilevel"/>
    <w:tmpl w:val="A4C212A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1C3C27"/>
    <w:multiLevelType w:val="multilevel"/>
    <w:tmpl w:val="E3BC3C6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6A7869"/>
    <w:multiLevelType w:val="multilevel"/>
    <w:tmpl w:val="621C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3416A"/>
    <w:multiLevelType w:val="multilevel"/>
    <w:tmpl w:val="6CAEDE6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E92CE1"/>
    <w:multiLevelType w:val="multilevel"/>
    <w:tmpl w:val="CD62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7370E"/>
    <w:multiLevelType w:val="multilevel"/>
    <w:tmpl w:val="8AC4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EA6028"/>
    <w:multiLevelType w:val="multilevel"/>
    <w:tmpl w:val="59A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0A09DF"/>
    <w:multiLevelType w:val="multilevel"/>
    <w:tmpl w:val="DD50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981595"/>
    <w:multiLevelType w:val="multilevel"/>
    <w:tmpl w:val="47F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F245A"/>
    <w:multiLevelType w:val="multilevel"/>
    <w:tmpl w:val="73F4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37E8D"/>
    <w:multiLevelType w:val="hybridMultilevel"/>
    <w:tmpl w:val="8D2E8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360A18"/>
    <w:multiLevelType w:val="multilevel"/>
    <w:tmpl w:val="F3D6FC56"/>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607ADF"/>
    <w:multiLevelType w:val="multilevel"/>
    <w:tmpl w:val="1858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20BB1"/>
    <w:multiLevelType w:val="multilevel"/>
    <w:tmpl w:val="613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B54B8"/>
    <w:multiLevelType w:val="multilevel"/>
    <w:tmpl w:val="A99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C228C"/>
    <w:multiLevelType w:val="multilevel"/>
    <w:tmpl w:val="1A48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D72B1"/>
    <w:multiLevelType w:val="multilevel"/>
    <w:tmpl w:val="965AA0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3355C7"/>
    <w:multiLevelType w:val="multilevel"/>
    <w:tmpl w:val="DBA4BD2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72D5AD2"/>
    <w:multiLevelType w:val="multilevel"/>
    <w:tmpl w:val="0CF0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C36DC2"/>
    <w:multiLevelType w:val="multilevel"/>
    <w:tmpl w:val="E504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5238EF"/>
    <w:multiLevelType w:val="multilevel"/>
    <w:tmpl w:val="E9C601B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lvlOverride w:ilvl="0">
      <w:startOverride w:val="1"/>
    </w:lvlOverride>
  </w:num>
  <w:num w:numId="2">
    <w:abstractNumId w:val="21"/>
    <w:lvlOverride w:ilvl="0">
      <w:startOverride w:val="1"/>
    </w:lvlOverride>
  </w:num>
  <w:num w:numId="3">
    <w:abstractNumId w:val="30"/>
    <w:lvlOverride w:ilvl="0">
      <w:startOverride w:val="1"/>
    </w:lvlOverride>
  </w:num>
  <w:num w:numId="4">
    <w:abstractNumId w:val="10"/>
    <w:lvlOverride w:ilvl="0">
      <w:startOverride w:val="1"/>
    </w:lvlOverride>
  </w:num>
  <w:num w:numId="5">
    <w:abstractNumId w:val="11"/>
    <w:lvlOverride w:ilvl="0">
      <w:startOverride w:val="1"/>
    </w:lvlOverride>
  </w:num>
  <w:num w:numId="6">
    <w:abstractNumId w:val="13"/>
    <w:lvlOverride w:ilvl="0">
      <w:startOverride w:val="1"/>
    </w:lvlOverride>
  </w:num>
  <w:num w:numId="7">
    <w:abstractNumId w:val="27"/>
    <w:lvlOverride w:ilvl="0">
      <w:startOverride w:val="1"/>
    </w:lvlOverride>
  </w:num>
  <w:num w:numId="8">
    <w:abstractNumId w:val="9"/>
  </w:num>
  <w:num w:numId="9">
    <w:abstractNumId w:val="0"/>
  </w:num>
  <w:num w:numId="10">
    <w:abstractNumId w:val="1"/>
  </w:num>
  <w:num w:numId="11">
    <w:abstractNumId w:val="2"/>
  </w:num>
  <w:num w:numId="12">
    <w:abstractNumId w:val="3"/>
  </w:num>
  <w:num w:numId="13">
    <w:abstractNumId w:val="18"/>
  </w:num>
  <w:num w:numId="14">
    <w:abstractNumId w:val="15"/>
  </w:num>
  <w:num w:numId="15">
    <w:abstractNumId w:val="22"/>
  </w:num>
  <w:num w:numId="16">
    <w:abstractNumId w:val="20"/>
  </w:num>
  <w:num w:numId="17">
    <w:abstractNumId w:val="6"/>
  </w:num>
  <w:num w:numId="18">
    <w:abstractNumId w:val="12"/>
  </w:num>
  <w:num w:numId="19">
    <w:abstractNumId w:val="17"/>
  </w:num>
  <w:num w:numId="20">
    <w:abstractNumId w:val="4"/>
  </w:num>
  <w:num w:numId="21">
    <w:abstractNumId w:val="19"/>
  </w:num>
  <w:num w:numId="22">
    <w:abstractNumId w:val="8"/>
  </w:num>
  <w:num w:numId="23">
    <w:abstractNumId w:val="28"/>
  </w:num>
  <w:num w:numId="24">
    <w:abstractNumId w:val="7"/>
  </w:num>
  <w:num w:numId="25">
    <w:abstractNumId w:val="25"/>
  </w:num>
  <w:num w:numId="26">
    <w:abstractNumId w:val="16"/>
  </w:num>
  <w:num w:numId="27">
    <w:abstractNumId w:val="5"/>
  </w:num>
  <w:num w:numId="28">
    <w:abstractNumId w:val="24"/>
  </w:num>
  <w:num w:numId="29">
    <w:abstractNumId w:val="29"/>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7D2"/>
    <w:rsid w:val="00007AC0"/>
    <w:rsid w:val="00063413"/>
    <w:rsid w:val="00096BFA"/>
    <w:rsid w:val="000D41D6"/>
    <w:rsid w:val="001403AE"/>
    <w:rsid w:val="00165ABC"/>
    <w:rsid w:val="001759B3"/>
    <w:rsid w:val="001D7005"/>
    <w:rsid w:val="00285949"/>
    <w:rsid w:val="0028646B"/>
    <w:rsid w:val="00367230"/>
    <w:rsid w:val="00373EF2"/>
    <w:rsid w:val="0044117B"/>
    <w:rsid w:val="005057D2"/>
    <w:rsid w:val="00577001"/>
    <w:rsid w:val="005B030D"/>
    <w:rsid w:val="005B13AE"/>
    <w:rsid w:val="00602BE1"/>
    <w:rsid w:val="00770E57"/>
    <w:rsid w:val="00831BC2"/>
    <w:rsid w:val="00841A48"/>
    <w:rsid w:val="00890989"/>
    <w:rsid w:val="00892308"/>
    <w:rsid w:val="008B21D9"/>
    <w:rsid w:val="0094244F"/>
    <w:rsid w:val="00977A82"/>
    <w:rsid w:val="009D5267"/>
    <w:rsid w:val="00A14F30"/>
    <w:rsid w:val="00AD0D81"/>
    <w:rsid w:val="00C4663A"/>
    <w:rsid w:val="00C52D50"/>
    <w:rsid w:val="00CD0157"/>
    <w:rsid w:val="00D062B7"/>
    <w:rsid w:val="00E3672C"/>
    <w:rsid w:val="00E6152C"/>
    <w:rsid w:val="00E94070"/>
    <w:rsid w:val="00EF560F"/>
    <w:rsid w:val="00F27D35"/>
    <w:rsid w:val="00F46187"/>
    <w:rsid w:val="00F47238"/>
    <w:rsid w:val="00F86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AA9A0-3064-4FD7-A653-0EC21546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AD0D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57D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Page">
    <w:name w:val="ConsPlusTitlePage"/>
    <w:rsid w:val="005057D2"/>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1759B3"/>
    <w:pPr>
      <w:ind w:left="720"/>
      <w:contextualSpacing/>
    </w:pPr>
  </w:style>
  <w:style w:type="character" w:customStyle="1" w:styleId="20">
    <w:name w:val="Заголовок 2 Знак"/>
    <w:basedOn w:val="a0"/>
    <w:link w:val="2"/>
    <w:uiPriority w:val="9"/>
    <w:semiHidden/>
    <w:rsid w:val="00AD0D81"/>
    <w:rPr>
      <w:rFonts w:asciiTheme="majorHAnsi" w:eastAsiaTheme="majorEastAsia" w:hAnsiTheme="majorHAnsi" w:cstheme="majorBidi"/>
      <w:color w:val="2E74B5" w:themeColor="accent1" w:themeShade="BF"/>
      <w:sz w:val="26"/>
      <w:szCs w:val="26"/>
    </w:rPr>
  </w:style>
  <w:style w:type="paragraph" w:styleId="a4">
    <w:name w:val="Normal (Web)"/>
    <w:basedOn w:val="a"/>
    <w:uiPriority w:val="99"/>
    <w:semiHidden/>
    <w:unhideWhenUsed/>
    <w:rsid w:val="00AD0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D0D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706</Words>
  <Characters>4026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Гайсинская О.А.</dc:creator>
  <cp:keywords/>
  <dc:description/>
  <cp:lastModifiedBy>Кротова Г.Г.</cp:lastModifiedBy>
  <cp:revision>6</cp:revision>
  <dcterms:created xsi:type="dcterms:W3CDTF">2024-02-13T11:40:00Z</dcterms:created>
  <dcterms:modified xsi:type="dcterms:W3CDTF">2026-06-22T04:34:00Z</dcterms:modified>
</cp:coreProperties>
</file>