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527B6" w14:textId="77777777" w:rsidR="00BD68B7" w:rsidRDefault="0080525E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37312BC9" w14:textId="77777777" w:rsidR="00BD68B7" w:rsidRDefault="0080525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7469A079" w14:textId="77777777" w:rsidR="00BD68B7" w:rsidRDefault="00BD68B7">
      <w:pPr>
        <w:pStyle w:val="af3"/>
        <w:jc w:val="center"/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567"/>
        <w:gridCol w:w="1840"/>
        <w:gridCol w:w="567"/>
        <w:gridCol w:w="1841"/>
        <w:gridCol w:w="709"/>
        <w:gridCol w:w="4079"/>
      </w:tblGrid>
      <w:tr w:rsidR="00BD68B7" w14:paraId="107FFA17" w14:textId="77777777">
        <w:trPr>
          <w:trHeight w:val="520"/>
        </w:trPr>
        <w:tc>
          <w:tcPr>
            <w:tcW w:w="567" w:type="dxa"/>
            <w:vMerge w:val="restart"/>
            <w:vAlign w:val="center"/>
          </w:tcPr>
          <w:p w14:paraId="133E35B9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03" w:type="dxa"/>
            <w:gridSpan w:val="8"/>
            <w:vAlign w:val="center"/>
          </w:tcPr>
          <w:p w14:paraId="549FC61C" w14:textId="77777777" w:rsidR="00BD68B7" w:rsidRDefault="0080525E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BD68B7" w14:paraId="1FA36D48" w14:textId="77777777">
        <w:tc>
          <w:tcPr>
            <w:tcW w:w="567" w:type="dxa"/>
            <w:vMerge/>
            <w:vAlign w:val="center"/>
          </w:tcPr>
          <w:p w14:paraId="18A9F6A3" w14:textId="77777777" w:rsidR="00BD68B7" w:rsidRDefault="00BD68B7"/>
        </w:tc>
        <w:tc>
          <w:tcPr>
            <w:tcW w:w="709" w:type="dxa"/>
            <w:vAlign w:val="center"/>
          </w:tcPr>
          <w:p w14:paraId="4B677A1F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4" w:type="dxa"/>
            <w:gridSpan w:val="3"/>
          </w:tcPr>
          <w:p w14:paraId="5BC4C5DC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26E77785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18E0E0B1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0618A2B2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7A264992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29E16E1C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849FC9E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596D0812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14:paraId="46DB901A" w14:textId="77777777" w:rsidR="00BD68B7" w:rsidRDefault="008052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33" w:type="dxa"/>
            <w:gridSpan w:val="3"/>
            <w:vAlign w:val="center"/>
          </w:tcPr>
          <w:p w14:paraId="70340F0F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18329595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14:paraId="67A13497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14:paraId="2E6B7F4A" w14:textId="77777777" w:rsidR="00BD68B7" w:rsidRDefault="00BD68B7">
            <w:pPr>
              <w:pStyle w:val="af3"/>
              <w:rPr>
                <w:rFonts w:ascii="Times New Roman" w:hAnsi="Times New Roman" w:cs="Times New Roman"/>
              </w:rPr>
            </w:pPr>
          </w:p>
          <w:p w14:paraId="6CFF0C14" w14:textId="77777777" w:rsidR="00BD68B7" w:rsidRDefault="00BD68B7">
            <w:pPr>
              <w:pStyle w:val="af3"/>
              <w:rPr>
                <w:rFonts w:ascii="Times New Roman" w:hAnsi="Times New Roman" w:cs="Times New Roman"/>
              </w:rPr>
            </w:pPr>
          </w:p>
          <w:p w14:paraId="0F7F3F13" w14:textId="77777777" w:rsidR="00BD68B7" w:rsidRDefault="00BD68B7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BD68B7" w14:paraId="319AB58F" w14:textId="77777777">
        <w:trPr>
          <w:trHeight w:val="534"/>
        </w:trPr>
        <w:tc>
          <w:tcPr>
            <w:tcW w:w="567" w:type="dxa"/>
            <w:vMerge/>
          </w:tcPr>
          <w:p w14:paraId="5BA43188" w14:textId="77777777" w:rsidR="00BD68B7" w:rsidRDefault="00BD68B7"/>
        </w:tc>
        <w:tc>
          <w:tcPr>
            <w:tcW w:w="6803" w:type="dxa"/>
            <w:gridSpan w:val="4"/>
            <w:vAlign w:val="center"/>
          </w:tcPr>
          <w:p w14:paraId="450D0818" w14:textId="25C24EA3" w:rsidR="00BD68B7" w:rsidRPr="00164983" w:rsidRDefault="00164983" w:rsidP="009B5F1D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649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Департамент строительства, архитектуры и ЖКХ </w:t>
            </w:r>
            <w:r w:rsidR="0080525E" w:rsidRPr="001649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Администрация </w:t>
            </w:r>
            <w:r w:rsidR="00BC0FC9" w:rsidRPr="001649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7200" w:type="dxa"/>
            <w:gridSpan w:val="4"/>
            <w:vAlign w:val="center"/>
          </w:tcPr>
          <w:p w14:paraId="1FFC6AD2" w14:textId="6CF6C9B5" w:rsidR="00BD68B7" w:rsidRPr="00164983" w:rsidRDefault="00BC0FC9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bookmarkStart w:id="0" w:name="_Hlk199323735"/>
            <w:r w:rsidRPr="001649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Ханты-Мансийского района</w:t>
            </w:r>
            <w:bookmarkEnd w:id="0"/>
          </w:p>
        </w:tc>
      </w:tr>
      <w:tr w:rsidR="00BD68B7" w14:paraId="075D8618" w14:textId="77777777">
        <w:trPr>
          <w:trHeight w:val="389"/>
        </w:trPr>
        <w:tc>
          <w:tcPr>
            <w:tcW w:w="567" w:type="dxa"/>
            <w:vMerge/>
          </w:tcPr>
          <w:p w14:paraId="1733FC6E" w14:textId="77777777" w:rsidR="00BD68B7" w:rsidRDefault="00BD68B7"/>
        </w:tc>
        <w:tc>
          <w:tcPr>
            <w:tcW w:w="709" w:type="dxa"/>
          </w:tcPr>
          <w:p w14:paraId="4067B465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94" w:type="dxa"/>
            <w:gridSpan w:val="7"/>
            <w:vAlign w:val="center"/>
          </w:tcPr>
          <w:p w14:paraId="65805584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BD68B7" w14:paraId="6B9E2A7C" w14:textId="77777777">
        <w:trPr>
          <w:trHeight w:val="1067"/>
        </w:trPr>
        <w:tc>
          <w:tcPr>
            <w:tcW w:w="567" w:type="dxa"/>
            <w:vMerge/>
          </w:tcPr>
          <w:p w14:paraId="29EDF1BB" w14:textId="77777777" w:rsidR="00BD68B7" w:rsidRDefault="00BD68B7"/>
        </w:tc>
        <w:tc>
          <w:tcPr>
            <w:tcW w:w="14003" w:type="dxa"/>
            <w:gridSpan w:val="8"/>
          </w:tcPr>
          <w:p w14:paraId="285F5074" w14:textId="77777777" w:rsidR="00BD68B7" w:rsidRPr="00164983" w:rsidRDefault="00805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983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BD68B7" w14:paraId="3D44A4BD" w14:textId="77777777">
        <w:trPr>
          <w:trHeight w:val="415"/>
        </w:trPr>
        <w:tc>
          <w:tcPr>
            <w:tcW w:w="567" w:type="dxa"/>
            <w:vMerge w:val="restart"/>
            <w:vAlign w:val="center"/>
          </w:tcPr>
          <w:p w14:paraId="2DD0C7AA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03" w:type="dxa"/>
            <w:gridSpan w:val="8"/>
            <w:vAlign w:val="center"/>
          </w:tcPr>
          <w:p w14:paraId="3D889EE6" w14:textId="77777777" w:rsidR="00BD68B7" w:rsidRDefault="0080525E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BD68B7" w14:paraId="606FB0B5" w14:textId="77777777">
        <w:tc>
          <w:tcPr>
            <w:tcW w:w="567" w:type="dxa"/>
            <w:vMerge/>
          </w:tcPr>
          <w:p w14:paraId="0D70AF92" w14:textId="77777777" w:rsidR="00BD68B7" w:rsidRDefault="00BD68B7"/>
        </w:tc>
        <w:tc>
          <w:tcPr>
            <w:tcW w:w="709" w:type="dxa"/>
            <w:vAlign w:val="center"/>
          </w:tcPr>
          <w:p w14:paraId="370C1D66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5" w:type="dxa"/>
            <w:vAlign w:val="center"/>
          </w:tcPr>
          <w:p w14:paraId="66D0B615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  <w:vAlign w:val="center"/>
          </w:tcPr>
          <w:p w14:paraId="6FE63046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2" w:type="dxa"/>
            <w:gridSpan w:val="3"/>
            <w:vAlign w:val="center"/>
          </w:tcPr>
          <w:p w14:paraId="6CD6D5CD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08D51ABA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81" w:type="dxa"/>
            <w:vAlign w:val="center"/>
          </w:tcPr>
          <w:p w14:paraId="726F11C8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2A0A190C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d"/>
                <w:rFonts w:ascii="Times New Roman" w:hAnsi="Times New Roman" w:cs="Times New Roman"/>
              </w:rPr>
              <w:footnoteReference w:id="2"/>
            </w:r>
          </w:p>
        </w:tc>
      </w:tr>
      <w:tr w:rsidR="00BD68B7" w14:paraId="74FBAAC0" w14:textId="77777777">
        <w:trPr>
          <w:trHeight w:val="748"/>
        </w:trPr>
        <w:tc>
          <w:tcPr>
            <w:tcW w:w="567" w:type="dxa"/>
            <w:vMerge/>
          </w:tcPr>
          <w:p w14:paraId="37DAF74E" w14:textId="77777777" w:rsidR="00BD68B7" w:rsidRDefault="00BD68B7"/>
        </w:tc>
        <w:tc>
          <w:tcPr>
            <w:tcW w:w="4394" w:type="dxa"/>
            <w:gridSpan w:val="2"/>
            <w:vMerge w:val="restart"/>
            <w:vAlign w:val="center"/>
          </w:tcPr>
          <w:p w14:paraId="664E4639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eastAsia="Times New Roman" w:hAnsi="Times New Roman" w:cs="Times New Roman"/>
              </w:rPr>
              <w:t>Федеральный закон от 08.11.2007 № 257-ФЗ</w:t>
            </w:r>
          </w:p>
          <w:p w14:paraId="63E8DF35" w14:textId="77777777" w:rsidR="00BD68B7" w:rsidRDefault="0080525E">
            <w:pPr>
              <w:pStyle w:val="af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19" w:type="dxa"/>
            <w:gridSpan w:val="4"/>
            <w:vAlign w:val="center"/>
          </w:tcPr>
          <w:p w14:paraId="77C7E0AC" w14:textId="77777777" w:rsidR="00BD68B7" w:rsidRDefault="0080525E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Статья 17</w:t>
            </w:r>
          </w:p>
        </w:tc>
        <w:tc>
          <w:tcPr>
            <w:tcW w:w="4791" w:type="dxa"/>
            <w:gridSpan w:val="2"/>
          </w:tcPr>
          <w:p w14:paraId="4A032051" w14:textId="77777777" w:rsidR="00BD68B7" w:rsidRDefault="00BD68B7">
            <w:pPr>
              <w:pStyle w:val="af3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BD68B7" w14:paraId="76C89269" w14:textId="77777777">
        <w:trPr>
          <w:trHeight w:val="253"/>
        </w:trPr>
        <w:tc>
          <w:tcPr>
            <w:tcW w:w="567" w:type="dxa"/>
            <w:vMerge/>
          </w:tcPr>
          <w:p w14:paraId="75D27418" w14:textId="77777777" w:rsidR="00BD68B7" w:rsidRDefault="00BD68B7"/>
        </w:tc>
        <w:tc>
          <w:tcPr>
            <w:tcW w:w="4394" w:type="dxa"/>
            <w:gridSpan w:val="2"/>
            <w:vMerge w:val="restart"/>
            <w:vAlign w:val="center"/>
          </w:tcPr>
          <w:p w14:paraId="25BCAFBC" w14:textId="77777777" w:rsidR="00BD68B7" w:rsidRDefault="00BD68B7"/>
        </w:tc>
        <w:tc>
          <w:tcPr>
            <w:tcW w:w="4819" w:type="dxa"/>
            <w:gridSpan w:val="4"/>
            <w:vMerge w:val="restart"/>
            <w:vAlign w:val="center"/>
          </w:tcPr>
          <w:p w14:paraId="52AE923E" w14:textId="77777777" w:rsidR="00BD68B7" w:rsidRDefault="00BD68B7"/>
        </w:tc>
        <w:tc>
          <w:tcPr>
            <w:tcW w:w="4791" w:type="dxa"/>
            <w:gridSpan w:val="2"/>
          </w:tcPr>
          <w:p w14:paraId="0E2D314A" w14:textId="77777777" w:rsidR="00BD68B7" w:rsidRDefault="00BD68B7"/>
        </w:tc>
      </w:tr>
      <w:tr w:rsidR="00BD68B7" w14:paraId="157F6304" w14:textId="77777777">
        <w:trPr>
          <w:trHeight w:val="567"/>
        </w:trPr>
        <w:tc>
          <w:tcPr>
            <w:tcW w:w="567" w:type="dxa"/>
            <w:vMerge w:val="restart"/>
            <w:vAlign w:val="center"/>
          </w:tcPr>
          <w:p w14:paraId="07A5BEA2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14:paraId="7C8F0352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BD68B7" w14:paraId="3F39DD22" w14:textId="77777777">
        <w:tc>
          <w:tcPr>
            <w:tcW w:w="567" w:type="dxa"/>
            <w:vMerge/>
          </w:tcPr>
          <w:p w14:paraId="53065E9A" w14:textId="77777777" w:rsidR="00BD68B7" w:rsidRDefault="00BD68B7"/>
        </w:tc>
        <w:tc>
          <w:tcPr>
            <w:tcW w:w="709" w:type="dxa"/>
            <w:vMerge w:val="restart"/>
          </w:tcPr>
          <w:p w14:paraId="36682518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5" w:type="dxa"/>
            <w:vMerge w:val="restart"/>
          </w:tcPr>
          <w:p w14:paraId="5463D9D1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67" w:type="dxa"/>
            <w:vMerge w:val="restart"/>
          </w:tcPr>
          <w:p w14:paraId="15A80770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2" w:type="dxa"/>
            <w:gridSpan w:val="3"/>
            <w:vMerge w:val="restart"/>
          </w:tcPr>
          <w:p w14:paraId="6A32055D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4"/>
            </w:r>
          </w:p>
          <w:p w14:paraId="1C04AB09" w14:textId="77777777" w:rsidR="00BD68B7" w:rsidRDefault="00BD68B7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224179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81" w:type="dxa"/>
          </w:tcPr>
          <w:p w14:paraId="0F36AA8F" w14:textId="77777777" w:rsidR="00BD68B7" w:rsidRDefault="0080525E">
            <w:pPr>
              <w:pStyle w:val="af3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d"/>
                <w:rFonts w:ascii="Times New Roman" w:hAnsi="Times New Roman" w:cs="Times New Roman"/>
              </w:rPr>
              <w:footnoteReference w:id="5"/>
            </w:r>
          </w:p>
        </w:tc>
      </w:tr>
      <w:tr w:rsidR="00BD68B7" w14:paraId="4EC05CF6" w14:textId="77777777">
        <w:trPr>
          <w:trHeight w:val="1570"/>
        </w:trPr>
        <w:tc>
          <w:tcPr>
            <w:tcW w:w="567" w:type="dxa"/>
            <w:vMerge/>
          </w:tcPr>
          <w:p w14:paraId="29E52922" w14:textId="77777777" w:rsidR="00BD68B7" w:rsidRDefault="00BD68B7"/>
        </w:tc>
        <w:tc>
          <w:tcPr>
            <w:tcW w:w="4394" w:type="dxa"/>
            <w:gridSpan w:val="2"/>
            <w:vMerge w:val="restart"/>
          </w:tcPr>
          <w:p w14:paraId="5767D7A4" w14:textId="77777777" w:rsidR="00BD68B7" w:rsidRDefault="009B5F1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</w:t>
            </w:r>
            <w:r w:rsidR="0080525E">
              <w:rPr>
                <w:rFonts w:ascii="Times New Roman" w:hAnsi="Times New Roman" w:cs="Times New Roman"/>
              </w:rPr>
              <w:t xml:space="preserve"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      </w:r>
          </w:p>
          <w:p w14:paraId="45C883B2" w14:textId="6FDA386E" w:rsidR="00BD68B7" w:rsidRDefault="009B5F1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</w:t>
            </w:r>
            <w:r w:rsidR="0080525E">
              <w:rPr>
                <w:rFonts w:ascii="Times New Roman" w:hAnsi="Times New Roman" w:cs="Times New Roman"/>
              </w:rPr>
      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r w:rsidR="00F164E5">
              <w:rPr>
                <w:rFonts w:ascii="Times New Roman" w:hAnsi="Times New Roman" w:cs="Times New Roman"/>
              </w:rPr>
              <w:t>;</w:t>
            </w:r>
          </w:p>
          <w:p w14:paraId="0AD0C1BB" w14:textId="22749818" w:rsidR="00F164E5" w:rsidRPr="00F164E5" w:rsidRDefault="00F164E5" w:rsidP="00F164E5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164E5">
              <w:rPr>
                <w:rFonts w:ascii="Times New Roman" w:hAnsi="Times New Roman" w:cs="Times New Roman"/>
              </w:rPr>
              <w:t>)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  <w:r>
              <w:rPr>
                <w:rFonts w:ascii="Times New Roman" w:hAnsi="Times New Roman" w:cs="Times New Roman"/>
              </w:rPr>
              <w:t>.</w:t>
            </w:r>
            <w:r w:rsidRPr="00F164E5">
              <w:rPr>
                <w:rFonts w:ascii="Times New Roman" w:hAnsi="Times New Roman" w:cs="Times New Roman"/>
              </w:rPr>
              <w:t xml:space="preserve"> </w:t>
            </w:r>
          </w:p>
          <w:p w14:paraId="21B3D3CA" w14:textId="77777777" w:rsidR="00F164E5" w:rsidRDefault="00F164E5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  <w:p w14:paraId="38712AB1" w14:textId="77777777" w:rsidR="00BD68B7" w:rsidRDefault="00BD68B7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687F98C6" w14:textId="77777777" w:rsidR="00BD68B7" w:rsidRDefault="00BD68B7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19" w:type="dxa"/>
            <w:gridSpan w:val="4"/>
            <w:vMerge w:val="restart"/>
          </w:tcPr>
          <w:p w14:paraId="0214C0EB" w14:textId="77777777" w:rsidR="00BD68B7" w:rsidRDefault="0080525E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1.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91" w:type="dxa"/>
            <w:gridSpan w:val="2"/>
          </w:tcPr>
          <w:p w14:paraId="7139BACE" w14:textId="77777777" w:rsidR="00BD68B7" w:rsidRDefault="00BD68B7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D68B7" w14:paraId="1F282E9F" w14:textId="77777777">
        <w:trPr>
          <w:trHeight w:val="982"/>
        </w:trPr>
        <w:tc>
          <w:tcPr>
            <w:tcW w:w="567" w:type="dxa"/>
            <w:vMerge/>
          </w:tcPr>
          <w:p w14:paraId="44BB17F8" w14:textId="77777777" w:rsidR="00BD68B7" w:rsidRDefault="00BD68B7"/>
        </w:tc>
        <w:tc>
          <w:tcPr>
            <w:tcW w:w="4394" w:type="dxa"/>
            <w:gridSpan w:val="2"/>
            <w:vMerge/>
          </w:tcPr>
          <w:p w14:paraId="58934D53" w14:textId="77777777" w:rsidR="00BD68B7" w:rsidRDefault="00BD68B7"/>
        </w:tc>
        <w:tc>
          <w:tcPr>
            <w:tcW w:w="4819" w:type="dxa"/>
            <w:gridSpan w:val="4"/>
            <w:vMerge w:val="restart"/>
          </w:tcPr>
          <w:p w14:paraId="260A46E4" w14:textId="77777777" w:rsidR="00BD68B7" w:rsidRDefault="0080525E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2. Здания, помещения, сооружения, линейные объекты, территории, оборудование, устройства, предметы, транспортные средства и другие объекты, которыми контролируемые лица владеют и (или) пользуются и к которым предъявляются обязательные требования</w:t>
            </w:r>
          </w:p>
        </w:tc>
        <w:tc>
          <w:tcPr>
            <w:tcW w:w="4791" w:type="dxa"/>
            <w:gridSpan w:val="2"/>
          </w:tcPr>
          <w:p w14:paraId="734E5538" w14:textId="77777777" w:rsidR="00BD68B7" w:rsidRDefault="00BD68B7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D68B7" w14:paraId="1644059D" w14:textId="77777777" w:rsidTr="00F164E5">
        <w:trPr>
          <w:trHeight w:val="1034"/>
        </w:trPr>
        <w:tc>
          <w:tcPr>
            <w:tcW w:w="567" w:type="dxa"/>
            <w:vMerge/>
          </w:tcPr>
          <w:p w14:paraId="6391452E" w14:textId="77777777" w:rsidR="00BD68B7" w:rsidRDefault="00BD68B7"/>
        </w:tc>
        <w:tc>
          <w:tcPr>
            <w:tcW w:w="4394" w:type="dxa"/>
            <w:gridSpan w:val="2"/>
            <w:vMerge/>
          </w:tcPr>
          <w:p w14:paraId="5717D11F" w14:textId="77777777" w:rsidR="00BD68B7" w:rsidRDefault="00BD68B7"/>
        </w:tc>
        <w:tc>
          <w:tcPr>
            <w:tcW w:w="4819" w:type="dxa"/>
            <w:gridSpan w:val="4"/>
          </w:tcPr>
          <w:p w14:paraId="47BE832E" w14:textId="5BF1F184" w:rsidR="00BD68B7" w:rsidRDefault="00F164E5" w:rsidP="00F164E5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164E5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91" w:type="dxa"/>
            <w:gridSpan w:val="2"/>
            <w:vMerge w:val="restart"/>
          </w:tcPr>
          <w:p w14:paraId="72BB4B48" w14:textId="77777777" w:rsidR="00BD68B7" w:rsidRDefault="00BD68B7">
            <w:pPr>
              <w:pStyle w:val="af3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D68B7" w14:paraId="0C67F53A" w14:textId="77777777">
        <w:trPr>
          <w:trHeight w:val="1842"/>
        </w:trPr>
        <w:tc>
          <w:tcPr>
            <w:tcW w:w="567" w:type="dxa"/>
            <w:vMerge/>
          </w:tcPr>
          <w:p w14:paraId="4A9826A2" w14:textId="77777777" w:rsidR="00BD68B7" w:rsidRDefault="00BD68B7"/>
        </w:tc>
        <w:tc>
          <w:tcPr>
            <w:tcW w:w="4394" w:type="dxa"/>
            <w:gridSpan w:val="2"/>
            <w:vMerge/>
          </w:tcPr>
          <w:p w14:paraId="4A0F0372" w14:textId="77777777" w:rsidR="00BD68B7" w:rsidRDefault="00BD68B7"/>
        </w:tc>
        <w:tc>
          <w:tcPr>
            <w:tcW w:w="4819" w:type="dxa"/>
            <w:gridSpan w:val="4"/>
          </w:tcPr>
          <w:p w14:paraId="3D040A26" w14:textId="77777777" w:rsidR="00BD68B7" w:rsidRDefault="00BD68B7"/>
        </w:tc>
        <w:tc>
          <w:tcPr>
            <w:tcW w:w="4791" w:type="dxa"/>
            <w:gridSpan w:val="2"/>
          </w:tcPr>
          <w:p w14:paraId="5F06368F" w14:textId="77777777" w:rsidR="00BD68B7" w:rsidRDefault="00BD68B7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D68B7" w14:paraId="44A11251" w14:textId="77777777">
        <w:trPr>
          <w:trHeight w:val="613"/>
        </w:trPr>
        <w:tc>
          <w:tcPr>
            <w:tcW w:w="567" w:type="dxa"/>
            <w:vMerge w:val="restart"/>
            <w:vAlign w:val="center"/>
          </w:tcPr>
          <w:p w14:paraId="0B376D6B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14:paraId="686D4FF3" w14:textId="77777777" w:rsidR="00BD68B7" w:rsidRDefault="0080525E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BD68B7" w14:paraId="13FC8323" w14:textId="77777777">
        <w:trPr>
          <w:trHeight w:val="415"/>
        </w:trPr>
        <w:tc>
          <w:tcPr>
            <w:tcW w:w="567" w:type="dxa"/>
            <w:vMerge/>
          </w:tcPr>
          <w:p w14:paraId="72487C9F" w14:textId="77777777" w:rsidR="00BD68B7" w:rsidRDefault="00BD68B7"/>
        </w:tc>
        <w:tc>
          <w:tcPr>
            <w:tcW w:w="709" w:type="dxa"/>
            <w:vMerge w:val="restart"/>
          </w:tcPr>
          <w:p w14:paraId="61E1DFBD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14:paraId="315138CB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6"/>
            </w:r>
          </w:p>
        </w:tc>
      </w:tr>
      <w:tr w:rsidR="00BD68B7" w14:paraId="73A0E7F3" w14:textId="77777777">
        <w:trPr>
          <w:trHeight w:val="253"/>
        </w:trPr>
        <w:tc>
          <w:tcPr>
            <w:tcW w:w="567" w:type="dxa"/>
            <w:vMerge/>
          </w:tcPr>
          <w:p w14:paraId="593FA2D1" w14:textId="77777777" w:rsidR="00BD68B7" w:rsidRDefault="00BD68B7"/>
        </w:tc>
        <w:tc>
          <w:tcPr>
            <w:tcW w:w="14003" w:type="dxa"/>
            <w:gridSpan w:val="8"/>
            <w:vMerge w:val="restart"/>
          </w:tcPr>
          <w:p w14:paraId="7956023D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 год</w:t>
            </w:r>
          </w:p>
        </w:tc>
      </w:tr>
      <w:tr w:rsidR="00BD68B7" w14:paraId="34428CD2" w14:textId="77777777">
        <w:trPr>
          <w:trHeight w:val="456"/>
        </w:trPr>
        <w:tc>
          <w:tcPr>
            <w:tcW w:w="567" w:type="dxa"/>
            <w:vMerge/>
          </w:tcPr>
          <w:p w14:paraId="7EEF56FA" w14:textId="77777777" w:rsidR="00BD68B7" w:rsidRDefault="00BD68B7"/>
        </w:tc>
        <w:tc>
          <w:tcPr>
            <w:tcW w:w="709" w:type="dxa"/>
            <w:vMerge w:val="restart"/>
          </w:tcPr>
          <w:p w14:paraId="3EE89ED8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14:paraId="7D229F34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7"/>
            </w:r>
          </w:p>
        </w:tc>
      </w:tr>
      <w:tr w:rsidR="00BD68B7" w14:paraId="3CC0428E" w14:textId="77777777">
        <w:trPr>
          <w:trHeight w:val="253"/>
        </w:trPr>
        <w:tc>
          <w:tcPr>
            <w:tcW w:w="567" w:type="dxa"/>
            <w:vMerge/>
          </w:tcPr>
          <w:p w14:paraId="782122BC" w14:textId="77777777" w:rsidR="00BD68B7" w:rsidRDefault="00BD68B7"/>
        </w:tc>
        <w:tc>
          <w:tcPr>
            <w:tcW w:w="14003" w:type="dxa"/>
            <w:gridSpan w:val="8"/>
            <w:vMerge w:val="restart"/>
          </w:tcPr>
          <w:p w14:paraId="2A3E8D52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N = A&gt;= 2</w:t>
            </w:r>
          </w:p>
        </w:tc>
      </w:tr>
      <w:tr w:rsidR="00BD68B7" w14:paraId="189FF0BB" w14:textId="77777777">
        <w:trPr>
          <w:trHeight w:val="497"/>
        </w:trPr>
        <w:tc>
          <w:tcPr>
            <w:tcW w:w="567" w:type="dxa"/>
            <w:vMerge/>
          </w:tcPr>
          <w:p w14:paraId="36C60B2B" w14:textId="77777777" w:rsidR="00BD68B7" w:rsidRDefault="00BD68B7"/>
        </w:tc>
        <w:tc>
          <w:tcPr>
            <w:tcW w:w="709" w:type="dxa"/>
            <w:vMerge w:val="restart"/>
          </w:tcPr>
          <w:p w14:paraId="66A73255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94" w:type="dxa"/>
            <w:gridSpan w:val="7"/>
            <w:vMerge w:val="restart"/>
            <w:vAlign w:val="center"/>
          </w:tcPr>
          <w:p w14:paraId="3742CC2F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BD68B7" w14:paraId="7D04D247" w14:textId="77777777">
        <w:trPr>
          <w:trHeight w:val="253"/>
        </w:trPr>
        <w:tc>
          <w:tcPr>
            <w:tcW w:w="567" w:type="dxa"/>
            <w:vMerge/>
          </w:tcPr>
          <w:p w14:paraId="4AE2FE9D" w14:textId="77777777" w:rsidR="00BD68B7" w:rsidRDefault="00BD68B7"/>
        </w:tc>
        <w:tc>
          <w:tcPr>
            <w:tcW w:w="709" w:type="dxa"/>
            <w:vMerge w:val="restart"/>
          </w:tcPr>
          <w:p w14:paraId="014EAE39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5" w:type="dxa"/>
            <w:vMerge w:val="restart"/>
          </w:tcPr>
          <w:p w14:paraId="427E6460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567" w:type="dxa"/>
            <w:vMerge w:val="restart"/>
          </w:tcPr>
          <w:p w14:paraId="05DD7C0A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2" w:type="dxa"/>
            <w:gridSpan w:val="3"/>
            <w:vMerge w:val="restart"/>
          </w:tcPr>
          <w:p w14:paraId="1CEC3D50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14:paraId="2DF8E9F3" w14:textId="77777777" w:rsidR="00BD68B7" w:rsidRDefault="008052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81" w:type="dxa"/>
            <w:vMerge w:val="restart"/>
          </w:tcPr>
          <w:p w14:paraId="4133D87C" w14:textId="77777777" w:rsidR="00BD68B7" w:rsidRDefault="0080525E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0"/>
            </w:r>
          </w:p>
        </w:tc>
      </w:tr>
      <w:tr w:rsidR="00BD68B7" w14:paraId="00957A5E" w14:textId="77777777">
        <w:trPr>
          <w:trHeight w:val="1052"/>
        </w:trPr>
        <w:tc>
          <w:tcPr>
            <w:tcW w:w="567" w:type="dxa"/>
            <w:vMerge/>
          </w:tcPr>
          <w:p w14:paraId="3D03E7B4" w14:textId="77777777" w:rsidR="00BD68B7" w:rsidRDefault="00BD68B7"/>
        </w:tc>
        <w:tc>
          <w:tcPr>
            <w:tcW w:w="4394" w:type="dxa"/>
            <w:gridSpan w:val="2"/>
            <w:vMerge w:val="restart"/>
          </w:tcPr>
          <w:p w14:paraId="59DCAC3F" w14:textId="77777777" w:rsidR="00BD68B7" w:rsidRDefault="00BD68B7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14:paraId="569969D2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</w:p>
          <w:p w14:paraId="2AAB4C7C" w14:textId="77777777" w:rsidR="00F164E5" w:rsidRDefault="00F164E5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78EE5EB" w14:textId="77777777" w:rsidR="00F164E5" w:rsidRDefault="00F164E5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76AE242" w14:textId="77777777" w:rsidR="00F164E5" w:rsidRDefault="00F164E5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897B3E0" w14:textId="77777777" w:rsidR="00F164E5" w:rsidRDefault="00F164E5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  <w:p w14:paraId="359577A4" w14:textId="421B9E61" w:rsidR="00F164E5" w:rsidRDefault="00F164E5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</w:p>
          <w:p w14:paraId="01C8CE26" w14:textId="0E0D76DB" w:rsidR="00F164E5" w:rsidRPr="00F164E5" w:rsidRDefault="00F164E5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</w:p>
        </w:tc>
        <w:tc>
          <w:tcPr>
            <w:tcW w:w="4819" w:type="dxa"/>
            <w:gridSpan w:val="4"/>
            <w:vMerge w:val="restart"/>
          </w:tcPr>
          <w:p w14:paraId="0F993271" w14:textId="77777777" w:rsidR="00BD68B7" w:rsidRDefault="00BD68B7">
            <w:pPr>
              <w:pStyle w:val="af3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14:paraId="0330DA18" w14:textId="780ABAD4" w:rsidR="00BD68B7" w:rsidRDefault="0080525E">
            <w:pPr>
              <w:pStyle w:val="af3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Случаи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  <w:p w14:paraId="4EAE4157" w14:textId="77777777" w:rsidR="00F164E5" w:rsidRDefault="00F164E5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  <w:p w14:paraId="042B8850" w14:textId="5DBA638C" w:rsidR="00BD68B7" w:rsidRPr="00F164E5" w:rsidRDefault="00F164E5">
            <w:pPr>
              <w:pStyle w:val="af3"/>
              <w:rPr>
                <w:rFonts w:ascii="Times New Roman" w:hAnsi="Times New Roman" w:cs="Times New Roman"/>
                <w:highlight w:val="white"/>
              </w:rPr>
            </w:pPr>
            <w:r w:rsidRPr="00F164E5">
              <w:rPr>
                <w:rFonts w:ascii="Times New Roman" w:hAnsi="Times New Roman" w:cs="Times New Roman"/>
                <w:i/>
                <w:iCs/>
                <w:highlight w:val="white"/>
              </w:rPr>
              <w:t>Показатель</w:t>
            </w:r>
          </w:p>
        </w:tc>
        <w:tc>
          <w:tcPr>
            <w:tcW w:w="4791" w:type="dxa"/>
            <w:gridSpan w:val="2"/>
            <w:vMerge w:val="restart"/>
          </w:tcPr>
          <w:p w14:paraId="15192462" w14:textId="77777777" w:rsidR="00BD68B7" w:rsidRDefault="0080525E">
            <w:r>
              <w:rPr>
                <w:rFonts w:ascii="Times New Roman" w:eastAsia="Times New Roman" w:hAnsi="Times New Roman" w:cs="Times New Roman"/>
              </w:rPr>
              <w:t>Официальный интернет-сайт МВД России (http://stat.gibdd.ru/)</w:t>
            </w:r>
          </w:p>
        </w:tc>
      </w:tr>
      <w:tr w:rsidR="00BD68B7" w14:paraId="021946A0" w14:textId="77777777">
        <w:trPr>
          <w:trHeight w:val="1236"/>
        </w:trPr>
        <w:tc>
          <w:tcPr>
            <w:tcW w:w="567" w:type="dxa"/>
            <w:vMerge w:val="restart"/>
            <w:vAlign w:val="center"/>
          </w:tcPr>
          <w:p w14:paraId="01842A47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14:paraId="46569184" w14:textId="77777777" w:rsidR="00BD68B7" w:rsidRDefault="0080525E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BD68B7" w14:paraId="12BA398D" w14:textId="77777777">
        <w:trPr>
          <w:trHeight w:val="1052"/>
        </w:trPr>
        <w:tc>
          <w:tcPr>
            <w:tcW w:w="567" w:type="dxa"/>
            <w:vMerge/>
            <w:vAlign w:val="center"/>
          </w:tcPr>
          <w:p w14:paraId="1EB72A84" w14:textId="77777777" w:rsidR="00BD68B7" w:rsidRDefault="00BD68B7"/>
        </w:tc>
        <w:tc>
          <w:tcPr>
            <w:tcW w:w="709" w:type="dxa"/>
            <w:vMerge w:val="restart"/>
            <w:vAlign w:val="center"/>
          </w:tcPr>
          <w:p w14:paraId="73E6BAE1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14:paraId="759C5208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14:paraId="0903E656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d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91" w:type="dxa"/>
            <w:gridSpan w:val="2"/>
            <w:vMerge w:val="restart"/>
          </w:tcPr>
          <w:p w14:paraId="75A8143B" w14:textId="77777777" w:rsidR="00BD68B7" w:rsidRDefault="00BD68B7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  <w:p w14:paraId="4C1D14F8" w14:textId="77777777" w:rsidR="00BD68B7" w:rsidRDefault="008052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Единого государственного реестра автомобильных дорог (ФГИС СКДФ)</w:t>
            </w:r>
          </w:p>
        </w:tc>
      </w:tr>
      <w:tr w:rsidR="00BD68B7" w14:paraId="5E1120EE" w14:textId="77777777">
        <w:trPr>
          <w:trHeight w:val="1062"/>
        </w:trPr>
        <w:tc>
          <w:tcPr>
            <w:tcW w:w="567" w:type="dxa"/>
            <w:vMerge/>
          </w:tcPr>
          <w:p w14:paraId="0D3E8654" w14:textId="77777777" w:rsidR="00BD68B7" w:rsidRDefault="00BD68B7"/>
        </w:tc>
        <w:tc>
          <w:tcPr>
            <w:tcW w:w="709" w:type="dxa"/>
            <w:vMerge w:val="restart"/>
            <w:vAlign w:val="center"/>
          </w:tcPr>
          <w:p w14:paraId="32B40F85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14:paraId="40C43456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d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91" w:type="dxa"/>
            <w:gridSpan w:val="2"/>
            <w:vMerge w:val="restart"/>
          </w:tcPr>
          <w:p w14:paraId="4218AAF9" w14:textId="77777777" w:rsidR="00BD68B7" w:rsidRDefault="0080525E">
            <w:r>
              <w:rPr>
                <w:rFonts w:ascii="Times New Roman" w:hAnsi="Times New Roman" w:cs="Times New Roman"/>
              </w:rPr>
              <w:t>Сведения, полученные в порядке межведомственного информационного взаимодействия и (или) сведения, информация с о</w:t>
            </w:r>
            <w:r>
              <w:rPr>
                <w:rFonts w:ascii="Times New Roman" w:eastAsia="Times New Roman" w:hAnsi="Times New Roman" w:cs="Times New Roman"/>
              </w:rPr>
              <w:t>фициального интернет-сайта МВД России (http://stat.gibdd.ru/)</w:t>
            </w:r>
          </w:p>
          <w:p w14:paraId="4763E33B" w14:textId="77777777" w:rsidR="00BD68B7" w:rsidRDefault="00BD68B7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BD68B7" w14:paraId="79C5E2C1" w14:textId="77777777">
        <w:trPr>
          <w:trHeight w:val="1052"/>
        </w:trPr>
        <w:tc>
          <w:tcPr>
            <w:tcW w:w="567" w:type="dxa"/>
            <w:vMerge/>
          </w:tcPr>
          <w:p w14:paraId="522923C6" w14:textId="77777777" w:rsidR="00BD68B7" w:rsidRDefault="00BD68B7"/>
        </w:tc>
        <w:tc>
          <w:tcPr>
            <w:tcW w:w="709" w:type="dxa"/>
            <w:vMerge w:val="restart"/>
            <w:vAlign w:val="center"/>
          </w:tcPr>
          <w:p w14:paraId="0F4E508E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14:paraId="4A750119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14:paraId="05B7E7B0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d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91" w:type="dxa"/>
            <w:gridSpan w:val="2"/>
            <w:vMerge w:val="restart"/>
          </w:tcPr>
          <w:p w14:paraId="7B4008FA" w14:textId="0D41CCC9" w:rsidR="00BD68B7" w:rsidRDefault="0080525E">
            <w:pPr>
              <w:pStyle w:val="af3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наблюдения за соблюдением обязательных требований</w:t>
            </w:r>
            <w:r w:rsidR="008E0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2A547F1" w14:textId="3059F012" w:rsidR="00BD68B7" w:rsidRDefault="0080525E">
            <w:pPr>
              <w:pStyle w:val="af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о проведении обязательного профилактического визита</w:t>
            </w:r>
            <w:r w:rsidR="008E0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BD68B7" w14:paraId="2C4E357A" w14:textId="77777777">
        <w:trPr>
          <w:trHeight w:val="1052"/>
        </w:trPr>
        <w:tc>
          <w:tcPr>
            <w:tcW w:w="567" w:type="dxa"/>
            <w:vMerge/>
          </w:tcPr>
          <w:p w14:paraId="37991022" w14:textId="77777777" w:rsidR="00BD68B7" w:rsidRDefault="00BD68B7"/>
        </w:tc>
        <w:tc>
          <w:tcPr>
            <w:tcW w:w="709" w:type="dxa"/>
            <w:vMerge w:val="restart"/>
            <w:vAlign w:val="center"/>
          </w:tcPr>
          <w:p w14:paraId="060CB24F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14:paraId="30213EE4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14:paraId="06768188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91" w:type="dxa"/>
            <w:gridSpan w:val="2"/>
            <w:vMerge w:val="restart"/>
          </w:tcPr>
          <w:p w14:paraId="0B53E393" w14:textId="77777777" w:rsidR="00BD68B7" w:rsidRDefault="00BD68B7"/>
        </w:tc>
      </w:tr>
      <w:tr w:rsidR="00BD68B7" w14:paraId="116E06BB" w14:textId="77777777">
        <w:trPr>
          <w:trHeight w:val="567"/>
        </w:trPr>
        <w:tc>
          <w:tcPr>
            <w:tcW w:w="567" w:type="dxa"/>
            <w:vMerge w:val="restart"/>
            <w:vAlign w:val="center"/>
          </w:tcPr>
          <w:p w14:paraId="4F665034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003" w:type="dxa"/>
            <w:gridSpan w:val="8"/>
            <w:vMerge w:val="restart"/>
            <w:vAlign w:val="center"/>
          </w:tcPr>
          <w:p w14:paraId="231FAE4A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BD68B7" w14:paraId="0F60AAD8" w14:textId="77777777">
        <w:trPr>
          <w:trHeight w:val="802"/>
        </w:trPr>
        <w:tc>
          <w:tcPr>
            <w:tcW w:w="567" w:type="dxa"/>
            <w:vMerge/>
          </w:tcPr>
          <w:p w14:paraId="4504F01A" w14:textId="77777777" w:rsidR="00BD68B7" w:rsidRDefault="00BD68B7"/>
        </w:tc>
        <w:tc>
          <w:tcPr>
            <w:tcW w:w="709" w:type="dxa"/>
            <w:vMerge w:val="restart"/>
            <w:vAlign w:val="center"/>
          </w:tcPr>
          <w:p w14:paraId="697BE9D0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14:paraId="51C5BEA2" w14:textId="77777777" w:rsidR="00BD68B7" w:rsidRDefault="008052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d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14:paraId="2A2F202C" w14:textId="44B338C7" w:rsidR="00BD68B7" w:rsidRDefault="00F27B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05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нспекционный визит;</w:t>
            </w:r>
          </w:p>
          <w:p w14:paraId="6CF21139" w14:textId="55469F42" w:rsidR="00BD68B7" w:rsidRDefault="00F27B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05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окументарная проверка;</w:t>
            </w:r>
          </w:p>
          <w:p w14:paraId="1D8B9E5C" w14:textId="5E3F269F" w:rsidR="00BD68B7" w:rsidRDefault="00F27B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05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ыездная проверка.</w:t>
            </w:r>
          </w:p>
          <w:p w14:paraId="10470392" w14:textId="77777777" w:rsidR="00BD68B7" w:rsidRDefault="00BD68B7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BD68B7" w14:paraId="23F233EC" w14:textId="77777777">
        <w:trPr>
          <w:trHeight w:val="879"/>
        </w:trPr>
        <w:tc>
          <w:tcPr>
            <w:tcW w:w="567" w:type="dxa"/>
            <w:vMerge/>
          </w:tcPr>
          <w:p w14:paraId="0A86D9CB" w14:textId="77777777" w:rsidR="00BD68B7" w:rsidRDefault="00BD68B7"/>
        </w:tc>
        <w:tc>
          <w:tcPr>
            <w:tcW w:w="709" w:type="dxa"/>
            <w:vMerge w:val="restart"/>
            <w:vAlign w:val="center"/>
          </w:tcPr>
          <w:p w14:paraId="725DF27F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4" w:type="dxa"/>
            <w:gridSpan w:val="5"/>
            <w:vMerge w:val="restart"/>
            <w:vAlign w:val="center"/>
          </w:tcPr>
          <w:p w14:paraId="192CE35B" w14:textId="77777777" w:rsidR="00BD68B7" w:rsidRDefault="0080525E">
            <w:pPr>
              <w:pStyle w:val="af3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91" w:type="dxa"/>
            <w:gridSpan w:val="2"/>
            <w:vMerge w:val="restart"/>
            <w:vAlign w:val="center"/>
          </w:tcPr>
          <w:p w14:paraId="6A1ADF37" w14:textId="77777777" w:rsidR="00BD68B7" w:rsidRDefault="006D5D76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D68B7" w14:paraId="2423571F" w14:textId="77777777">
        <w:trPr>
          <w:trHeight w:val="1124"/>
        </w:trPr>
        <w:tc>
          <w:tcPr>
            <w:tcW w:w="567" w:type="dxa"/>
            <w:vMerge/>
          </w:tcPr>
          <w:p w14:paraId="1DBEB0A4" w14:textId="77777777" w:rsidR="00BD68B7" w:rsidRDefault="00BD68B7"/>
        </w:tc>
        <w:tc>
          <w:tcPr>
            <w:tcW w:w="709" w:type="dxa"/>
            <w:vAlign w:val="center"/>
          </w:tcPr>
          <w:p w14:paraId="378B3721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4" w:type="dxa"/>
            <w:gridSpan w:val="5"/>
          </w:tcPr>
          <w:p w14:paraId="72CEC5A0" w14:textId="77777777" w:rsidR="00BD68B7" w:rsidRDefault="0080525E">
            <w:pPr>
              <w:pStyle w:val="af3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14:paraId="018086C3" w14:textId="77777777" w:rsidR="00BD68B7" w:rsidRDefault="0080525E">
            <w:pPr>
              <w:pStyle w:val="af3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3ABE8F3A" w14:textId="77777777" w:rsidR="00BD68B7" w:rsidRDefault="008052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d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91" w:type="dxa"/>
            <w:gridSpan w:val="2"/>
            <w:vAlign w:val="center"/>
          </w:tcPr>
          <w:p w14:paraId="3B897A3D" w14:textId="77777777" w:rsidR="00BD68B7" w:rsidRDefault="006D5D76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62759F91" w14:textId="77777777" w:rsidR="00F164E5" w:rsidRDefault="00F164E5" w:rsidP="00F164E5">
      <w:pPr>
        <w:pStyle w:val="af3"/>
        <w:jc w:val="right"/>
        <w:rPr>
          <w:rFonts w:ascii="Times New Roman" w:hAnsi="Times New Roman" w:cs="Times New Roman"/>
          <w:b/>
          <w:bCs/>
        </w:rPr>
      </w:pPr>
    </w:p>
    <w:p w14:paraId="5EA768A7" w14:textId="77777777" w:rsidR="00F164E5" w:rsidRDefault="00F164E5" w:rsidP="00F164E5">
      <w:pPr>
        <w:pStyle w:val="af3"/>
        <w:jc w:val="right"/>
        <w:rPr>
          <w:rFonts w:ascii="Times New Roman" w:hAnsi="Times New Roman" w:cs="Times New Roman"/>
          <w:b/>
          <w:bCs/>
        </w:rPr>
      </w:pPr>
    </w:p>
    <w:p w14:paraId="5EC07902" w14:textId="5577593D" w:rsidR="00F164E5" w:rsidRPr="00F164E5" w:rsidRDefault="00F164E5" w:rsidP="00F164E5">
      <w:pPr>
        <w:pStyle w:val="af3"/>
        <w:jc w:val="right"/>
        <w:rPr>
          <w:rFonts w:ascii="Times New Roman" w:hAnsi="Times New Roman" w:cs="Times New Roman"/>
          <w:b/>
          <w:bCs/>
        </w:rPr>
      </w:pPr>
      <w:r w:rsidRPr="00F164E5">
        <w:rPr>
          <w:rFonts w:ascii="Times New Roman" w:hAnsi="Times New Roman" w:cs="Times New Roman"/>
          <w:b/>
          <w:bCs/>
        </w:rPr>
        <w:lastRenderedPageBreak/>
        <w:t>Паспорт подготовлен:</w:t>
      </w:r>
    </w:p>
    <w:p w14:paraId="678F5DDE" w14:textId="77777777" w:rsidR="00F164E5" w:rsidRDefault="00F164E5" w:rsidP="00F164E5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27A55F7D" w14:textId="337D4366" w:rsidR="00F164E5" w:rsidRDefault="00F164E5" w:rsidP="00F164E5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Вихарева Алена Сергеевна</w:t>
      </w:r>
    </w:p>
    <w:p w14:paraId="0E4D0239" w14:textId="77777777" w:rsidR="00F164E5" w:rsidRDefault="00F164E5" w:rsidP="00F164E5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3B5B06F2" w14:textId="4E3AAA9F" w:rsidR="00F164E5" w:rsidRDefault="00F164E5" w:rsidP="00F164E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u w:val="single"/>
        </w:rPr>
        <w:t xml:space="preserve"> 8(3467) 33-24-76 (доб. 313)</w:t>
      </w:r>
    </w:p>
    <w:p w14:paraId="02C0D4F1" w14:textId="5B350B9B" w:rsidR="0059114A" w:rsidRDefault="0059114A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</w:p>
    <w:p w14:paraId="1D0B140D" w14:textId="77777777" w:rsidR="0059114A" w:rsidRDefault="0059114A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</w:p>
    <w:p w14:paraId="6DA314BD" w14:textId="77777777" w:rsidR="0059114A" w:rsidRDefault="0059114A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</w:p>
    <w:p w14:paraId="0184B589" w14:textId="77777777" w:rsidR="0059114A" w:rsidRDefault="0059114A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</w:p>
    <w:p w14:paraId="4E395B38" w14:textId="31AF5C07" w:rsidR="00BD68B7" w:rsidRDefault="00BD68B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sectPr w:rsidR="00BD68B7" w:rsidSect="00BD68B7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27A1D" w14:textId="77777777" w:rsidR="00772B10" w:rsidRDefault="00772B10">
      <w:pPr>
        <w:spacing w:after="0" w:line="240" w:lineRule="auto"/>
      </w:pPr>
      <w:r>
        <w:separator/>
      </w:r>
    </w:p>
  </w:endnote>
  <w:endnote w:type="continuationSeparator" w:id="0">
    <w:p w14:paraId="189A244C" w14:textId="77777777" w:rsidR="00772B10" w:rsidRDefault="0077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31E5C" w14:textId="77777777" w:rsidR="00772B10" w:rsidRDefault="00772B10">
      <w:pPr>
        <w:spacing w:after="0" w:line="240" w:lineRule="auto"/>
      </w:pPr>
      <w:r>
        <w:separator/>
      </w:r>
    </w:p>
  </w:footnote>
  <w:footnote w:type="continuationSeparator" w:id="0">
    <w:p w14:paraId="62ECCA73" w14:textId="77777777" w:rsidR="00772B10" w:rsidRDefault="00772B10">
      <w:pPr>
        <w:spacing w:after="0" w:line="240" w:lineRule="auto"/>
      </w:pPr>
      <w:r>
        <w:continuationSeparator/>
      </w:r>
    </w:p>
  </w:footnote>
  <w:footnote w:id="1">
    <w:p w14:paraId="26127D68" w14:textId="77777777" w:rsidR="00BD68B7" w:rsidRDefault="0080525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2E61C06B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771FA734" w14:textId="77777777" w:rsidR="00BD68B7" w:rsidRDefault="0080525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145E6A08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05167D5E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AD42510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479EAD34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2D678E4A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78CA8405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0C37BD8A" w14:textId="77777777" w:rsidR="00BD68B7" w:rsidRDefault="0080525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516F0537" w14:textId="77777777" w:rsidR="00BD68B7" w:rsidRDefault="0080525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2B27DDA8" w14:textId="77777777" w:rsidR="00BD68B7" w:rsidRDefault="0080525E">
      <w:pPr>
        <w:pStyle w:val="ab"/>
        <w:jc w:val="both"/>
        <w:rPr>
          <w:rFonts w:ascii="Times New Roman" w:hAnsi="Times New Roman" w:cs="Times New Roman"/>
          <w:szCs w:val="18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36F453B" w14:textId="77777777" w:rsidR="00BD68B7" w:rsidRDefault="0080525E">
      <w:pPr>
        <w:pStyle w:val="af3"/>
        <w:jc w:val="both"/>
        <w:rPr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4EBFC20C" w14:textId="77777777" w:rsidR="00BD68B7" w:rsidRDefault="0080525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D84297E" w14:textId="77777777" w:rsidR="00BD68B7" w:rsidRDefault="0080525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238862A" w14:textId="77777777" w:rsidR="00BD68B7" w:rsidRDefault="0080525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0D7FC65D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7"/>
    <w:rsid w:val="00164983"/>
    <w:rsid w:val="00222E05"/>
    <w:rsid w:val="0059114A"/>
    <w:rsid w:val="00635E74"/>
    <w:rsid w:val="006D5D76"/>
    <w:rsid w:val="00772B10"/>
    <w:rsid w:val="007B5465"/>
    <w:rsid w:val="0080525E"/>
    <w:rsid w:val="008E0683"/>
    <w:rsid w:val="009B5F1D"/>
    <w:rsid w:val="00BC0FC9"/>
    <w:rsid w:val="00BD68B7"/>
    <w:rsid w:val="00F164E5"/>
    <w:rsid w:val="00F2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A0B1"/>
  <w15:docId w15:val="{614C1067-80AC-4B30-8700-8EF7C4B0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D68B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D68B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D68B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D68B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D68B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D68B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D68B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D68B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D68B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BD68B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D68B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BD68B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D68B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BD68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D68B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BD68B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D68B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D68B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D68B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D68B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D68B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D68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D68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D68B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D68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D68B7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D68B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BD68B7"/>
  </w:style>
  <w:style w:type="paragraph" w:customStyle="1" w:styleId="10">
    <w:name w:val="Нижний колонтитул1"/>
    <w:basedOn w:val="a"/>
    <w:uiPriority w:val="99"/>
    <w:unhideWhenUsed/>
    <w:rsid w:val="00BD68B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BD68B7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BD68B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BD68B7"/>
  </w:style>
  <w:style w:type="table" w:styleId="a9">
    <w:name w:val="Table Grid"/>
    <w:basedOn w:val="a1"/>
    <w:uiPriority w:val="59"/>
    <w:rsid w:val="00BD68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D68B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D68B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D68B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D68B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D68B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D68B7"/>
    <w:rPr>
      <w:sz w:val="18"/>
    </w:rPr>
  </w:style>
  <w:style w:type="character" w:styleId="ad">
    <w:name w:val="footnote reference"/>
    <w:uiPriority w:val="99"/>
    <w:unhideWhenUsed/>
    <w:rsid w:val="00BD68B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D68B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D68B7"/>
    <w:rPr>
      <w:sz w:val="20"/>
    </w:rPr>
  </w:style>
  <w:style w:type="character" w:styleId="af0">
    <w:name w:val="endnote reference"/>
    <w:uiPriority w:val="99"/>
    <w:semiHidden/>
    <w:unhideWhenUsed/>
    <w:rsid w:val="00BD68B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D68B7"/>
    <w:pPr>
      <w:spacing w:after="57"/>
    </w:pPr>
  </w:style>
  <w:style w:type="paragraph" w:styleId="22">
    <w:name w:val="toc 2"/>
    <w:basedOn w:val="a"/>
    <w:next w:val="a"/>
    <w:uiPriority w:val="39"/>
    <w:unhideWhenUsed/>
    <w:rsid w:val="00BD68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D68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D68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D68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D68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D68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D68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D68B7"/>
    <w:pPr>
      <w:spacing w:after="57"/>
      <w:ind w:left="2268"/>
    </w:pPr>
  </w:style>
  <w:style w:type="paragraph" w:styleId="af1">
    <w:name w:val="TOC Heading"/>
    <w:uiPriority w:val="39"/>
    <w:unhideWhenUsed/>
    <w:rsid w:val="00BD68B7"/>
  </w:style>
  <w:style w:type="paragraph" w:styleId="af2">
    <w:name w:val="table of figures"/>
    <w:basedOn w:val="a"/>
    <w:next w:val="a"/>
    <w:uiPriority w:val="99"/>
    <w:unhideWhenUsed/>
    <w:rsid w:val="00BD68B7"/>
    <w:pPr>
      <w:spacing w:after="0"/>
    </w:pPr>
  </w:style>
  <w:style w:type="paragraph" w:styleId="af3">
    <w:name w:val="No Spacing"/>
    <w:basedOn w:val="a"/>
    <w:uiPriority w:val="1"/>
    <w:qFormat/>
    <w:rsid w:val="00BD68B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D68B7"/>
    <w:pPr>
      <w:ind w:left="720"/>
      <w:contextualSpacing/>
    </w:pPr>
  </w:style>
  <w:style w:type="paragraph" w:customStyle="1" w:styleId="af5">
    <w:basedOn w:val="a"/>
    <w:next w:val="af6"/>
    <w:uiPriority w:val="99"/>
    <w:unhideWhenUsed/>
    <w:rsid w:val="00BC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BC0FC9"/>
    <w:rPr>
      <w:rFonts w:ascii="Times New Roman" w:hAnsi="Times New Roman" w:cs="Times New Roman"/>
      <w:sz w:val="24"/>
      <w:szCs w:val="24"/>
    </w:rPr>
  </w:style>
  <w:style w:type="paragraph" w:customStyle="1" w:styleId="af7">
    <w:basedOn w:val="a"/>
    <w:next w:val="af6"/>
    <w:uiPriority w:val="99"/>
    <w:unhideWhenUsed/>
    <w:rsid w:val="00F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Вихарева</dc:creator>
  <cp:lastModifiedBy>Налобина Н.С.</cp:lastModifiedBy>
  <cp:revision>4</cp:revision>
  <dcterms:created xsi:type="dcterms:W3CDTF">2025-10-29T10:15:00Z</dcterms:created>
  <dcterms:modified xsi:type="dcterms:W3CDTF">2025-10-29T10:16:00Z</dcterms:modified>
</cp:coreProperties>
</file>