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A176A" w14:textId="77777777" w:rsidR="002B3111" w:rsidRDefault="002B3111">
      <w:pPr>
        <w:pStyle w:val="TableParagraph"/>
        <w:jc w:val="center"/>
        <w:rPr>
          <w:b/>
          <w:bCs/>
        </w:rPr>
      </w:pPr>
      <w:r>
        <w:rPr>
          <w:b/>
          <w:bCs/>
        </w:rPr>
        <w:t>УВЕДОМЛЕНИЕ</w:t>
      </w:r>
    </w:p>
    <w:p w14:paraId="437120B7" w14:textId="77777777" w:rsidR="002B3111" w:rsidRDefault="002B3111">
      <w:pPr>
        <w:pStyle w:val="TableParagraph"/>
        <w:jc w:val="center"/>
        <w:rPr>
          <w:b/>
          <w:bCs/>
        </w:rPr>
      </w:pPr>
      <w:r>
        <w:rPr>
          <w:b/>
          <w:bCs/>
        </w:rPr>
        <w:t>О ПРОВЕДЕНИИ ОБЩЕСТВЕННЫХ ОБСУЖДЕНИЙ</w:t>
      </w:r>
    </w:p>
    <w:p w14:paraId="6600D2D6" w14:textId="77777777" w:rsidR="002B3111" w:rsidRDefault="002B3111">
      <w:pPr>
        <w:pStyle w:val="af7"/>
        <w:ind w:left="163" w:firstLine="2"/>
        <w:jc w:val="center"/>
        <w:rPr>
          <w:b/>
          <w:bCs/>
          <w:sz w:val="20"/>
          <w:szCs w:val="20"/>
        </w:rPr>
      </w:pPr>
    </w:p>
    <w:p w14:paraId="48A54B16" w14:textId="77777777" w:rsidR="002B3111" w:rsidRDefault="002B3111">
      <w:pPr>
        <w:pStyle w:val="af7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Содержание уведомления определено пп. 24, 26 «Правил проведения оценки воздействия на окружающую среду», утв. постановлением Правительства РФ от 28.11.2024 № 1644.</w:t>
      </w:r>
    </w:p>
    <w:p w14:paraId="083E61B0" w14:textId="77777777" w:rsidR="002B3111" w:rsidRDefault="002B3111">
      <w:pPr>
        <w:pStyle w:val="af7"/>
        <w:ind w:firstLine="709"/>
        <w:jc w:val="both"/>
        <w:rPr>
          <w:sz w:val="20"/>
          <w:szCs w:val="20"/>
        </w:rPr>
      </w:pPr>
    </w:p>
    <w:tbl>
      <w:tblPr>
        <w:tblW w:w="9823" w:type="dxa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850"/>
        <w:gridCol w:w="1020"/>
        <w:gridCol w:w="1957"/>
        <w:gridCol w:w="3980"/>
      </w:tblGrid>
      <w:tr w:rsidR="002B3111" w14:paraId="2BA099B5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567B" w14:textId="77777777" w:rsidR="002B3111" w:rsidRDefault="002B3111">
            <w:pPr>
              <w:pStyle w:val="af7"/>
              <w:spacing w:before="4" w:after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Информация об объекте обсуждений, подлежащем рассмотрению на общественных обсуждениях</w:t>
            </w:r>
          </w:p>
        </w:tc>
      </w:tr>
      <w:tr w:rsidR="002B3111" w14:paraId="5C92FE18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733E" w14:textId="77777777" w:rsidR="002B3111" w:rsidRDefault="002B3111">
            <w:pPr>
              <w:pStyle w:val="af7"/>
              <w:spacing w:before="4" w:after="1"/>
              <w:ind w:left="32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1.1. Сведения о заказчике (исполнителе)</w:t>
            </w:r>
          </w:p>
        </w:tc>
      </w:tr>
      <w:tr w:rsidR="002B3111" w14:paraId="1C2B32E0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C021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6A90" w14:textId="77777777" w:rsidR="002B3111" w:rsidRDefault="002B3111">
            <w:pPr>
              <w:pStyle w:val="TableParagraph"/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CF1B" w14:textId="77777777" w:rsidR="002B3111" w:rsidRDefault="002B3111">
            <w:pPr>
              <w:pStyle w:val="TableParagraph"/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</w:tr>
      <w:tr w:rsidR="002B3111" w14:paraId="0160FB94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7CCA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1AD0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Публичное акционерное общество «Сургутнефтегаз» Нефтегазодобывающее управление «Лянторнефть»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77B4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Публичное акционерное общество «Сургутнефтегаз» Сургутский научно-исследовательский и проектный институт</w:t>
            </w:r>
          </w:p>
        </w:tc>
      </w:tr>
      <w:tr w:rsidR="002B3111" w14:paraId="49725422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FF50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496D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ПАО «Сургутнефтегаз» НГДУ «Лянторнефть»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A3C2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ПАО «Сургутнефтегаз» «СургутНИПИнефть»</w:t>
            </w:r>
          </w:p>
        </w:tc>
      </w:tr>
      <w:tr w:rsidR="002B3111" w14:paraId="509F4C08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67F4" w14:textId="77777777" w:rsidR="002B3111" w:rsidRDefault="002B311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E00B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8602060555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EF1F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8602060555</w:t>
            </w:r>
          </w:p>
        </w:tc>
      </w:tr>
      <w:tr w:rsidR="002B3111" w14:paraId="33CAA709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AB99" w14:textId="77777777" w:rsidR="002B3111" w:rsidRDefault="002B311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B425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1028600584540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C5AF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1028600584540</w:t>
            </w:r>
          </w:p>
        </w:tc>
      </w:tr>
      <w:tr w:rsidR="002B3111" w14:paraId="0B28ACC5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E3A8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и фактический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6045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628415, ХМАО–Югра, город Сургут, улица Григория Кукуевицкого, дом 1, корпус 1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38C5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628415, ХМАО–Югра, город Сургут, улица Григория Кукуевицкого, дом 1, корпус 1</w:t>
            </w:r>
          </w:p>
        </w:tc>
      </w:tr>
      <w:tr w:rsidR="002B3111" w14:paraId="52256C35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B4D2" w14:textId="77777777" w:rsidR="002B3111" w:rsidRDefault="002B311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990E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628449, Тюменская область, Ханты-Мансийский автономный округ-Югра, Сургутский район, г. Лянтор, ул.Назаргалеева, 22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93D7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628415, Российская Федерация, Тюменская область, ХМАО-Югра, г.Сургут, ул.Энтузиастов, 50</w:t>
            </w:r>
          </w:p>
        </w:tc>
      </w:tr>
      <w:tr w:rsidR="002B3111" w14:paraId="7DC826E4" w14:textId="77777777">
        <w:trPr>
          <w:trHeight w:val="441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0393" w14:textId="77777777" w:rsidR="002B3111" w:rsidRDefault="002B311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Контактные данные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DB78" w14:textId="77777777" w:rsidR="002B3111" w:rsidRDefault="002B3111">
            <w:pPr>
              <w:pStyle w:val="TableParagraph"/>
              <w:tabs>
                <w:tab w:val="left" w:pos="354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тел.:(34638) 36-2-11, ф. (34638) 36-4-55</w:t>
            </w:r>
          </w:p>
          <w:p w14:paraId="0E2E65DC" w14:textId="77777777" w:rsidR="002B3111" w:rsidRDefault="002B31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эл. почта: </w:t>
            </w:r>
            <w:hyperlink r:id="rId7" w:history="1">
              <w:r>
                <w:rPr>
                  <w:sz w:val="20"/>
                  <w:szCs w:val="20"/>
                </w:rPr>
                <w:t>OUT.LN-Gi@surgutneftegas.ru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7101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(3462) 42-70-62, ф. (3462) 42-76-90</w:t>
            </w:r>
          </w:p>
          <w:p w14:paraId="032A032A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эл. почта: snipi-ext@surgutneftegas.ru</w:t>
            </w:r>
          </w:p>
        </w:tc>
      </w:tr>
      <w:tr w:rsidR="002B3111" w14:paraId="583A3972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E15C" w14:textId="77777777" w:rsidR="002B3111" w:rsidRDefault="002B3111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1.2. Полное и сокращенное (при наличии) наименования уполномоченного органа, ответственного за проведение общественных обсуждений</w:t>
            </w:r>
          </w:p>
        </w:tc>
      </w:tr>
      <w:tr w:rsidR="002B3111" w14:paraId="7CC6A42B" w14:textId="77777777">
        <w:trPr>
          <w:trHeight w:val="20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BF01" w14:textId="77777777" w:rsidR="002B3111" w:rsidRDefault="002B3111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6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6C1F" w14:textId="66491E8F" w:rsidR="002B3111" w:rsidRDefault="002B31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Департамент строительства, архитектуры и жилищно-коммунального хозяйства Администрация Ханты –Мансийского района </w:t>
            </w:r>
          </w:p>
        </w:tc>
      </w:tr>
      <w:tr w:rsidR="002B3111" w14:paraId="05715524" w14:textId="77777777">
        <w:trPr>
          <w:trHeight w:val="20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0DB0" w14:textId="77777777" w:rsidR="002B3111" w:rsidRDefault="002B3111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6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13BF" w14:textId="77777777" w:rsidR="002B3111" w:rsidRDefault="002B31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Департамент строительства, архитектуры и ЖКХ</w:t>
            </w:r>
          </w:p>
        </w:tc>
      </w:tr>
      <w:tr w:rsidR="002B3111" w14:paraId="7C74B497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F5E1" w14:textId="77777777" w:rsidR="002B3111" w:rsidRDefault="002B3111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1.3. Наименование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объекта обсуждений</w:t>
            </w:r>
          </w:p>
        </w:tc>
      </w:tr>
      <w:tr w:rsidR="002B3111" w14:paraId="6EDEB16F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0EBA" w14:textId="77777777" w:rsidR="002B3111" w:rsidRDefault="002B3111" w:rsidP="00B965C8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Предварительные материалы оценки воздействия на окружающую среду по объекту </w:t>
            </w:r>
            <w:r w:rsidR="00707DC2">
              <w:rPr>
                <w:sz w:val="20"/>
                <w:szCs w:val="20"/>
              </w:rPr>
              <w:t>«</w:t>
            </w:r>
            <w:r w:rsidR="00707DC2" w:rsidRPr="00707DC2">
              <w:rPr>
                <w:sz w:val="20"/>
                <w:szCs w:val="20"/>
              </w:rPr>
              <w:t>Водоводы высоконапорные кустов сква</w:t>
            </w:r>
            <w:r w:rsidR="00707DC2">
              <w:rPr>
                <w:sz w:val="20"/>
                <w:szCs w:val="20"/>
              </w:rPr>
              <w:t>жин 5, 8, 9, 14, 15, 16, 17, 20»</w:t>
            </w:r>
            <w:r w:rsidR="00707DC2" w:rsidRPr="00707DC2">
              <w:rPr>
                <w:sz w:val="20"/>
                <w:szCs w:val="20"/>
              </w:rPr>
              <w:t>. Северо-Селияровское нефтяное месторождение</w:t>
            </w:r>
          </w:p>
        </w:tc>
      </w:tr>
      <w:tr w:rsidR="002B3111" w14:paraId="60377733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F48B" w14:textId="77777777" w:rsidR="002B3111" w:rsidRDefault="002B3111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1.4. Наименование планируемой хозяйственной и иной деятельности</w:t>
            </w:r>
          </w:p>
        </w:tc>
      </w:tr>
      <w:tr w:rsidR="002B3111" w14:paraId="448E1279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BF5C" w14:textId="77777777" w:rsidR="002B3111" w:rsidRDefault="002B3111" w:rsidP="00B965C8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объекта: </w:t>
            </w:r>
            <w:r w:rsidR="00707DC2">
              <w:rPr>
                <w:sz w:val="20"/>
                <w:szCs w:val="20"/>
              </w:rPr>
              <w:t>«</w:t>
            </w:r>
            <w:r w:rsidR="00707DC2" w:rsidRPr="00707DC2">
              <w:rPr>
                <w:sz w:val="20"/>
                <w:szCs w:val="20"/>
              </w:rPr>
              <w:t>Водоводы высоконапорные кустов сква</w:t>
            </w:r>
            <w:r w:rsidR="00707DC2">
              <w:rPr>
                <w:sz w:val="20"/>
                <w:szCs w:val="20"/>
              </w:rPr>
              <w:t>жин 5, 8, 9, 14, 15, 16, 17, 20»</w:t>
            </w:r>
            <w:r w:rsidR="00707DC2" w:rsidRPr="00707DC2">
              <w:rPr>
                <w:sz w:val="20"/>
                <w:szCs w:val="20"/>
              </w:rPr>
              <w:t>. Северо-Селияровское нефтяное месторождение</w:t>
            </w:r>
          </w:p>
        </w:tc>
      </w:tr>
      <w:tr w:rsidR="002B3111" w14:paraId="35C95AA9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94EF" w14:textId="77777777" w:rsidR="002B3111" w:rsidRDefault="002B3111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1.5. Цель планируемой хозяйственной и иной деятельности</w:t>
            </w:r>
          </w:p>
        </w:tc>
      </w:tr>
      <w:tr w:rsidR="002B3111" w14:paraId="2715818C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C3F7" w14:textId="77777777" w:rsidR="002B3111" w:rsidRDefault="001D5D0A" w:rsidP="001D5D0A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Водоводы высоконапорные обеспечивают подключение трубопровода к существующим водовод</w:t>
            </w:r>
            <w:r w:rsidR="0037269C">
              <w:rPr>
                <w:sz w:val="20"/>
                <w:szCs w:val="20"/>
              </w:rPr>
              <w:t>ам нагнетательным от скважин эк</w:t>
            </w:r>
            <w:r>
              <w:rPr>
                <w:sz w:val="20"/>
                <w:szCs w:val="20"/>
              </w:rPr>
              <w:t>сплуатационных (нагнетательных) и водоводам высоконапорным от действующих КНС и скважин водозаборных (специальных), расположенных на данных кустах скважин</w:t>
            </w:r>
          </w:p>
        </w:tc>
      </w:tr>
      <w:tr w:rsidR="002B3111" w14:paraId="45CD6DF7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8EC7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1.6. Предварительное место реализации планируемой хозяйственной и иной деятельности</w:t>
            </w:r>
          </w:p>
        </w:tc>
      </w:tr>
      <w:tr w:rsidR="002B3111" w14:paraId="2E168D9C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785D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Российская Федерация, Ханты-Мансийский автономный округ-Югра, муниципальный район Ханты-Мансийский, </w:t>
            </w:r>
            <w:r w:rsidR="00707DC2">
              <w:rPr>
                <w:sz w:val="20"/>
                <w:szCs w:val="20"/>
              </w:rPr>
              <w:t>Северо-Селияровский</w:t>
            </w:r>
            <w:r w:rsidR="00707DC2" w:rsidRPr="00707D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участок недр, </w:t>
            </w:r>
            <w:r w:rsidR="00707DC2" w:rsidRPr="00707DC2">
              <w:rPr>
                <w:sz w:val="20"/>
                <w:szCs w:val="20"/>
              </w:rPr>
              <w:t xml:space="preserve">Северо-Селияровское </w:t>
            </w:r>
            <w:r>
              <w:rPr>
                <w:sz w:val="20"/>
                <w:szCs w:val="20"/>
              </w:rPr>
              <w:t>нефтяное месторождение</w:t>
            </w:r>
            <w:r w:rsidR="00547A78">
              <w:rPr>
                <w:sz w:val="20"/>
                <w:szCs w:val="20"/>
              </w:rPr>
              <w:t>, куст</w:t>
            </w:r>
            <w:r w:rsidR="00707DC2">
              <w:rPr>
                <w:sz w:val="20"/>
                <w:szCs w:val="20"/>
              </w:rPr>
              <w:t>ы скважин 5, 8, 9, 14, 15, 16, 17, 20</w:t>
            </w:r>
          </w:p>
        </w:tc>
      </w:tr>
      <w:tr w:rsidR="002B3111" w14:paraId="5D54E10F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5D09" w14:textId="77777777" w:rsidR="002B3111" w:rsidRDefault="002B3111">
            <w:pPr>
              <w:pStyle w:val="TableParagraph"/>
              <w:spacing w:line="27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1.7. Контактные данные ответственных лиц со стороны заказчика (исполнителя)</w:t>
            </w:r>
          </w:p>
        </w:tc>
      </w:tr>
      <w:tr w:rsidR="002B3111" w14:paraId="73596EF6" w14:textId="77777777">
        <w:trPr>
          <w:trHeight w:val="20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DE88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стороны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заказчика</w:t>
            </w:r>
          </w:p>
        </w:tc>
        <w:tc>
          <w:tcPr>
            <w:tcW w:w="6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D853" w14:textId="77777777" w:rsidR="002B3111" w:rsidRDefault="002B3111">
            <w:pPr>
              <w:pStyle w:val="TableParagraph"/>
              <w:tabs>
                <w:tab w:val="left" w:pos="354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Фалалеева Карина Юрьевна, </w:t>
            </w:r>
          </w:p>
          <w:p w14:paraId="0242EEF4" w14:textId="77777777" w:rsidR="002B3111" w:rsidRDefault="002B3111">
            <w:pPr>
              <w:pStyle w:val="TableParagraph"/>
              <w:tabs>
                <w:tab w:val="left" w:pos="354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Алетдинова Анастасия Пайршовна, </w:t>
            </w:r>
          </w:p>
          <w:p w14:paraId="5CD5B16C" w14:textId="77777777" w:rsidR="002B3111" w:rsidRDefault="002B3111">
            <w:pPr>
              <w:pStyle w:val="TableParagraph"/>
              <w:tabs>
                <w:tab w:val="left" w:pos="354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Баланчук Елена Анатольевна </w:t>
            </w:r>
          </w:p>
          <w:p w14:paraId="0D047194" w14:textId="77777777" w:rsidR="002B3111" w:rsidRDefault="002B3111">
            <w:pPr>
              <w:pStyle w:val="TableParagraph"/>
              <w:tabs>
                <w:tab w:val="left" w:pos="354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(34638) 36-2-11, ф. (34638) 36-4-55</w:t>
            </w:r>
          </w:p>
          <w:p w14:paraId="7E85F01C" w14:textId="77777777" w:rsidR="002B3111" w:rsidRDefault="002B3111">
            <w:pPr>
              <w:pStyle w:val="TableParagraph"/>
              <w:spacing w:line="27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эл. почта: </w:t>
            </w:r>
            <w:hyperlink r:id="rId8" w:history="1">
              <w:r>
                <w:rPr>
                  <w:sz w:val="20"/>
                  <w:szCs w:val="20"/>
                </w:rPr>
                <w:t>OUT.LN-Gi@surgutneftegas.ru</w:t>
              </w:r>
            </w:hyperlink>
          </w:p>
        </w:tc>
      </w:tr>
      <w:tr w:rsidR="002B3111" w14:paraId="0A024F29" w14:textId="77777777">
        <w:trPr>
          <w:trHeight w:val="20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B8E5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 стороны исполнителя</w:t>
            </w:r>
          </w:p>
        </w:tc>
        <w:tc>
          <w:tcPr>
            <w:tcW w:w="6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07D4" w14:textId="77777777" w:rsidR="002B3111" w:rsidRDefault="002B3111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Рыткина Алиса Владимировна, тел. (3462) 42-70-62, ф. (3462) 42-76-90</w:t>
            </w:r>
          </w:p>
          <w:p w14:paraId="1945134E" w14:textId="77777777" w:rsidR="002B3111" w:rsidRDefault="002B3111">
            <w:pPr>
              <w:pStyle w:val="TableParagraph"/>
              <w:spacing w:line="27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эл. почта: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snipi-ext@surgutneftegas.ru</w:t>
            </w:r>
          </w:p>
        </w:tc>
      </w:tr>
      <w:tr w:rsidR="002B3111" w14:paraId="7B655D6B" w14:textId="77777777">
        <w:trPr>
          <w:trHeight w:val="184"/>
        </w:trPr>
        <w:tc>
          <w:tcPr>
            <w:tcW w:w="98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97BD" w14:textId="77777777" w:rsidR="002B3111" w:rsidRDefault="002B3111">
            <w:pPr>
              <w:pStyle w:val="af7"/>
              <w:ind w:left="108"/>
              <w:jc w:val="both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>1.8. Иная информация по желанию заказчика (исполнителя):</w:t>
            </w:r>
          </w:p>
          <w:p w14:paraId="4000D7D8" w14:textId="77777777" w:rsidR="002B3111" w:rsidRDefault="002B3111">
            <w:pPr>
              <w:pStyle w:val="af7"/>
              <w:ind w:left="108"/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20"/>
                <w:szCs w:val="20"/>
                <w:highlight w:val="white"/>
              </w:rPr>
              <w:t xml:space="preserve">Объект общественных обсуждений является объектом топливно-энергетического комплекса (ТЭК), с обязательными для выполнения требований обеспечения безопасности и антитеррористической защищенности, установленных требованиями Федерального закона от 21.07.2011 №256-ФЗ «О безопасности объектов топливно-энергетического комплекса», Указа Президента Российской Федерации от 01.05.2022 №250 «О дополнительных мерах по обеспечению информационной безопасности Российской Федерации», постановления Правительства Российской Федерации от 03.08.2024 №1046 «Об утверждении требований обеспечения безопасности и антитеррористической защищенности объектов топливно-энергетического комплекса». Мерами безопасности и антитеррористической защищенности установлен запрет на раскрытие и распространение информации, составляющей охраняемую законом в сфере ТЭК тайну, в том числе о местонахождении и расположении объектов </w:t>
            </w:r>
            <w:r>
              <w:rPr>
                <w:sz w:val="20"/>
                <w:szCs w:val="20"/>
                <w:highlight w:val="white"/>
              </w:rPr>
              <w:lastRenderedPageBreak/>
              <w:t>критической инфраструктуры (ТЭК).</w:t>
            </w:r>
            <w:r w:rsidRPr="00881948">
              <w:rPr>
                <w:sz w:val="20"/>
                <w:szCs w:val="20"/>
              </w:rPr>
              <w:t xml:space="preserve"> </w:t>
            </w:r>
          </w:p>
        </w:tc>
      </w:tr>
      <w:tr w:rsidR="002B3111" w14:paraId="60F72037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DDE9" w14:textId="77777777" w:rsidR="002B3111" w:rsidRDefault="002B3111">
            <w:pPr>
              <w:pStyle w:val="af7"/>
              <w:ind w:left="108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</w:tr>
      <w:tr w:rsidR="002B3111" w14:paraId="518A1B9B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BF77" w14:textId="77777777" w:rsidR="002B3111" w:rsidRDefault="002B3111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Место, в котором размещен и доступен для очного ознакомления объект обсуждений. 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F7C6" w14:textId="4A0E6350" w:rsidR="002B3111" w:rsidRDefault="002B3111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Департамент строительства, архитектуры и ЖКХ </w:t>
            </w:r>
            <w:r w:rsidR="002C4B4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дминистрации Ханты-Мансийского района, по адресу: 628012, Тюменская область, Ханты-Мансийский автономный округ – Югра, г.Ханты-Мансийск, ул.Гагарина, д.142, каб.12</w:t>
            </w:r>
          </w:p>
        </w:tc>
      </w:tr>
      <w:tr w:rsidR="002B3111" w14:paraId="2AFE02E1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D762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открытия доступа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AEC7" w14:textId="77777777" w:rsidR="002B3111" w:rsidRPr="00736089" w:rsidRDefault="004A4354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736089" w:rsidRPr="00736089">
              <w:rPr>
                <w:sz w:val="20"/>
                <w:szCs w:val="20"/>
              </w:rPr>
              <w:t>.08</w:t>
            </w:r>
            <w:r w:rsidR="002B3111" w:rsidRPr="00736089">
              <w:rPr>
                <w:sz w:val="20"/>
                <w:szCs w:val="20"/>
              </w:rPr>
              <w:t>.2026</w:t>
            </w:r>
          </w:p>
        </w:tc>
      </w:tr>
      <w:tr w:rsidR="002B3111" w14:paraId="21181F06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2B81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доступности объекта обсуждений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F5CA" w14:textId="77777777" w:rsidR="002B3111" w:rsidRPr="00736089" w:rsidRDefault="00FE16D9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18.08.2026-16</w:t>
            </w:r>
            <w:r w:rsidR="004A4354">
              <w:rPr>
                <w:sz w:val="20"/>
                <w:szCs w:val="20"/>
              </w:rPr>
              <w:t>.09</w:t>
            </w:r>
            <w:r w:rsidR="002B3111" w:rsidRPr="00736089">
              <w:rPr>
                <w:sz w:val="20"/>
                <w:szCs w:val="20"/>
              </w:rPr>
              <w:t>.2026</w:t>
            </w:r>
          </w:p>
        </w:tc>
      </w:tr>
      <w:tr w:rsidR="002B3111" w14:paraId="6B901654" w14:textId="77777777">
        <w:trPr>
          <w:trHeight w:val="713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FE73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днях и часах, в которые возможно ознакомление с объектом обсуждений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5060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дни с 09.00 до 17.00, перерыв 13.00-14.00.</w:t>
            </w:r>
          </w:p>
          <w:p w14:paraId="5B086178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суббота, воскресенье – выходные дни</w:t>
            </w:r>
          </w:p>
        </w:tc>
      </w:tr>
      <w:tr w:rsidR="002B3111" w14:paraId="79AD7B7D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746" w14:textId="77777777" w:rsidR="002B3111" w:rsidRDefault="002B3111">
            <w:pPr>
              <w:pStyle w:val="af7"/>
              <w:ind w:left="108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3. 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</w:t>
            </w:r>
          </w:p>
        </w:tc>
      </w:tr>
      <w:tr w:rsidR="002B3111" w14:paraId="778637BA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5A0E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 ссылка на место размещения объекта обсуждений в сети «Интернет»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9771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материалы оценки воздействия на окружающую среду размещены по электронной ссылке*:</w:t>
            </w:r>
          </w:p>
          <w:p w14:paraId="311C810D" w14:textId="77777777" w:rsidR="002B3111" w:rsidRDefault="003540F0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hyperlink r:id="rId9" w:history="1">
              <w:r w:rsidR="002B3111">
                <w:rPr>
                  <w:color w:val="0563C1"/>
                  <w:sz w:val="20"/>
                  <w:szCs w:val="20"/>
                  <w:u w:val="single"/>
                </w:rPr>
                <w:t>https://www.surgutneftegas.ru/responsibility/ecology/svedeniya-dlya-obshchestvennosti/svedeniya-ob-otsenke-vozdeystviya-na-okruzhayushchuyu-sredu-namechaemoy-khozyaystvennoy-deyatelnosti/materialy-predvaritelnoy-ovos/</w:t>
              </w:r>
            </w:hyperlink>
          </w:p>
          <w:p w14:paraId="2D8F8FA3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(примечание: * - наименование вложения на странице сайта сети «Интернет» - </w:t>
            </w:r>
            <w:r w:rsidR="00707DC2">
              <w:rPr>
                <w:sz w:val="20"/>
                <w:szCs w:val="20"/>
              </w:rPr>
              <w:t>«</w:t>
            </w:r>
            <w:r w:rsidR="00707DC2" w:rsidRPr="00707DC2">
              <w:rPr>
                <w:sz w:val="20"/>
                <w:szCs w:val="20"/>
              </w:rPr>
              <w:t>Водоводы высоконапорные кустов сква</w:t>
            </w:r>
            <w:r w:rsidR="00707DC2">
              <w:rPr>
                <w:sz w:val="20"/>
                <w:szCs w:val="20"/>
              </w:rPr>
              <w:t>жин 5, 8, 9, 14, 15, 16, 17, 20»</w:t>
            </w:r>
            <w:r w:rsidR="00707DC2" w:rsidRPr="00707DC2">
              <w:rPr>
                <w:sz w:val="20"/>
                <w:szCs w:val="20"/>
              </w:rPr>
              <w:t>. Северо-Селияровское нефтяное месторождение</w:t>
            </w:r>
            <w:r w:rsidR="00707DC2">
              <w:rPr>
                <w:sz w:val="20"/>
                <w:szCs w:val="20"/>
              </w:rPr>
              <w:t xml:space="preserve"> (ш.25595</w:t>
            </w:r>
            <w:r>
              <w:rPr>
                <w:sz w:val="20"/>
                <w:szCs w:val="20"/>
              </w:rPr>
              <w:t>)</w:t>
            </w:r>
          </w:p>
        </w:tc>
      </w:tr>
      <w:tr w:rsidR="002B3111" w14:paraId="24767789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E0C4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размещения объекта обсуждений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A556" w14:textId="77777777" w:rsidR="002B3111" w:rsidRPr="00736089" w:rsidRDefault="004A4354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736089" w:rsidRPr="00736089">
              <w:rPr>
                <w:sz w:val="20"/>
                <w:szCs w:val="20"/>
              </w:rPr>
              <w:t>.08</w:t>
            </w:r>
            <w:r w:rsidR="002B3111" w:rsidRPr="00736089">
              <w:rPr>
                <w:sz w:val="20"/>
                <w:szCs w:val="20"/>
              </w:rPr>
              <w:t>.2026</w:t>
            </w:r>
          </w:p>
        </w:tc>
      </w:tr>
      <w:tr w:rsidR="002B3111" w14:paraId="5E3C6EB1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8B73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размещения объекта обсуждений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B2F6" w14:textId="77777777" w:rsidR="002B3111" w:rsidRPr="00736089" w:rsidRDefault="00FE16D9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18.08.2026-16</w:t>
            </w:r>
            <w:r w:rsidR="004A4354">
              <w:rPr>
                <w:sz w:val="20"/>
                <w:szCs w:val="20"/>
              </w:rPr>
              <w:t>.09</w:t>
            </w:r>
            <w:r w:rsidR="002B3111" w:rsidRPr="00736089">
              <w:rPr>
                <w:sz w:val="20"/>
                <w:szCs w:val="20"/>
              </w:rPr>
              <w:t>.2026</w:t>
            </w:r>
          </w:p>
        </w:tc>
      </w:tr>
      <w:tr w:rsidR="002B3111" w14:paraId="6191F7DE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68A5" w14:textId="77777777" w:rsidR="002B3111" w:rsidRDefault="002B3111">
            <w:pPr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 ссылка на место размещения окончательных материалов оценки воздействия на окружающую среду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74D0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Окончательные материалы оценки воздействия на окружающую среду размещены по электронной ссылке*:</w:t>
            </w:r>
          </w:p>
          <w:p w14:paraId="45A3EE22" w14:textId="77777777" w:rsidR="002B3111" w:rsidRDefault="003540F0">
            <w:pPr>
              <w:pStyle w:val="TableParagraph"/>
              <w:spacing w:line="273" w:lineRule="exact"/>
              <w:rPr>
                <w:color w:val="0563C1"/>
                <w:sz w:val="20"/>
                <w:szCs w:val="20"/>
                <w:u w:val="single"/>
              </w:rPr>
            </w:pPr>
            <w:hyperlink r:id="rId10" w:history="1">
              <w:r w:rsidR="002B3111">
                <w:rPr>
                  <w:color w:val="0563C1"/>
                  <w:sz w:val="20"/>
                  <w:szCs w:val="20"/>
                  <w:u w:val="single"/>
                </w:rPr>
                <w:t>https://www.surgutneftegas.ru/responsibility/ecology/svedeniya-dlya-obshchestvennosti/svedeniya-ob-otsenke-vozdeystviya-na-okruzhayushchuyu-sredu-namechaemoy-khozyaystvennoy-deyatelnosti/materialy-ovos/</w:t>
              </w:r>
            </w:hyperlink>
          </w:p>
          <w:p w14:paraId="3CF36C63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(примечание: * - наименование вложения на странице сайта сети «Интернет» - </w:t>
            </w:r>
            <w:r w:rsidR="00707DC2">
              <w:rPr>
                <w:sz w:val="20"/>
                <w:szCs w:val="20"/>
              </w:rPr>
              <w:t>«</w:t>
            </w:r>
            <w:r w:rsidR="00707DC2" w:rsidRPr="00707DC2">
              <w:rPr>
                <w:sz w:val="20"/>
                <w:szCs w:val="20"/>
              </w:rPr>
              <w:t>Водоводы высоконапорные кустов сква</w:t>
            </w:r>
            <w:r w:rsidR="00707DC2">
              <w:rPr>
                <w:sz w:val="20"/>
                <w:szCs w:val="20"/>
              </w:rPr>
              <w:t>жин 5, 8, 9, 14, 15, 16, 17, 20»</w:t>
            </w:r>
            <w:r w:rsidR="00707DC2" w:rsidRPr="00707DC2">
              <w:rPr>
                <w:sz w:val="20"/>
                <w:szCs w:val="20"/>
              </w:rPr>
              <w:t>. Северо-Селияровское нефтяное месторождение</w:t>
            </w:r>
            <w:r w:rsidR="00707DC2">
              <w:rPr>
                <w:sz w:val="20"/>
                <w:szCs w:val="20"/>
              </w:rPr>
              <w:t xml:space="preserve"> (ш.25595</w:t>
            </w:r>
            <w:r>
              <w:rPr>
                <w:sz w:val="20"/>
                <w:szCs w:val="20"/>
              </w:rPr>
              <w:t>)</w:t>
            </w:r>
          </w:p>
        </w:tc>
      </w:tr>
      <w:tr w:rsidR="002B3111" w14:paraId="7B786002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DAB0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Информация о возможности проведения по инициативе граждан слушаний</w:t>
            </w:r>
          </w:p>
        </w:tc>
      </w:tr>
      <w:tr w:rsidR="002B3111" w14:paraId="4E53566A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3745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инициативе граждан, в рамках общественных обсуждений, проводятся слушания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265C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инициативе граждан возможно проведение общественных слушаний. 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</w:t>
            </w:r>
            <w:r>
              <w:t xml:space="preserve"> </w:t>
            </w:r>
            <w:r>
              <w:rPr>
                <w:sz w:val="20"/>
                <w:szCs w:val="20"/>
              </w:rPr>
              <w:t>путем направления в указанный срок в уполномоченный орган соответствующей инициативы в произвольной форме:</w:t>
            </w:r>
          </w:p>
          <w:p w14:paraId="76F57E85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посредством официального сайта уполномоченного органа в сети "Интернет";</w:t>
            </w:r>
          </w:p>
          <w:p w14:paraId="4303B21F" w14:textId="2A65B650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письменной форме или в форме электронного документа в адрес уполномоченного органа по адресу: 628012, Тюменская область, Ханты-Мансийский автономный округ – Югра, г.Ханты-Мансийск, ул.Гагарина, д.142, каб.12, </w:t>
            </w:r>
            <w:r w:rsidR="002C4B4C" w:rsidRPr="002C4B4C">
              <w:rPr>
                <w:sz w:val="20"/>
                <w:szCs w:val="20"/>
              </w:rPr>
              <w:t>dsajkh@hmrn.ru)</w:t>
            </w:r>
            <w:r>
              <w:rPr>
                <w:sz w:val="20"/>
                <w:szCs w:val="20"/>
              </w:rPr>
              <w:t>.</w:t>
            </w:r>
          </w:p>
          <w:p w14:paraId="7FD52833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      </w:r>
          </w:p>
          <w:p w14:paraId="2F741DAC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уполномоченным органом </w:t>
            </w:r>
            <w:r>
              <w:rPr>
                <w:sz w:val="20"/>
                <w:szCs w:val="20"/>
              </w:rPr>
              <w:lastRenderedPageBreak/>
              <w:t>уведомления о проведении таких слушаний, но не позднее чем за 10 календарных дней до даты завершения общественных обсуждений.</w:t>
            </w:r>
          </w:p>
          <w:p w14:paraId="14A30DC1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поступления в уполномоченный орган инициативы граждан о проведении слушаний, уполномоченный орган размещает (опубликовывает) уведомление о слушаниях в течении 2 рабочих дней с даты поступления такой инициативы</w:t>
            </w:r>
          </w:p>
        </w:tc>
      </w:tr>
      <w:tr w:rsidR="002B3111" w14:paraId="6B5B979A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0E46" w14:textId="77777777" w:rsidR="002B3111" w:rsidRDefault="002B3111">
            <w:pPr>
              <w:ind w:left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5. Дополнительная информация уполномоченного органа</w:t>
            </w:r>
          </w:p>
        </w:tc>
      </w:tr>
      <w:tr w:rsidR="002B3111" w14:paraId="6FA32861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D8AC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в пределах места нахождения уполномоченного органа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FD59" w14:textId="4E6DC121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628012, Тюменская область, Ханты-Мансийский автономный округ – Югра, г.Ханты-Мансийск, ул.Гагарина, д.142, </w:t>
            </w:r>
            <w:r w:rsidR="002C4B4C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епартамент строительства, архитектуры и ЖКХ </w:t>
            </w:r>
          </w:p>
        </w:tc>
      </w:tr>
      <w:tr w:rsidR="002B3111" w14:paraId="3221F0F3" w14:textId="77777777">
        <w:trPr>
          <w:trHeight w:val="7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0467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Контактные данные (телефон и адрес электронной почты, факс (при наличии) ответственного лица (ответственных лиц) </w:t>
            </w:r>
          </w:p>
          <w:p w14:paraId="7C22C44C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 стороны уполномоченного органа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927E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(3467) 33-24-76 (доб. 322)</w:t>
            </w:r>
          </w:p>
          <w:p w14:paraId="6EEDC16A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эл. почта: kap-dsa@hmrn.ru</w:t>
            </w:r>
          </w:p>
        </w:tc>
      </w:tr>
      <w:tr w:rsidR="002B3111" w14:paraId="7C13E10E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746A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F40E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bookmarkStart w:id="0" w:name="Par0"/>
            <w:bookmarkEnd w:id="0"/>
            <w:r>
              <w:rPr>
                <w:sz w:val="20"/>
                <w:szCs w:val="20"/>
              </w:rPr>
              <w:t>В течение всего периода размещения объекта обсуждений участники общественных обсуждений имеют право вносить предложения и замечания, касающиеся такого объекта обсуждений:</w:t>
            </w:r>
          </w:p>
          <w:p w14:paraId="7E7285FD" w14:textId="0E38F8D1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посредством официального сайта (</w:t>
            </w:r>
            <w:r w:rsidR="002C4B4C">
              <w:rPr>
                <w:sz w:val="20"/>
                <w:szCs w:val="20"/>
              </w:rPr>
              <w:t>hmrn.ru</w:t>
            </w:r>
            <w:r>
              <w:rPr>
                <w:sz w:val="20"/>
                <w:szCs w:val="20"/>
              </w:rPr>
              <w:t>) или информационных систем (</w:t>
            </w:r>
            <w:hyperlink r:id="rId11" w:history="1">
              <w:r w:rsidR="002C4B4C" w:rsidRPr="002C4B4C">
                <w:rPr>
                  <w:rStyle w:val="afb"/>
                  <w:sz w:val="20"/>
                  <w:szCs w:val="20"/>
                  <w:u w:val="none"/>
                </w:rPr>
                <w:t>dsajkh@hmrn.ru</w:t>
              </w:r>
            </w:hyperlink>
            <w:r w:rsidR="002C4B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>
                <w:rPr>
                  <w:sz w:val="20"/>
                  <w:szCs w:val="20"/>
                </w:rPr>
                <w:t>kap-dsa@hmrn.ru</w:t>
              </w:r>
            </w:hyperlink>
            <w:r>
              <w:rPr>
                <w:sz w:val="20"/>
                <w:szCs w:val="20"/>
              </w:rPr>
              <w:t>);</w:t>
            </w:r>
          </w:p>
          <w:p w14:paraId="0A8B3100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в письменной или устной форме в ходе проведения слушаний (в случае проведения таких слушаний);</w:t>
            </w:r>
          </w:p>
          <w:p w14:paraId="18E38AAB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в письменной форме или в форме электронного документа, направленного в адрес уполномоченного органа;</w:t>
            </w:r>
          </w:p>
          <w:p w14:paraId="6C4B8867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      </w:r>
            <w:bookmarkStart w:id="1" w:name="Par5"/>
            <w:bookmarkEnd w:id="1"/>
          </w:p>
          <w:p w14:paraId="28BCBFCB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6C16A9A2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 &lt;*&gt;;</w:t>
            </w:r>
          </w:p>
          <w:p w14:paraId="3C76925B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 &lt;*&gt;;</w:t>
            </w:r>
          </w:p>
          <w:p w14:paraId="2BD9731E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 &lt;*&gt;;</w:t>
            </w:r>
          </w:p>
          <w:p w14:paraId="5022195E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на участие в подписании протокола общественных обсуждений, способ направления и подписания указанного протокола &lt;*&gt;.</w:t>
            </w:r>
            <w:bookmarkStart w:id="2" w:name="Par10"/>
            <w:bookmarkEnd w:id="2"/>
          </w:p>
          <w:p w14:paraId="47341253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</w:t>
            </w:r>
          </w:p>
          <w:p w14:paraId="33AFD890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&lt;*&gt; - в случае отказа участника общественных обсуждений в предоставлении сведений, в журнале учета замечаний и предложений участников общественных обсуждений уполномоченным органом делается соответствующая отметка</w:t>
            </w:r>
            <w:bookmarkStart w:id="3" w:name="Par11"/>
            <w:bookmarkEnd w:id="3"/>
          </w:p>
        </w:tc>
      </w:tr>
      <w:tr w:rsidR="002B3111" w14:paraId="5ACA9E7A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C0A3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инициирования гражданами проведения слушаний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EC15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слушаний может быть инициировано гражданами в течение 7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      </w:r>
          </w:p>
          <w:p w14:paraId="7444A450" w14:textId="4D0EF672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посредством официального сайта уполномоченного органа в сети «Интернет» (</w:t>
            </w:r>
            <w:r w:rsidR="002C4B4C">
              <w:rPr>
                <w:sz w:val="20"/>
                <w:szCs w:val="20"/>
              </w:rPr>
              <w:t>hmrn.ru</w:t>
            </w:r>
            <w:r>
              <w:rPr>
                <w:sz w:val="20"/>
                <w:szCs w:val="20"/>
              </w:rPr>
              <w:t>) или информационных систем (</w:t>
            </w:r>
            <w:hyperlink r:id="rId13" w:history="1">
              <w:r>
                <w:rPr>
                  <w:sz w:val="20"/>
                  <w:szCs w:val="20"/>
                </w:rPr>
                <w:t>kap-dsa@hmrn.ru</w:t>
              </w:r>
            </w:hyperlink>
            <w:r>
              <w:rPr>
                <w:sz w:val="20"/>
                <w:szCs w:val="20"/>
              </w:rPr>
              <w:t>,</w:t>
            </w:r>
            <w:r w:rsidR="002C4B4C">
              <w:rPr>
                <w:sz w:val="20"/>
                <w:szCs w:val="20"/>
              </w:rPr>
              <w:t xml:space="preserve"> </w:t>
            </w:r>
            <w:hyperlink r:id="rId14" w:history="1">
              <w:r w:rsidR="002C4B4C" w:rsidRPr="002C4B4C">
                <w:rPr>
                  <w:rStyle w:val="afb"/>
                  <w:sz w:val="20"/>
                  <w:szCs w:val="20"/>
                  <w:u w:val="none"/>
                </w:rPr>
                <w:t>dsajkh@hmrn.ru</w:t>
              </w:r>
            </w:hyperlink>
            <w:r>
              <w:rPr>
                <w:sz w:val="20"/>
                <w:szCs w:val="20"/>
              </w:rPr>
              <w:t>);</w:t>
            </w:r>
          </w:p>
          <w:p w14:paraId="0860843B" w14:textId="344F8831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письменной форме или в форме электронного документа в адрес уполномоченного органа по адресу: 628012, Тюменская область, Ханты-Мансийский автономный округ – Югра, г.Ханты-Мансийск, ул.Гагарина, д.142, </w:t>
            </w:r>
            <w:hyperlink r:id="rId15" w:history="1">
              <w:r w:rsidR="00C57855" w:rsidRPr="002C4B4C">
                <w:rPr>
                  <w:rStyle w:val="afb"/>
                  <w:sz w:val="20"/>
                  <w:szCs w:val="20"/>
                  <w:u w:val="none"/>
                </w:rPr>
                <w:t>dsajkh@hmrn.ru</w:t>
              </w:r>
            </w:hyperlink>
            <w:r w:rsidR="00C57855">
              <w:rPr>
                <w:sz w:val="20"/>
                <w:szCs w:val="20"/>
              </w:rPr>
              <w:t>, Д</w:t>
            </w:r>
            <w:r>
              <w:rPr>
                <w:sz w:val="20"/>
                <w:szCs w:val="20"/>
              </w:rPr>
              <w:t xml:space="preserve">епартамент строительства, архитектуры и ЖКХ </w:t>
            </w:r>
            <w:r w:rsidR="00C57855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дминистрации Ханты-Мансийского района.</w:t>
            </w:r>
          </w:p>
          <w:p w14:paraId="79BD85F3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</w:t>
            </w:r>
            <w:r>
              <w:rPr>
                <w:sz w:val="20"/>
                <w:szCs w:val="20"/>
              </w:rPr>
              <w:lastRenderedPageBreak/>
              <w:t>законодательством Российской Федерации в области персональных данных</w:t>
            </w:r>
          </w:p>
          <w:p w14:paraId="76C8B628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Уведомление о слушаниях, содержащее электронную ссылку на размещенное (опубликованное) уведомление об обсуждениях размещается (опубликовывается):</w:t>
            </w:r>
          </w:p>
          <w:p w14:paraId="0D01188A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(или) в информационной системе;</w:t>
            </w:r>
          </w:p>
          <w:p w14:paraId="7E173148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федеральной государственной информационной системе состояния окружающей среды.</w:t>
            </w:r>
          </w:p>
        </w:tc>
      </w:tr>
    </w:tbl>
    <w:p w14:paraId="2A2E89F6" w14:textId="77777777" w:rsidR="002B3111" w:rsidRDefault="002B3111">
      <w:pPr>
        <w:pStyle w:val="af7"/>
        <w:rPr>
          <w:b/>
          <w:bCs/>
        </w:rPr>
      </w:pPr>
    </w:p>
    <w:sectPr w:rsidR="002B3111">
      <w:pgSz w:w="11910" w:h="16840"/>
      <w:pgMar w:top="426" w:right="851" w:bottom="993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578C3" w14:textId="77777777" w:rsidR="003540F0" w:rsidRDefault="003540F0">
      <w:r>
        <w:rPr>
          <w:sz w:val="24"/>
          <w:szCs w:val="24"/>
        </w:rPr>
        <w:separator/>
      </w:r>
    </w:p>
  </w:endnote>
  <w:endnote w:type="continuationSeparator" w:id="0">
    <w:p w14:paraId="523CF16E" w14:textId="77777777" w:rsidR="003540F0" w:rsidRDefault="003540F0">
      <w:r>
        <w:rPr>
          <w:sz w:val="24"/>
          <w:szCs w:val="24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F2E39" w14:textId="77777777" w:rsidR="003540F0" w:rsidRDefault="003540F0">
      <w:r>
        <w:rPr>
          <w:sz w:val="24"/>
          <w:szCs w:val="24"/>
        </w:rPr>
        <w:separator/>
      </w:r>
    </w:p>
  </w:footnote>
  <w:footnote w:type="continuationSeparator" w:id="0">
    <w:p w14:paraId="55E89BED" w14:textId="77777777" w:rsidR="003540F0" w:rsidRDefault="003540F0"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hanging="180"/>
      </w:pPr>
      <w:rPr>
        <w:rFonts w:cs="Times New Roman"/>
      </w:rPr>
    </w:lvl>
  </w:abstractNum>
  <w:abstractNum w:abstractNumId="1" w15:restartNumberingAfterBreak="0">
    <w:nsid w:val="515D2D78"/>
    <w:multiLevelType w:val="hybridMultilevel"/>
    <w:tmpl w:val="48FC7300"/>
    <w:lvl w:ilvl="0" w:tplc="329E3D0A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3328F7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D88A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5E8A7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B60A2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FFA0C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D4E6D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03EC0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98856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CC"/>
    <w:rsid w:val="00044A36"/>
    <w:rsid w:val="00174FE6"/>
    <w:rsid w:val="001D5D0A"/>
    <w:rsid w:val="00253177"/>
    <w:rsid w:val="002B3111"/>
    <w:rsid w:val="002C4B4C"/>
    <w:rsid w:val="003540F0"/>
    <w:rsid w:val="0037269C"/>
    <w:rsid w:val="004A4354"/>
    <w:rsid w:val="00500A78"/>
    <w:rsid w:val="00547A78"/>
    <w:rsid w:val="00604FF3"/>
    <w:rsid w:val="006718AB"/>
    <w:rsid w:val="006C3400"/>
    <w:rsid w:val="00707DC2"/>
    <w:rsid w:val="00736089"/>
    <w:rsid w:val="00826050"/>
    <w:rsid w:val="00881948"/>
    <w:rsid w:val="008F317B"/>
    <w:rsid w:val="009E283C"/>
    <w:rsid w:val="00AC4FCC"/>
    <w:rsid w:val="00B965C8"/>
    <w:rsid w:val="00BC1987"/>
    <w:rsid w:val="00C57855"/>
    <w:rsid w:val="00D21332"/>
    <w:rsid w:val="00DB0ADB"/>
    <w:rsid w:val="00FE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95C0B"/>
  <w14:defaultImageDpi w14:val="0"/>
  <w15:docId w15:val="{2F00A7CF-FD97-48A2-8C7E-C227C36B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Grid Table Light" w:uiPriority="40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NewRoman" w:hAnsi="TimesNewRoman" w:cs="TimesNew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Sans" w:hAnsi="LiberationSans" w:cs="LiberationSans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200"/>
      <w:outlineLvl w:val="1"/>
    </w:pPr>
    <w:rPr>
      <w:rFonts w:ascii="LiberationSans" w:hAnsi="LiberationSans" w:cs="LiberationSans"/>
      <w:sz w:val="34"/>
      <w:szCs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LiberationSans" w:hAnsi="LiberationSans" w:cs="LiberationSans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LiberationSans" w:hAnsi="LiberationSans" w:cs="Liberation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LiberationSans" w:hAnsi="LiberationSans" w:cs="Liberation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LiberationSans" w:hAnsi="LiberationSans" w:cs="LiberationSans"/>
      <w:b/>
      <w:bCs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/>
      <w:outlineLvl w:val="6"/>
    </w:pPr>
    <w:rPr>
      <w:rFonts w:ascii="LiberationSans" w:hAnsi="LiberationSans" w:cs="LiberationSans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spacing w:before="320" w:after="200"/>
      <w:outlineLvl w:val="7"/>
    </w:pPr>
    <w:rPr>
      <w:rFonts w:ascii="LiberationSans" w:hAnsi="LiberationSans" w:cs="LiberationSans"/>
      <w:i/>
      <w:iCs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/>
      <w:outlineLvl w:val="8"/>
    </w:pPr>
    <w:rPr>
      <w:rFonts w:ascii="LiberationSans" w:hAnsi="LiberationSans" w:cs="Liberation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character" w:customStyle="1" w:styleId="Heading1Char">
    <w:name w:val="Heading 1 Char"/>
    <w:basedOn w:val="a0"/>
    <w:uiPriority w:val="99"/>
    <w:rPr>
      <w:rFonts w:ascii="LiberationSans" w:hAnsi="LiberationSans" w:cs="LiberationSans"/>
      <w:sz w:val="40"/>
      <w:szCs w:val="40"/>
    </w:rPr>
  </w:style>
  <w:style w:type="character" w:customStyle="1" w:styleId="Heading2Char">
    <w:name w:val="Heading 2 Char"/>
    <w:basedOn w:val="a0"/>
    <w:uiPriority w:val="99"/>
    <w:rPr>
      <w:rFonts w:ascii="LiberationSans" w:hAnsi="LiberationSans" w:cs="LiberationSans"/>
      <w:sz w:val="34"/>
      <w:szCs w:val="34"/>
    </w:rPr>
  </w:style>
  <w:style w:type="character" w:customStyle="1" w:styleId="Heading3Char">
    <w:name w:val="Heading 3 Char"/>
    <w:basedOn w:val="a0"/>
    <w:uiPriority w:val="99"/>
    <w:rPr>
      <w:rFonts w:ascii="LiberationSans" w:hAnsi="LiberationSans" w:cs="LiberationSans"/>
      <w:sz w:val="30"/>
      <w:szCs w:val="30"/>
    </w:rPr>
  </w:style>
  <w:style w:type="character" w:customStyle="1" w:styleId="Heading4Char">
    <w:name w:val="Heading 4 Char"/>
    <w:basedOn w:val="a0"/>
    <w:uiPriority w:val="99"/>
    <w:rPr>
      <w:rFonts w:ascii="LiberationSans" w:hAnsi="LiberationSans" w:cs="LiberationSans"/>
      <w:b/>
      <w:bCs/>
      <w:sz w:val="26"/>
      <w:szCs w:val="26"/>
    </w:rPr>
  </w:style>
  <w:style w:type="character" w:customStyle="1" w:styleId="Heading5Char">
    <w:name w:val="Heading 5 Char"/>
    <w:basedOn w:val="a0"/>
    <w:uiPriority w:val="99"/>
    <w:rPr>
      <w:rFonts w:ascii="LiberationSans" w:hAnsi="LiberationSans" w:cs="LiberationSans"/>
      <w:b/>
      <w:bCs/>
    </w:rPr>
  </w:style>
  <w:style w:type="character" w:customStyle="1" w:styleId="Heading6Char">
    <w:name w:val="Heading 6 Char"/>
    <w:basedOn w:val="a0"/>
    <w:uiPriority w:val="99"/>
    <w:rPr>
      <w:rFonts w:ascii="LiberationSans" w:hAnsi="LiberationSans" w:cs="LiberationSans"/>
      <w:b/>
      <w:bCs/>
      <w:sz w:val="22"/>
      <w:szCs w:val="22"/>
    </w:rPr>
  </w:style>
  <w:style w:type="character" w:customStyle="1" w:styleId="Heading7Char">
    <w:name w:val="Heading 7 Char"/>
    <w:basedOn w:val="a0"/>
    <w:uiPriority w:val="99"/>
    <w:rPr>
      <w:rFonts w:ascii="LiberationSans" w:hAnsi="LiberationSans" w:cs="Liberation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9"/>
    <w:rPr>
      <w:rFonts w:ascii="LiberationSans" w:hAnsi="LiberationSans" w:cs="LiberationSans"/>
      <w:i/>
      <w:iCs/>
      <w:sz w:val="22"/>
      <w:szCs w:val="22"/>
    </w:rPr>
  </w:style>
  <w:style w:type="character" w:customStyle="1" w:styleId="Heading9Char">
    <w:name w:val="Heading 9 Char"/>
    <w:basedOn w:val="a0"/>
    <w:uiPriority w:val="99"/>
    <w:rPr>
      <w:rFonts w:ascii="LiberationSans" w:hAnsi="LiberationSans" w:cs="LiberationSans"/>
      <w:i/>
      <w:iCs/>
      <w:sz w:val="21"/>
      <w:szCs w:val="21"/>
    </w:rPr>
  </w:style>
  <w:style w:type="paragraph" w:styleId="a3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pPr>
      <w:spacing w:before="300" w:after="200"/>
      <w:contextualSpacing/>
    </w:pPr>
    <w:rPr>
      <w:rFonts w:ascii="LiberationSans" w:hAnsi="LiberationSans" w:cs="LiberationSans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a0"/>
    <w:uiPriority w:val="99"/>
    <w:rPr>
      <w:rFonts w:ascii="LiberationSans" w:hAnsi="LiberationSans" w:cs="LiberationSans"/>
      <w:sz w:val="48"/>
      <w:szCs w:val="48"/>
    </w:rPr>
  </w:style>
  <w:style w:type="paragraph" w:styleId="a6">
    <w:name w:val="Subtitle"/>
    <w:basedOn w:val="a"/>
    <w:next w:val="a"/>
    <w:link w:val="a7"/>
    <w:uiPriority w:val="99"/>
    <w:qFormat/>
    <w:pPr>
      <w:spacing w:before="200" w:after="200"/>
    </w:pPr>
    <w:rPr>
      <w:rFonts w:ascii="LiberationSans" w:hAnsi="LiberationSans" w:cs="LiberationSans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a0"/>
    <w:uiPriority w:val="99"/>
    <w:rPr>
      <w:rFonts w:ascii="LiberationSans" w:hAnsi="LiberationSans" w:cs="LiberationSans"/>
    </w:rPr>
  </w:style>
  <w:style w:type="paragraph" w:styleId="21">
    <w:name w:val="Quote"/>
    <w:basedOn w:val="a"/>
    <w:next w:val="a"/>
    <w:link w:val="22"/>
    <w:uiPriority w:val="99"/>
    <w:qFormat/>
    <w:pPr>
      <w:ind w:left="720"/>
    </w:pPr>
    <w:rPr>
      <w:rFonts w:ascii="LiberationSans" w:hAnsi="LiberationSans" w:cs="LiberationSans"/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locked/>
    <w:rPr>
      <w:rFonts w:cs="Times New Roman"/>
      <w:i/>
      <w:iCs/>
      <w:color w:val="404040" w:themeColor="text1" w:themeTint="BF"/>
    </w:rPr>
  </w:style>
  <w:style w:type="character" w:customStyle="1" w:styleId="QuoteChar">
    <w:name w:val="Quote Char"/>
    <w:uiPriority w:val="99"/>
    <w:rPr>
      <w:rFonts w:ascii="LiberationSans" w:hAnsi="LiberationSans"/>
      <w:i/>
    </w:rPr>
  </w:style>
  <w:style w:type="paragraph" w:styleId="a8">
    <w:name w:val="Intense Quote"/>
    <w:basedOn w:val="a"/>
    <w:next w:val="a"/>
    <w:link w:val="a9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contextualSpacing/>
    </w:pPr>
    <w:rPr>
      <w:rFonts w:ascii="LiberationSans" w:hAnsi="LiberationSans" w:cs="LiberationSans"/>
      <w:i/>
      <w:iCs/>
      <w:sz w:val="24"/>
      <w:szCs w:val="24"/>
    </w:rPr>
  </w:style>
  <w:style w:type="character" w:customStyle="1" w:styleId="a9">
    <w:name w:val="Выделенная цитата Знак"/>
    <w:basedOn w:val="a0"/>
    <w:link w:val="a8"/>
    <w:uiPriority w:val="30"/>
    <w:locked/>
    <w:rPr>
      <w:rFonts w:cs="Times New Roman"/>
      <w:i/>
      <w:iCs/>
      <w:color w:val="5B9BD5" w:themeColor="accent1"/>
    </w:rPr>
  </w:style>
  <w:style w:type="character" w:customStyle="1" w:styleId="IntenseQuoteChar">
    <w:name w:val="Intense Quote Char"/>
    <w:uiPriority w:val="99"/>
    <w:rPr>
      <w:rFonts w:ascii="LiberationSans" w:hAnsi="LiberationSans"/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  <w:rPr>
      <w:rFonts w:ascii="LiberationSans" w:hAnsi="LiberationSans" w:cs="LiberationSans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cs="Times New Roman"/>
    </w:rPr>
  </w:style>
  <w:style w:type="character" w:customStyle="1" w:styleId="HeaderChar">
    <w:name w:val="Header Char"/>
    <w:basedOn w:val="a0"/>
    <w:uiPriority w:val="99"/>
    <w:rPr>
      <w:rFonts w:ascii="LiberationSans" w:hAnsi="LiberationSans" w:cs="LiberationSans"/>
    </w:rPr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  <w:rPr>
      <w:rFonts w:ascii="LiberationSans" w:hAnsi="LiberationSans" w:cs="LiberationSans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cs="Times New Roman"/>
    </w:rPr>
  </w:style>
  <w:style w:type="character" w:customStyle="1" w:styleId="FooterChar">
    <w:name w:val="Footer Char"/>
    <w:basedOn w:val="a0"/>
    <w:uiPriority w:val="99"/>
    <w:rPr>
      <w:rFonts w:ascii="LiberationSans" w:hAnsi="LiberationSans" w:cs="LiberationSans"/>
    </w:rPr>
  </w:style>
  <w:style w:type="paragraph" w:styleId="ae">
    <w:name w:val="caption"/>
    <w:basedOn w:val="a"/>
    <w:next w:val="a"/>
    <w:uiPriority w:val="99"/>
    <w:qFormat/>
    <w:pPr>
      <w:spacing w:line="276" w:lineRule="auto"/>
    </w:pPr>
    <w:rPr>
      <w:rFonts w:ascii="LiberationSans" w:hAnsi="LiberationSans" w:cs="LiberationSans"/>
      <w:b/>
      <w:bCs/>
      <w:color w:val="4F81BD"/>
      <w:sz w:val="18"/>
      <w:szCs w:val="18"/>
    </w:rPr>
  </w:style>
  <w:style w:type="character" w:customStyle="1" w:styleId="CaptionChar">
    <w:name w:val="Caption Char"/>
    <w:basedOn w:val="a0"/>
    <w:uiPriority w:val="99"/>
    <w:rPr>
      <w:rFonts w:ascii="LiberationSans" w:hAnsi="LiberationSans" w:cs="LiberationSans"/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/>
  </w:style>
  <w:style w:type="table" w:styleId="11">
    <w:name w:val="Plain Tab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/>
  </w:style>
  <w:style w:type="table" w:styleId="23">
    <w:name w:val="Plain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/>
  </w:style>
  <w:style w:type="table" w:styleId="31">
    <w:name w:val="Plain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41">
    <w:name w:val="Plain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51">
    <w:name w:val="Plain Table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1">
    <w:name w:val="Grid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2">
    <w:name w:val="Grid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3">
    <w:name w:val="Grid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4">
    <w:name w:val="Grid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5">
    <w:name w:val="Grid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6">
    <w:name w:val="Grid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7">
    <w:name w:val="Grid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10">
    <w:name w:val="List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20">
    <w:name w:val="List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30">
    <w:name w:val="List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40">
    <w:name w:val="List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50">
    <w:name w:val="List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60">
    <w:name w:val="List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70">
    <w:name w:val="List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rFonts w:ascii="LiberationSans" w:hAnsi="LiberationSans" w:cs="LiberationSans"/>
      <w:sz w:val="18"/>
      <w:szCs w:val="18"/>
    </w:rPr>
  </w:style>
  <w:style w:type="character" w:customStyle="1" w:styleId="af0">
    <w:name w:val="Текст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customStyle="1" w:styleId="FootnoteTextChar">
    <w:name w:val="Footnote Text Char"/>
    <w:uiPriority w:val="99"/>
    <w:rPr>
      <w:rFonts w:ascii="LiberationSans" w:hAnsi="LiberationSans"/>
      <w:sz w:val="18"/>
    </w:rPr>
  </w:style>
  <w:style w:type="character" w:styleId="af1">
    <w:name w:val="footnote reference"/>
    <w:basedOn w:val="a0"/>
    <w:uiPriority w:val="99"/>
    <w:unhideWhenUsed/>
    <w:rPr>
      <w:rFonts w:ascii="LiberationSans" w:hAnsi="LiberationSans" w:cs="LiberationSans"/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rFonts w:ascii="LiberationSans" w:hAnsi="LiberationSans" w:cs="LiberationSans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Pr>
      <w:rFonts w:cs="Times New Roman"/>
      <w:sz w:val="20"/>
      <w:szCs w:val="20"/>
    </w:rPr>
  </w:style>
  <w:style w:type="character" w:customStyle="1" w:styleId="EndnoteTextChar">
    <w:name w:val="Endnote Text Char"/>
    <w:uiPriority w:val="99"/>
    <w:rPr>
      <w:rFonts w:ascii="LiberationSans" w:hAnsi="LiberationSans"/>
      <w:sz w:val="20"/>
    </w:rPr>
  </w:style>
  <w:style w:type="character" w:styleId="af4">
    <w:name w:val="endnote reference"/>
    <w:basedOn w:val="a0"/>
    <w:uiPriority w:val="99"/>
    <w:semiHidden/>
    <w:unhideWhenUsed/>
    <w:rPr>
      <w:rFonts w:ascii="LiberationSans" w:hAnsi="LiberationSans" w:cs="LiberationSans"/>
      <w:vertAlign w:val="superscript"/>
    </w:rPr>
  </w:style>
  <w:style w:type="paragraph" w:styleId="12">
    <w:name w:val="toc 1"/>
    <w:basedOn w:val="a"/>
    <w:next w:val="a"/>
    <w:uiPriority w:val="99"/>
    <w:unhideWhenUsed/>
    <w:pPr>
      <w:spacing w:after="57"/>
    </w:pPr>
    <w:rPr>
      <w:rFonts w:ascii="LiberationSans" w:hAnsi="LiberationSans" w:cs="LiberationSans"/>
      <w:sz w:val="24"/>
      <w:szCs w:val="24"/>
    </w:rPr>
  </w:style>
  <w:style w:type="paragraph" w:styleId="24">
    <w:name w:val="toc 2"/>
    <w:basedOn w:val="a"/>
    <w:next w:val="a"/>
    <w:uiPriority w:val="99"/>
    <w:unhideWhenUsed/>
    <w:pPr>
      <w:spacing w:after="57"/>
      <w:ind w:left="283"/>
    </w:pPr>
    <w:rPr>
      <w:rFonts w:ascii="LiberationSans" w:hAnsi="LiberationSans" w:cs="LiberationSans"/>
      <w:sz w:val="24"/>
      <w:szCs w:val="24"/>
    </w:rPr>
  </w:style>
  <w:style w:type="paragraph" w:styleId="32">
    <w:name w:val="toc 3"/>
    <w:basedOn w:val="a"/>
    <w:next w:val="a"/>
    <w:uiPriority w:val="99"/>
    <w:unhideWhenUsed/>
    <w:pPr>
      <w:spacing w:after="57"/>
      <w:ind w:left="567"/>
    </w:pPr>
    <w:rPr>
      <w:rFonts w:ascii="LiberationSans" w:hAnsi="LiberationSans" w:cs="LiberationSans"/>
      <w:sz w:val="24"/>
      <w:szCs w:val="24"/>
    </w:rPr>
  </w:style>
  <w:style w:type="paragraph" w:styleId="42">
    <w:name w:val="toc 4"/>
    <w:basedOn w:val="a"/>
    <w:next w:val="a"/>
    <w:uiPriority w:val="99"/>
    <w:unhideWhenUsed/>
    <w:pPr>
      <w:spacing w:after="57"/>
      <w:ind w:left="850"/>
    </w:pPr>
    <w:rPr>
      <w:rFonts w:ascii="LiberationSans" w:hAnsi="LiberationSans" w:cs="LiberationSans"/>
      <w:sz w:val="24"/>
      <w:szCs w:val="24"/>
    </w:rPr>
  </w:style>
  <w:style w:type="paragraph" w:styleId="52">
    <w:name w:val="toc 5"/>
    <w:basedOn w:val="a"/>
    <w:next w:val="a"/>
    <w:uiPriority w:val="99"/>
    <w:unhideWhenUsed/>
    <w:pPr>
      <w:spacing w:after="57"/>
      <w:ind w:left="1134"/>
    </w:pPr>
    <w:rPr>
      <w:rFonts w:ascii="LiberationSans" w:hAnsi="LiberationSans" w:cs="LiberationSans"/>
      <w:sz w:val="24"/>
      <w:szCs w:val="24"/>
    </w:rPr>
  </w:style>
  <w:style w:type="paragraph" w:styleId="61">
    <w:name w:val="toc 6"/>
    <w:basedOn w:val="a"/>
    <w:next w:val="a"/>
    <w:uiPriority w:val="99"/>
    <w:unhideWhenUsed/>
    <w:pPr>
      <w:spacing w:after="57"/>
      <w:ind w:left="1417"/>
    </w:pPr>
    <w:rPr>
      <w:rFonts w:ascii="LiberationSans" w:hAnsi="LiberationSans" w:cs="LiberationSans"/>
      <w:sz w:val="24"/>
      <w:szCs w:val="24"/>
    </w:rPr>
  </w:style>
  <w:style w:type="paragraph" w:styleId="71">
    <w:name w:val="toc 7"/>
    <w:basedOn w:val="a"/>
    <w:next w:val="a"/>
    <w:uiPriority w:val="99"/>
    <w:unhideWhenUsed/>
    <w:pPr>
      <w:spacing w:after="57"/>
      <w:ind w:left="1701"/>
    </w:pPr>
    <w:rPr>
      <w:rFonts w:ascii="LiberationSans" w:hAnsi="LiberationSans" w:cs="LiberationSans"/>
      <w:sz w:val="24"/>
      <w:szCs w:val="24"/>
    </w:rPr>
  </w:style>
  <w:style w:type="paragraph" w:styleId="81">
    <w:name w:val="toc 8"/>
    <w:basedOn w:val="a"/>
    <w:next w:val="a"/>
    <w:uiPriority w:val="99"/>
    <w:unhideWhenUsed/>
    <w:pPr>
      <w:spacing w:after="57"/>
      <w:ind w:left="1984"/>
    </w:pPr>
    <w:rPr>
      <w:rFonts w:ascii="LiberationSans" w:hAnsi="LiberationSans" w:cs="LiberationSans"/>
      <w:sz w:val="24"/>
      <w:szCs w:val="24"/>
    </w:rPr>
  </w:style>
  <w:style w:type="paragraph" w:styleId="91">
    <w:name w:val="toc 9"/>
    <w:basedOn w:val="a"/>
    <w:next w:val="a"/>
    <w:uiPriority w:val="99"/>
    <w:unhideWhenUsed/>
    <w:pPr>
      <w:spacing w:after="57"/>
      <w:ind w:left="2268"/>
    </w:pPr>
    <w:rPr>
      <w:rFonts w:ascii="LiberationSans" w:hAnsi="LiberationSans" w:cs="LiberationSans"/>
      <w:sz w:val="24"/>
      <w:szCs w:val="24"/>
    </w:rPr>
  </w:style>
  <w:style w:type="paragraph" w:styleId="af5">
    <w:name w:val="TOC Heading"/>
    <w:basedOn w:val="1"/>
    <w:next w:val="a"/>
    <w:uiPriority w:val="99"/>
    <w:qFormat/>
    <w:pPr>
      <w:keepNext w:val="0"/>
      <w:keepLines w:val="0"/>
      <w:spacing w:before="0" w:after="0"/>
      <w:outlineLvl w:val="9"/>
    </w:pPr>
    <w:rPr>
      <w:sz w:val="24"/>
      <w:szCs w:val="24"/>
    </w:rPr>
  </w:style>
  <w:style w:type="paragraph" w:styleId="af6">
    <w:name w:val="table of figures"/>
    <w:basedOn w:val="a"/>
    <w:next w:val="a"/>
    <w:uiPriority w:val="99"/>
    <w:unhideWhenUsed/>
    <w:rPr>
      <w:rFonts w:ascii="LiberationSans" w:hAnsi="LiberationSans" w:cs="LiberationSans"/>
      <w:sz w:val="24"/>
      <w:szCs w:val="24"/>
    </w:rPr>
  </w:style>
  <w:style w:type="paragraph" w:styleId="af7">
    <w:name w:val="Body Text"/>
    <w:basedOn w:val="a"/>
    <w:link w:val="af8"/>
    <w:uiPriority w:val="99"/>
    <w:qFormat/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99"/>
    <w:semiHidden/>
    <w:locked/>
    <w:rPr>
      <w:rFonts w:ascii="TimesNewRoman" w:hAnsi="TimesNewRoman" w:cs="TimesNewRoman"/>
    </w:rPr>
  </w:style>
  <w:style w:type="paragraph" w:styleId="af9">
    <w:name w:val="List Paragraph"/>
    <w:basedOn w:val="a"/>
    <w:uiPriority w:val="99"/>
    <w:qFormat/>
    <w:rPr>
      <w:sz w:val="24"/>
      <w:szCs w:val="24"/>
    </w:rPr>
  </w:style>
  <w:style w:type="paragraph" w:customStyle="1" w:styleId="TableParagraph">
    <w:name w:val="Table Paragraph"/>
    <w:basedOn w:val="a"/>
    <w:uiPriority w:val="99"/>
    <w:qFormat/>
    <w:pPr>
      <w:ind w:left="107"/>
    </w:pPr>
    <w:rPr>
      <w:sz w:val="24"/>
      <w:szCs w:val="24"/>
    </w:rPr>
  </w:style>
  <w:style w:type="table" w:styleId="afa">
    <w:name w:val="Table Gri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  <w:tblPr/>
  </w:style>
  <w:style w:type="character" w:styleId="afb">
    <w:name w:val="Hyperlink"/>
    <w:basedOn w:val="a0"/>
    <w:uiPriority w:val="99"/>
    <w:rPr>
      <w:rFonts w:ascii="TimesNewRoman" w:hAnsi="TimesNewRoman" w:cs="TimesNewRoman"/>
      <w:color w:val="0563C1"/>
      <w:u w:val="single"/>
    </w:rPr>
  </w:style>
  <w:style w:type="character" w:styleId="afc">
    <w:name w:val="FollowedHyperlink"/>
    <w:basedOn w:val="a0"/>
    <w:uiPriority w:val="99"/>
    <w:rPr>
      <w:rFonts w:ascii="TimesNewRoman" w:hAnsi="TimesNewRoman" w:cs="TimesNewRoman"/>
      <w:color w:val="954F72"/>
      <w:u w:val="single"/>
    </w:rPr>
  </w:style>
  <w:style w:type="paragraph" w:styleId="afd">
    <w:name w:val="Balloon Text"/>
    <w:basedOn w:val="a"/>
    <w:link w:val="afe"/>
    <w:uiPriority w:val="99"/>
    <w:rPr>
      <w:rFonts w:ascii="SegoeUI" w:hAnsi="SegoeUI" w:cs="Segoe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locked/>
    <w:rPr>
      <w:rFonts w:ascii="SegoeUI" w:hAnsi="SegoeUI" w:cs="SegoeUI"/>
      <w:sz w:val="18"/>
      <w:szCs w:val="18"/>
    </w:rPr>
  </w:style>
  <w:style w:type="character" w:customStyle="1" w:styleId="itemtext1">
    <w:name w:val="itemtext1"/>
    <w:uiPriority w:val="99"/>
    <w:rPr>
      <w:rFonts w:ascii="SegoeUI" w:hAnsi="SegoeUI"/>
      <w:color w:val="000000"/>
    </w:rPr>
  </w:style>
  <w:style w:type="character" w:styleId="aff">
    <w:name w:val="Unresolved Mention"/>
    <w:basedOn w:val="a0"/>
    <w:uiPriority w:val="99"/>
    <w:semiHidden/>
    <w:unhideWhenUsed/>
    <w:rsid w:val="002C4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T.LN-Gi@surgutneftegas.ru" TargetMode="External"/><Relationship Id="rId13" Type="http://schemas.openxmlformats.org/officeDocument/2006/relationships/hyperlink" Target="mailto:kap-dsa@hmr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UT.LN-Gi@surgutneftegas.ru" TargetMode="External"/><Relationship Id="rId12" Type="http://schemas.openxmlformats.org/officeDocument/2006/relationships/hyperlink" Target="mailto:kap-dsa@hmrn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sajkh@hmrn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sajkh@hmrn.ru" TargetMode="External"/><Relationship Id="rId10" Type="http://schemas.openxmlformats.org/officeDocument/2006/relationships/hyperlink" Target="https://www.surgutneftegas.ru/responsibility/ecology/svedeniya-dlya-obshchestvennosti/svedeniya-ob-otsenke-vozdeystviya-na-okruzhayushchuyu-sredu-namechaemoy-khozyaystvennoy-deyatelnosti/materialy-ovo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rgutneftegas.ru/responsibility/ecology/svedeniya-dlya-obshchestvennosti/svedeniya-ob-otsenke-vozdeystviya-na-okruzhayushchuyu-sredu-namechaemoy-khozyaystvennoy-deyatelnosti/materialy-predvaritelnoy-ovos/" TargetMode="External"/><Relationship Id="rId14" Type="http://schemas.openxmlformats.org/officeDocument/2006/relationships/hyperlink" Target="mailto:dsajkh@hm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1875</Words>
  <Characters>10689</Characters>
  <Application>Microsoft Office Word</Application>
  <DocSecurity>0</DocSecurity>
  <Lines>89</Lines>
  <Paragraphs>25</Paragraphs>
  <ScaleCrop>false</ScaleCrop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&amp;amp;amp;amp;amp;amp;lt;4D6963726F736F667420576F7264202D20323032342E30342E31375FEFF0EEE5EAF220F3E2E5E4EEECEBE5EDE8FF20EE20F1EBF3F8E0EDE8FFF55FF1E2E0EBEAE020D2CACE20CFEEEBEDEEE2E0F2&amp;amp;amp;amp;amp;amp;gt;</dc:title>
  <dc:subject/>
  <dc:creator>astapovich_tg</dc:creator>
  <cp:keywords/>
  <dc:description/>
  <cp:lastModifiedBy>Алена Корепанова</cp:lastModifiedBy>
  <cp:revision>3</cp:revision>
  <cp:lastPrinted>2026-08-03T04:22:00Z</cp:lastPrinted>
  <dcterms:created xsi:type="dcterms:W3CDTF">2026-08-10T11:53:00Z</dcterms:created>
  <dcterms:modified xsi:type="dcterms:W3CDTF">2026-08-10T12:16:00Z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Р7-Офис/2026.1.2.1942</vt:lpwstr>
  </property>
</Properties>
</file>