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6F2" w:rsidRDefault="00AD66F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D66F2" w:rsidRDefault="00AD66F2">
      <w:pPr>
        <w:pStyle w:val="ConsPlusNormal"/>
        <w:outlineLvl w:val="0"/>
      </w:pPr>
    </w:p>
    <w:p w:rsidR="00AD66F2" w:rsidRDefault="00AD66F2">
      <w:pPr>
        <w:pStyle w:val="ConsPlusTitle"/>
        <w:jc w:val="center"/>
        <w:outlineLvl w:val="0"/>
      </w:pPr>
      <w:r>
        <w:t>ДУМА ХАНТЫ-МАНСИЙСКОГО РАЙОНА</w:t>
      </w:r>
    </w:p>
    <w:p w:rsidR="00AD66F2" w:rsidRDefault="00AD66F2">
      <w:pPr>
        <w:pStyle w:val="ConsPlusTitle"/>
        <w:jc w:val="center"/>
      </w:pPr>
    </w:p>
    <w:p w:rsidR="00AD66F2" w:rsidRDefault="00AD66F2">
      <w:pPr>
        <w:pStyle w:val="ConsPlusTitle"/>
        <w:jc w:val="center"/>
      </w:pPr>
      <w:r>
        <w:t>РЕШЕНИЕ</w:t>
      </w:r>
    </w:p>
    <w:p w:rsidR="00AD66F2" w:rsidRDefault="00AD66F2">
      <w:pPr>
        <w:pStyle w:val="ConsPlusTitle"/>
        <w:jc w:val="center"/>
      </w:pPr>
      <w:r>
        <w:t>от 22 ноября 2024 г. N 532</w:t>
      </w:r>
    </w:p>
    <w:p w:rsidR="00AD66F2" w:rsidRDefault="00AD66F2">
      <w:pPr>
        <w:pStyle w:val="ConsPlusTitle"/>
        <w:jc w:val="center"/>
      </w:pPr>
    </w:p>
    <w:p w:rsidR="00AD66F2" w:rsidRDefault="00AD66F2">
      <w:pPr>
        <w:pStyle w:val="ConsPlusTitle"/>
        <w:jc w:val="center"/>
      </w:pPr>
      <w:r>
        <w:t>ОБ УСТАНОВЛЕНИИ НАЛОГА НА ИМУЩЕСТВО ФИЗИЧЕСКИХ ЛИЦ</w:t>
      </w:r>
    </w:p>
    <w:p w:rsidR="00AD66F2" w:rsidRDefault="00AD66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D66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6F2" w:rsidRDefault="00AD66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6F2" w:rsidRDefault="00AD66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66F2" w:rsidRDefault="00AD66F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66F2" w:rsidRDefault="00AD66F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Ханты-Мансийского района от 26.06.2026 N 771)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6F2" w:rsidRDefault="00AD66F2">
            <w:pPr>
              <w:pStyle w:val="ConsPlusNormal"/>
            </w:pPr>
          </w:p>
        </w:tc>
      </w:tr>
    </w:tbl>
    <w:p w:rsidR="00AD66F2" w:rsidRDefault="00AD66F2">
      <w:pPr>
        <w:pStyle w:val="ConsPlusNormal"/>
        <w:ind w:firstLine="540"/>
        <w:jc w:val="both"/>
      </w:pPr>
    </w:p>
    <w:p w:rsidR="00AD66F2" w:rsidRDefault="00AD66F2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главой 32</w:t>
        </w:r>
      </w:hyperlink>
      <w:r>
        <w:t xml:space="preserve"> Налогового кодекса Российской Федерации,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Российской Федерации от 06.10.2003 N 131-ФЗ "Об общих принципах организации местного самоуправления в Российской Федерации", </w:t>
      </w:r>
      <w:hyperlink r:id="rId8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17.10.2014 N 81-оз "Об установлении единой даты начала применения на территории Ханты-Мансийского автономного округа - Югры порядка определения налоговой базы по налогу на имущество физических лиц исходя из кадастровой стоимости объектов налогообложения", на основании </w:t>
      </w:r>
      <w:hyperlink r:id="rId9">
        <w:r>
          <w:rPr>
            <w:color w:val="0000FF"/>
          </w:rPr>
          <w:t>пункта 3 части 1 статьи 18</w:t>
        </w:r>
      </w:hyperlink>
      <w:r>
        <w:t xml:space="preserve">, </w:t>
      </w:r>
      <w:hyperlink r:id="rId10">
        <w:r>
          <w:rPr>
            <w:color w:val="0000FF"/>
          </w:rPr>
          <w:t>части 1 статьи 31</w:t>
        </w:r>
      </w:hyperlink>
      <w:r>
        <w:t xml:space="preserve"> Устава Ханты-Мансийского района, Дума Ханты-Мансийского района решила:</w:t>
      </w:r>
    </w:p>
    <w:p w:rsidR="00AD66F2" w:rsidRDefault="00AD66F2">
      <w:pPr>
        <w:pStyle w:val="ConsPlusNormal"/>
        <w:spacing w:before="220"/>
        <w:ind w:firstLine="540"/>
        <w:jc w:val="both"/>
      </w:pPr>
      <w:r>
        <w:t>1. Установить и ввести в действие на межселенной территории Ханты-Мансийского района налог на имущество физических лиц.</w:t>
      </w:r>
    </w:p>
    <w:p w:rsidR="00AD66F2" w:rsidRDefault="00AD66F2">
      <w:pPr>
        <w:pStyle w:val="ConsPlusNormal"/>
        <w:spacing w:before="220"/>
        <w:ind w:firstLine="540"/>
        <w:jc w:val="both"/>
      </w:pPr>
      <w:r>
        <w:t xml:space="preserve">2. Установить </w:t>
      </w:r>
      <w:hyperlink w:anchor="P42">
        <w:r>
          <w:rPr>
            <w:color w:val="0000FF"/>
          </w:rPr>
          <w:t>ставки</w:t>
        </w:r>
      </w:hyperlink>
      <w:r>
        <w:t xml:space="preserve"> налога на имущество физических лиц согласно </w:t>
      </w:r>
      <w:proofErr w:type="gramStart"/>
      <w:r>
        <w:t>приложению</w:t>
      </w:r>
      <w:proofErr w:type="gramEnd"/>
      <w:r>
        <w:t xml:space="preserve"> к настоящему решению.</w:t>
      </w:r>
    </w:p>
    <w:p w:rsidR="00AD66F2" w:rsidRDefault="00AD66F2">
      <w:pPr>
        <w:pStyle w:val="ConsPlusNormal"/>
        <w:spacing w:before="220"/>
        <w:ind w:firstLine="540"/>
        <w:jc w:val="both"/>
      </w:pPr>
      <w:r>
        <w:t>3. Признать утратившими силу решения Думы Ханты-Мансийского района:</w:t>
      </w:r>
    </w:p>
    <w:p w:rsidR="00AD66F2" w:rsidRDefault="00AD66F2">
      <w:pPr>
        <w:pStyle w:val="ConsPlusNormal"/>
        <w:spacing w:before="220"/>
        <w:ind w:firstLine="540"/>
        <w:jc w:val="both"/>
      </w:pPr>
      <w:r>
        <w:t xml:space="preserve">от 14.11.2014 </w:t>
      </w:r>
      <w:hyperlink r:id="rId11">
        <w:r>
          <w:rPr>
            <w:color w:val="0000FF"/>
          </w:rPr>
          <w:t>N 404</w:t>
        </w:r>
      </w:hyperlink>
      <w:r>
        <w:t xml:space="preserve"> "Об установлении налога на имущество физических лиц";</w:t>
      </w:r>
    </w:p>
    <w:p w:rsidR="00AD66F2" w:rsidRDefault="00AD66F2">
      <w:pPr>
        <w:pStyle w:val="ConsPlusNormal"/>
        <w:spacing w:before="220"/>
        <w:ind w:firstLine="540"/>
        <w:jc w:val="both"/>
      </w:pPr>
      <w:r>
        <w:t xml:space="preserve">от 09.06.2018 </w:t>
      </w:r>
      <w:hyperlink r:id="rId12">
        <w:r>
          <w:rPr>
            <w:color w:val="0000FF"/>
          </w:rPr>
          <w:t>N 301</w:t>
        </w:r>
      </w:hyperlink>
      <w:r>
        <w:t xml:space="preserve"> "О внесении изменений в решение Думы Ханты-Мансийского района от 14.11.2014 N 404 "Об установлении налога на имущество физических лиц";</w:t>
      </w:r>
    </w:p>
    <w:p w:rsidR="00AD66F2" w:rsidRDefault="00AD66F2">
      <w:pPr>
        <w:pStyle w:val="ConsPlusNormal"/>
        <w:spacing w:before="220"/>
        <w:ind w:firstLine="540"/>
        <w:jc w:val="both"/>
      </w:pPr>
      <w:r>
        <w:t xml:space="preserve">от 26.09.2019 </w:t>
      </w:r>
      <w:hyperlink r:id="rId13">
        <w:r>
          <w:rPr>
            <w:color w:val="0000FF"/>
          </w:rPr>
          <w:t>N 498</w:t>
        </w:r>
      </w:hyperlink>
      <w:r>
        <w:t xml:space="preserve"> "О внесении изменений в решение Думы Ханты-Мансийского района от 14.11.2014 N 404 "Об установлении налога на имущество физических лиц";</w:t>
      </w:r>
    </w:p>
    <w:p w:rsidR="00AD66F2" w:rsidRDefault="00AD66F2">
      <w:pPr>
        <w:pStyle w:val="ConsPlusNormal"/>
        <w:spacing w:before="220"/>
        <w:ind w:firstLine="540"/>
        <w:jc w:val="both"/>
      </w:pPr>
      <w:r>
        <w:t xml:space="preserve">от 13.12.2019 </w:t>
      </w:r>
      <w:hyperlink r:id="rId14">
        <w:r>
          <w:rPr>
            <w:color w:val="0000FF"/>
          </w:rPr>
          <w:t>N 530</w:t>
        </w:r>
      </w:hyperlink>
      <w:r>
        <w:t xml:space="preserve"> "О внесении изменений в решение Думы Ханты-Мансийского района от 14.11.2014 N 404 "Об установлении налога на имущество физических лиц";</w:t>
      </w:r>
    </w:p>
    <w:p w:rsidR="00AD66F2" w:rsidRDefault="00AD66F2">
      <w:pPr>
        <w:pStyle w:val="ConsPlusNormal"/>
        <w:spacing w:before="220"/>
        <w:ind w:firstLine="540"/>
        <w:jc w:val="both"/>
      </w:pPr>
      <w:r>
        <w:t xml:space="preserve">от 02.11.2021 </w:t>
      </w:r>
      <w:hyperlink r:id="rId15">
        <w:r>
          <w:rPr>
            <w:color w:val="0000FF"/>
          </w:rPr>
          <w:t>N 17</w:t>
        </w:r>
      </w:hyperlink>
      <w:r>
        <w:t xml:space="preserve"> "О внесении изменений в решение Думы Ханты-Мансийского района от 14.11.2014 N 404 "Об установлении налога на имущество физических лиц";</w:t>
      </w:r>
    </w:p>
    <w:p w:rsidR="00AD66F2" w:rsidRDefault="00AD66F2">
      <w:pPr>
        <w:pStyle w:val="ConsPlusNormal"/>
        <w:spacing w:before="220"/>
        <w:ind w:firstLine="540"/>
        <w:jc w:val="both"/>
      </w:pPr>
      <w:r>
        <w:t xml:space="preserve">от 20.05.2022 </w:t>
      </w:r>
      <w:hyperlink r:id="rId16">
        <w:r>
          <w:rPr>
            <w:color w:val="0000FF"/>
          </w:rPr>
          <w:t>N 132</w:t>
        </w:r>
      </w:hyperlink>
      <w:r>
        <w:t xml:space="preserve"> "О внесении изменений в решение Думы Ханты-Мансийского района от 14.11.2014 N 404 "Об установлении налога на имущество физических лиц";</w:t>
      </w:r>
    </w:p>
    <w:p w:rsidR="00AD66F2" w:rsidRDefault="00AD66F2">
      <w:pPr>
        <w:pStyle w:val="ConsPlusNormal"/>
        <w:spacing w:before="220"/>
        <w:ind w:firstLine="540"/>
        <w:jc w:val="both"/>
      </w:pPr>
      <w:r>
        <w:t xml:space="preserve">от 11.11.2022 </w:t>
      </w:r>
      <w:hyperlink r:id="rId17">
        <w:r>
          <w:rPr>
            <w:color w:val="0000FF"/>
          </w:rPr>
          <w:t>N 189</w:t>
        </w:r>
      </w:hyperlink>
      <w:r>
        <w:t xml:space="preserve"> "О внесении изменений в решение Думы Ханты-Мансийского района от 14.11.2014 N 404 "Об установлении налога на имущество физических лиц";</w:t>
      </w:r>
    </w:p>
    <w:p w:rsidR="00AD66F2" w:rsidRDefault="00AD66F2">
      <w:pPr>
        <w:pStyle w:val="ConsPlusNormal"/>
        <w:spacing w:before="220"/>
        <w:ind w:firstLine="540"/>
        <w:jc w:val="both"/>
      </w:pPr>
      <w:r>
        <w:t xml:space="preserve">от 24.11.2023 </w:t>
      </w:r>
      <w:hyperlink r:id="rId18">
        <w:r>
          <w:rPr>
            <w:color w:val="0000FF"/>
          </w:rPr>
          <w:t>N 354</w:t>
        </w:r>
      </w:hyperlink>
      <w:r>
        <w:t xml:space="preserve"> "О внесении изменений в решение Думы Ханты-Мансийского района от 14.11.2014 N 404 "Об установлении налога на имущество физических лиц".</w:t>
      </w:r>
    </w:p>
    <w:p w:rsidR="00AD66F2" w:rsidRDefault="00AD66F2">
      <w:pPr>
        <w:pStyle w:val="ConsPlusNormal"/>
        <w:spacing w:before="220"/>
        <w:ind w:firstLine="540"/>
        <w:jc w:val="both"/>
      </w:pPr>
      <w:r>
        <w:t>4. Настоящее решение вступает в силу с 01.01.2025, но не ранее чем по истечении одного месяца со дня его официального опубликования.</w:t>
      </w:r>
    </w:p>
    <w:p w:rsidR="00AD66F2" w:rsidRDefault="00AD66F2">
      <w:pPr>
        <w:pStyle w:val="ConsPlusNormal"/>
        <w:ind w:firstLine="540"/>
        <w:jc w:val="both"/>
      </w:pPr>
    </w:p>
    <w:p w:rsidR="00AD66F2" w:rsidRDefault="00AD66F2">
      <w:pPr>
        <w:pStyle w:val="ConsPlusNormal"/>
        <w:jc w:val="right"/>
      </w:pPr>
      <w:r>
        <w:t>Председатель Думы</w:t>
      </w:r>
    </w:p>
    <w:p w:rsidR="00AD66F2" w:rsidRDefault="00AD66F2">
      <w:pPr>
        <w:pStyle w:val="ConsPlusNormal"/>
        <w:jc w:val="right"/>
      </w:pPr>
      <w:r>
        <w:t>Ханты-Мансийского района</w:t>
      </w:r>
    </w:p>
    <w:p w:rsidR="00AD66F2" w:rsidRDefault="00AD66F2">
      <w:pPr>
        <w:pStyle w:val="ConsPlusNormal"/>
        <w:jc w:val="right"/>
      </w:pPr>
      <w:r>
        <w:lastRenderedPageBreak/>
        <w:t>Е.А.ДАНИЛОВА</w:t>
      </w:r>
    </w:p>
    <w:p w:rsidR="00AD66F2" w:rsidRDefault="00AD66F2">
      <w:pPr>
        <w:pStyle w:val="ConsPlusNormal"/>
      </w:pPr>
      <w:r>
        <w:t>22.11.2024</w:t>
      </w:r>
    </w:p>
    <w:p w:rsidR="00AD66F2" w:rsidRDefault="00AD66F2">
      <w:pPr>
        <w:pStyle w:val="ConsPlusNormal"/>
      </w:pPr>
    </w:p>
    <w:p w:rsidR="00AD66F2" w:rsidRDefault="00AD66F2">
      <w:pPr>
        <w:pStyle w:val="ConsPlusNormal"/>
        <w:jc w:val="right"/>
      </w:pPr>
      <w:r>
        <w:t>Глава</w:t>
      </w:r>
    </w:p>
    <w:p w:rsidR="00AD66F2" w:rsidRDefault="00AD66F2">
      <w:pPr>
        <w:pStyle w:val="ConsPlusNormal"/>
        <w:jc w:val="right"/>
      </w:pPr>
      <w:r>
        <w:t>Ханты-Мансийского района</w:t>
      </w:r>
    </w:p>
    <w:p w:rsidR="00AD66F2" w:rsidRDefault="00AD66F2">
      <w:pPr>
        <w:pStyle w:val="ConsPlusNormal"/>
        <w:jc w:val="right"/>
      </w:pPr>
      <w:r>
        <w:t>К.Р.МИНУЛИН</w:t>
      </w:r>
    </w:p>
    <w:p w:rsidR="00AD66F2" w:rsidRDefault="00AD66F2">
      <w:pPr>
        <w:pStyle w:val="ConsPlusNormal"/>
      </w:pPr>
      <w:r>
        <w:t>22.11.2024</w:t>
      </w:r>
    </w:p>
    <w:p w:rsidR="00AD66F2" w:rsidRDefault="00AD66F2">
      <w:pPr>
        <w:pStyle w:val="ConsPlusNormal"/>
      </w:pPr>
    </w:p>
    <w:p w:rsidR="00AD66F2" w:rsidRDefault="00AD66F2">
      <w:pPr>
        <w:pStyle w:val="ConsPlusNormal"/>
      </w:pPr>
    </w:p>
    <w:p w:rsidR="00AD66F2" w:rsidRDefault="00AD66F2">
      <w:pPr>
        <w:pStyle w:val="ConsPlusNormal"/>
      </w:pPr>
    </w:p>
    <w:p w:rsidR="00AD66F2" w:rsidRDefault="00AD66F2">
      <w:pPr>
        <w:pStyle w:val="ConsPlusNormal"/>
      </w:pPr>
    </w:p>
    <w:p w:rsidR="00AD66F2" w:rsidRDefault="00AD66F2">
      <w:pPr>
        <w:pStyle w:val="ConsPlusNormal"/>
      </w:pPr>
    </w:p>
    <w:p w:rsidR="00AD66F2" w:rsidRDefault="00AD66F2">
      <w:pPr>
        <w:pStyle w:val="ConsPlusNormal"/>
        <w:jc w:val="right"/>
        <w:outlineLvl w:val="0"/>
      </w:pPr>
      <w:r>
        <w:t>Приложение</w:t>
      </w:r>
    </w:p>
    <w:p w:rsidR="00AD66F2" w:rsidRDefault="00AD66F2">
      <w:pPr>
        <w:pStyle w:val="ConsPlusNormal"/>
        <w:jc w:val="right"/>
      </w:pPr>
      <w:r>
        <w:t>к решению Думы Ханты-Мансийского района</w:t>
      </w:r>
    </w:p>
    <w:p w:rsidR="00AD66F2" w:rsidRDefault="00AD66F2">
      <w:pPr>
        <w:pStyle w:val="ConsPlusNormal"/>
        <w:jc w:val="right"/>
      </w:pPr>
      <w:r>
        <w:t>от 22.11.2024 N 532</w:t>
      </w:r>
    </w:p>
    <w:p w:rsidR="00AD66F2" w:rsidRDefault="00AD66F2">
      <w:pPr>
        <w:pStyle w:val="ConsPlusNormal"/>
      </w:pPr>
    </w:p>
    <w:p w:rsidR="00AD66F2" w:rsidRDefault="00AD66F2">
      <w:pPr>
        <w:pStyle w:val="ConsPlusTitle"/>
        <w:jc w:val="center"/>
      </w:pPr>
      <w:bookmarkStart w:id="0" w:name="P42"/>
      <w:bookmarkEnd w:id="0"/>
      <w:r>
        <w:t>СТАВКИ</w:t>
      </w:r>
    </w:p>
    <w:p w:rsidR="00AD66F2" w:rsidRDefault="00AD66F2">
      <w:pPr>
        <w:pStyle w:val="ConsPlusTitle"/>
        <w:jc w:val="center"/>
      </w:pPr>
      <w:r>
        <w:t>НАЛОГА НА ИМУЩЕСТВО ФИЗИЧЕСКИХ ЛИЦ</w:t>
      </w:r>
    </w:p>
    <w:p w:rsidR="00AD66F2" w:rsidRDefault="00AD66F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D66F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6F2" w:rsidRDefault="00AD66F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6F2" w:rsidRDefault="00AD66F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66F2" w:rsidRDefault="00AD66F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66F2" w:rsidRDefault="00AD66F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Ханты-Мансийского района от 26.06.2026 N 771)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66F2" w:rsidRDefault="00AD66F2">
            <w:pPr>
              <w:pStyle w:val="ConsPlusNormal"/>
            </w:pPr>
          </w:p>
        </w:tc>
      </w:tr>
    </w:tbl>
    <w:p w:rsidR="00AD66F2" w:rsidRDefault="00AD66F2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"/>
        <w:gridCol w:w="6399"/>
        <w:gridCol w:w="2098"/>
      </w:tblGrid>
      <w:tr w:rsidR="00AD66F2">
        <w:tc>
          <w:tcPr>
            <w:tcW w:w="467" w:type="dxa"/>
          </w:tcPr>
          <w:p w:rsidR="00AD66F2" w:rsidRDefault="00AD66F2">
            <w:pPr>
              <w:pStyle w:val="ConsPlusNormal"/>
              <w:jc w:val="center"/>
            </w:pPr>
          </w:p>
        </w:tc>
        <w:tc>
          <w:tcPr>
            <w:tcW w:w="6399" w:type="dxa"/>
          </w:tcPr>
          <w:p w:rsidR="00AD66F2" w:rsidRDefault="00AD66F2">
            <w:pPr>
              <w:pStyle w:val="ConsPlusNormal"/>
              <w:jc w:val="center"/>
            </w:pPr>
            <w:r>
              <w:t>Объекты налогообложения</w:t>
            </w:r>
          </w:p>
        </w:tc>
        <w:tc>
          <w:tcPr>
            <w:tcW w:w="2098" w:type="dxa"/>
          </w:tcPr>
          <w:p w:rsidR="00AD66F2" w:rsidRDefault="00AD66F2">
            <w:pPr>
              <w:pStyle w:val="ConsPlusNormal"/>
              <w:jc w:val="center"/>
            </w:pPr>
            <w:r>
              <w:t>Налоговые ставки,</w:t>
            </w:r>
          </w:p>
          <w:p w:rsidR="00AD66F2" w:rsidRDefault="00AD66F2">
            <w:pPr>
              <w:pStyle w:val="ConsPlusNormal"/>
              <w:jc w:val="center"/>
            </w:pPr>
            <w:r>
              <w:t>в процентах</w:t>
            </w:r>
          </w:p>
        </w:tc>
      </w:tr>
      <w:tr w:rsidR="00AD66F2">
        <w:tc>
          <w:tcPr>
            <w:tcW w:w="467" w:type="dxa"/>
          </w:tcPr>
          <w:p w:rsidR="00AD66F2" w:rsidRDefault="00AD66F2">
            <w:pPr>
              <w:pStyle w:val="ConsPlusNormal"/>
            </w:pPr>
            <w:r>
              <w:t>1.</w:t>
            </w:r>
          </w:p>
        </w:tc>
        <w:tc>
          <w:tcPr>
            <w:tcW w:w="6399" w:type="dxa"/>
          </w:tcPr>
          <w:p w:rsidR="00AD66F2" w:rsidRDefault="00AD66F2">
            <w:pPr>
              <w:pStyle w:val="ConsPlusNormal"/>
            </w:pPr>
            <w:r>
              <w:t>Жилые дома, части жилых домов, квартиры, части квартир, комнаты</w:t>
            </w:r>
          </w:p>
        </w:tc>
        <w:tc>
          <w:tcPr>
            <w:tcW w:w="2098" w:type="dxa"/>
          </w:tcPr>
          <w:p w:rsidR="00AD66F2" w:rsidRDefault="00AD66F2">
            <w:pPr>
              <w:pStyle w:val="ConsPlusNormal"/>
            </w:pPr>
            <w:r>
              <w:t>0,1</w:t>
            </w:r>
          </w:p>
        </w:tc>
      </w:tr>
      <w:tr w:rsidR="00AD66F2">
        <w:tc>
          <w:tcPr>
            <w:tcW w:w="467" w:type="dxa"/>
          </w:tcPr>
          <w:p w:rsidR="00AD66F2" w:rsidRDefault="00AD66F2">
            <w:pPr>
              <w:pStyle w:val="ConsPlusNormal"/>
            </w:pPr>
            <w:r>
              <w:t>2.</w:t>
            </w:r>
          </w:p>
        </w:tc>
        <w:tc>
          <w:tcPr>
            <w:tcW w:w="6399" w:type="dxa"/>
          </w:tcPr>
          <w:p w:rsidR="00AD66F2" w:rsidRDefault="00AD66F2">
            <w:pPr>
              <w:pStyle w:val="ConsPlusNormal"/>
            </w:pPr>
            <w:r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2098" w:type="dxa"/>
          </w:tcPr>
          <w:p w:rsidR="00AD66F2" w:rsidRDefault="00AD66F2">
            <w:pPr>
              <w:pStyle w:val="ConsPlusNormal"/>
            </w:pPr>
            <w:r>
              <w:t>0,1</w:t>
            </w:r>
          </w:p>
        </w:tc>
      </w:tr>
      <w:tr w:rsidR="00AD66F2">
        <w:tc>
          <w:tcPr>
            <w:tcW w:w="467" w:type="dxa"/>
          </w:tcPr>
          <w:p w:rsidR="00AD66F2" w:rsidRDefault="00AD66F2">
            <w:pPr>
              <w:pStyle w:val="ConsPlusNormal"/>
            </w:pPr>
            <w:r>
              <w:t>3.</w:t>
            </w:r>
          </w:p>
        </w:tc>
        <w:tc>
          <w:tcPr>
            <w:tcW w:w="6399" w:type="dxa"/>
          </w:tcPr>
          <w:p w:rsidR="00AD66F2" w:rsidRDefault="00AD66F2">
            <w:pPr>
              <w:pStyle w:val="ConsPlusNormal"/>
            </w:pPr>
            <w:r>
              <w:t>Единые недвижимые комплексы, в состав которых входит хотя бы один жилой дом</w:t>
            </w:r>
          </w:p>
        </w:tc>
        <w:tc>
          <w:tcPr>
            <w:tcW w:w="2098" w:type="dxa"/>
          </w:tcPr>
          <w:p w:rsidR="00AD66F2" w:rsidRDefault="00AD66F2">
            <w:pPr>
              <w:pStyle w:val="ConsPlusNormal"/>
            </w:pPr>
            <w:r>
              <w:t>0,1</w:t>
            </w:r>
          </w:p>
        </w:tc>
      </w:tr>
      <w:tr w:rsidR="00AD66F2">
        <w:tc>
          <w:tcPr>
            <w:tcW w:w="467" w:type="dxa"/>
          </w:tcPr>
          <w:p w:rsidR="00AD66F2" w:rsidRDefault="00AD66F2">
            <w:pPr>
              <w:pStyle w:val="ConsPlusNormal"/>
            </w:pPr>
            <w:r>
              <w:t>4.</w:t>
            </w:r>
          </w:p>
        </w:tc>
        <w:tc>
          <w:tcPr>
            <w:tcW w:w="6399" w:type="dxa"/>
          </w:tcPr>
          <w:p w:rsidR="00AD66F2" w:rsidRDefault="00AD66F2">
            <w:pPr>
              <w:pStyle w:val="ConsPlusNormal"/>
            </w:pPr>
            <w:r>
              <w:t>Гаражи и машино-места, в том числе расположенные в объектах налогообложения, указанных в строке 6 настоящей таблицы</w:t>
            </w:r>
          </w:p>
        </w:tc>
        <w:tc>
          <w:tcPr>
            <w:tcW w:w="2098" w:type="dxa"/>
          </w:tcPr>
          <w:p w:rsidR="00AD66F2" w:rsidRDefault="00AD66F2">
            <w:pPr>
              <w:pStyle w:val="ConsPlusNormal"/>
            </w:pPr>
            <w:r>
              <w:t>0,1</w:t>
            </w:r>
          </w:p>
        </w:tc>
      </w:tr>
      <w:tr w:rsidR="00AD66F2">
        <w:tc>
          <w:tcPr>
            <w:tcW w:w="467" w:type="dxa"/>
          </w:tcPr>
          <w:p w:rsidR="00AD66F2" w:rsidRDefault="00AD66F2">
            <w:pPr>
              <w:pStyle w:val="ConsPlusNormal"/>
            </w:pPr>
            <w:r>
              <w:t>5.</w:t>
            </w:r>
          </w:p>
        </w:tc>
        <w:tc>
          <w:tcPr>
            <w:tcW w:w="6399" w:type="dxa"/>
          </w:tcPr>
          <w:p w:rsidR="00AD66F2" w:rsidRDefault="00AD66F2">
            <w:pPr>
              <w:pStyle w:val="ConsPlusNormal"/>
            </w:pPr>
            <w:r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2098" w:type="dxa"/>
          </w:tcPr>
          <w:p w:rsidR="00AD66F2" w:rsidRDefault="00AD66F2">
            <w:pPr>
              <w:pStyle w:val="ConsPlusNormal"/>
            </w:pPr>
            <w:r>
              <w:t>0,1</w:t>
            </w:r>
          </w:p>
        </w:tc>
      </w:tr>
      <w:tr w:rsidR="00AD66F2">
        <w:tc>
          <w:tcPr>
            <w:tcW w:w="467" w:type="dxa"/>
          </w:tcPr>
          <w:p w:rsidR="00AD66F2" w:rsidRDefault="00AD66F2">
            <w:pPr>
              <w:pStyle w:val="ConsPlusNormal"/>
            </w:pPr>
            <w:r>
              <w:t>6.</w:t>
            </w:r>
          </w:p>
        </w:tc>
        <w:tc>
          <w:tcPr>
            <w:tcW w:w="6399" w:type="dxa"/>
          </w:tcPr>
          <w:p w:rsidR="00AD66F2" w:rsidRDefault="00AD66F2">
            <w:pPr>
              <w:pStyle w:val="ConsPlusNormal"/>
            </w:pPr>
            <w:r>
              <w:t xml:space="preserve">Объекты налогообложения, включенные в перечень, определяемый в соответствии с </w:t>
            </w:r>
            <w:hyperlink r:id="rId20">
              <w:r>
                <w:rPr>
                  <w:color w:val="0000FF"/>
                </w:rPr>
                <w:t>пунктом 7 статьи 378.2</w:t>
              </w:r>
            </w:hyperlink>
            <w:r>
              <w:t xml:space="preserve"> Налогового кодекса Российской Федерации, объекты налогообложения, предусмотренные </w:t>
            </w:r>
            <w:hyperlink r:id="rId21">
              <w:r>
                <w:rPr>
                  <w:color w:val="0000FF"/>
                </w:rPr>
                <w:t>абзацем вторым пункта 10 статьи 378.2</w:t>
              </w:r>
            </w:hyperlink>
            <w:r>
              <w:t xml:space="preserve"> Налогового кодекса Российской Федерации</w:t>
            </w:r>
          </w:p>
        </w:tc>
        <w:tc>
          <w:tcPr>
            <w:tcW w:w="2098" w:type="dxa"/>
          </w:tcPr>
          <w:p w:rsidR="00AD66F2" w:rsidRDefault="00AD66F2">
            <w:pPr>
              <w:pStyle w:val="ConsPlusNormal"/>
            </w:pPr>
            <w:r>
              <w:t>с 01.01.2019 - 1;</w:t>
            </w:r>
          </w:p>
          <w:p w:rsidR="00AD66F2" w:rsidRDefault="00AD66F2">
            <w:pPr>
              <w:pStyle w:val="ConsPlusNormal"/>
            </w:pPr>
            <w:r>
              <w:t>с 01.01.2023 - 1,5;</w:t>
            </w:r>
          </w:p>
          <w:p w:rsidR="00AD66F2" w:rsidRDefault="00AD66F2">
            <w:pPr>
              <w:pStyle w:val="ConsPlusNormal"/>
            </w:pPr>
            <w:r>
              <w:t>с 01.01.2027 и последующие годы - 2,0</w:t>
            </w:r>
          </w:p>
        </w:tc>
      </w:tr>
      <w:tr w:rsidR="00AD66F2">
        <w:tblPrEx>
          <w:tblBorders>
            <w:insideH w:val="nil"/>
          </w:tblBorders>
        </w:tblPrEx>
        <w:tc>
          <w:tcPr>
            <w:tcW w:w="467" w:type="dxa"/>
            <w:tcBorders>
              <w:bottom w:val="nil"/>
            </w:tcBorders>
          </w:tcPr>
          <w:p w:rsidR="00AD66F2" w:rsidRDefault="00AD66F2">
            <w:pPr>
              <w:pStyle w:val="ConsPlusNormal"/>
            </w:pPr>
            <w:r>
              <w:t>7.</w:t>
            </w:r>
          </w:p>
        </w:tc>
        <w:tc>
          <w:tcPr>
            <w:tcW w:w="6399" w:type="dxa"/>
            <w:tcBorders>
              <w:bottom w:val="nil"/>
            </w:tcBorders>
          </w:tcPr>
          <w:p w:rsidR="00AD66F2" w:rsidRDefault="00AD66F2">
            <w:pPr>
              <w:pStyle w:val="ConsPlusNormal"/>
            </w:pPr>
            <w:r>
              <w:t>Объекты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</w:t>
            </w:r>
          </w:p>
        </w:tc>
        <w:tc>
          <w:tcPr>
            <w:tcW w:w="2098" w:type="dxa"/>
            <w:tcBorders>
              <w:bottom w:val="nil"/>
            </w:tcBorders>
          </w:tcPr>
          <w:p w:rsidR="00AD66F2" w:rsidRDefault="00AD66F2">
            <w:pPr>
              <w:pStyle w:val="ConsPlusNormal"/>
            </w:pPr>
            <w:r>
              <w:t>2,5</w:t>
            </w:r>
          </w:p>
        </w:tc>
      </w:tr>
      <w:tr w:rsidR="00AD66F2">
        <w:tblPrEx>
          <w:tblBorders>
            <w:insideH w:val="nil"/>
          </w:tblBorders>
        </w:tblPrEx>
        <w:tc>
          <w:tcPr>
            <w:tcW w:w="8964" w:type="dxa"/>
            <w:gridSpan w:val="3"/>
            <w:tcBorders>
              <w:top w:val="nil"/>
            </w:tcBorders>
          </w:tcPr>
          <w:p w:rsidR="00AD66F2" w:rsidRDefault="00AD66F2">
            <w:pPr>
              <w:pStyle w:val="ConsPlusNormal"/>
              <w:jc w:val="both"/>
            </w:pPr>
            <w:r>
              <w:t xml:space="preserve">(п. 7 в ред. </w:t>
            </w:r>
            <w:hyperlink r:id="rId22">
              <w:r>
                <w:rPr>
                  <w:color w:val="0000FF"/>
                </w:rPr>
                <w:t>решения</w:t>
              </w:r>
            </w:hyperlink>
            <w:r>
              <w:t xml:space="preserve"> Думы Ханты-Мансийского района от 26.06.2026 N 771)</w:t>
            </w:r>
          </w:p>
        </w:tc>
      </w:tr>
      <w:tr w:rsidR="00AD66F2">
        <w:tc>
          <w:tcPr>
            <w:tcW w:w="467" w:type="dxa"/>
          </w:tcPr>
          <w:p w:rsidR="00AD66F2" w:rsidRDefault="00AD66F2">
            <w:pPr>
              <w:pStyle w:val="ConsPlusNormal"/>
            </w:pPr>
            <w:r>
              <w:t>8.</w:t>
            </w:r>
          </w:p>
        </w:tc>
        <w:tc>
          <w:tcPr>
            <w:tcW w:w="6399" w:type="dxa"/>
          </w:tcPr>
          <w:p w:rsidR="00AD66F2" w:rsidRDefault="00AD66F2">
            <w:pPr>
              <w:pStyle w:val="ConsPlusNormal"/>
            </w:pPr>
            <w:r>
              <w:t>Прочие объекты налогообложения</w:t>
            </w:r>
          </w:p>
        </w:tc>
        <w:tc>
          <w:tcPr>
            <w:tcW w:w="2098" w:type="dxa"/>
          </w:tcPr>
          <w:p w:rsidR="00AD66F2" w:rsidRDefault="00AD66F2">
            <w:pPr>
              <w:pStyle w:val="ConsPlusNormal"/>
            </w:pPr>
            <w:r>
              <w:t>0,5</w:t>
            </w:r>
          </w:p>
        </w:tc>
      </w:tr>
    </w:tbl>
    <w:p w:rsidR="00AD66F2" w:rsidRDefault="00AD66F2">
      <w:pPr>
        <w:pStyle w:val="ConsPlusNormal"/>
        <w:ind w:firstLine="540"/>
        <w:jc w:val="both"/>
      </w:pPr>
    </w:p>
    <w:p w:rsidR="00AD66F2" w:rsidRDefault="00AD66F2">
      <w:pPr>
        <w:pStyle w:val="ConsPlusNormal"/>
        <w:ind w:firstLine="540"/>
        <w:jc w:val="both"/>
      </w:pPr>
    </w:p>
    <w:p w:rsidR="00AD66F2" w:rsidRDefault="00AD66F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68F5" w:rsidRDefault="000A68F5">
      <w:bookmarkStart w:id="1" w:name="_GoBack"/>
      <w:bookmarkEnd w:id="1"/>
    </w:p>
    <w:sectPr w:rsidR="000A68F5" w:rsidSect="00795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F2"/>
    <w:rsid w:val="000A68F5"/>
    <w:rsid w:val="00AD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4EB56-D25F-4EDA-8669-7A352179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66F2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Title">
    <w:name w:val="ConsPlusTitle"/>
    <w:rsid w:val="00AD66F2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  <w:lang w:eastAsia="ru-RU"/>
    </w:rPr>
  </w:style>
  <w:style w:type="paragraph" w:customStyle="1" w:styleId="ConsPlusTitlePage">
    <w:name w:val="ConsPlusTitlePage"/>
    <w:rsid w:val="00AD66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104677" TargetMode="External"/><Relationship Id="rId13" Type="http://schemas.openxmlformats.org/officeDocument/2006/relationships/hyperlink" Target="https://login.consultant.ru/link/?req=doc&amp;base=RLAW926&amp;n=198414" TargetMode="External"/><Relationship Id="rId18" Type="http://schemas.openxmlformats.org/officeDocument/2006/relationships/hyperlink" Target="https://login.consultant.ru/link/?req=doc&amp;base=RLAW926&amp;n=29184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41156&amp;dst=13986" TargetMode="External"/><Relationship Id="rId7" Type="http://schemas.openxmlformats.org/officeDocument/2006/relationships/hyperlink" Target="https://login.consultant.ru/link/?req=doc&amp;base=LAW&amp;n=501480&amp;dst=100142" TargetMode="External"/><Relationship Id="rId12" Type="http://schemas.openxmlformats.org/officeDocument/2006/relationships/hyperlink" Target="https://login.consultant.ru/link/?req=doc&amp;base=RLAW926&amp;n=174792" TargetMode="External"/><Relationship Id="rId17" Type="http://schemas.openxmlformats.org/officeDocument/2006/relationships/hyperlink" Target="https://login.consultant.ru/link/?req=doc&amp;base=RLAW926&amp;n=26744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55952" TargetMode="External"/><Relationship Id="rId20" Type="http://schemas.openxmlformats.org/officeDocument/2006/relationships/hyperlink" Target="https://login.consultant.ru/link/?req=doc&amp;base=LAW&amp;n=541156&amp;dst=92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1156&amp;dst=10317" TargetMode="External"/><Relationship Id="rId11" Type="http://schemas.openxmlformats.org/officeDocument/2006/relationships/hyperlink" Target="https://login.consultant.ru/link/?req=doc&amp;base=RLAW926&amp;n=292189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926&amp;n=355520&amp;dst=100005" TargetMode="External"/><Relationship Id="rId15" Type="http://schemas.openxmlformats.org/officeDocument/2006/relationships/hyperlink" Target="https://login.consultant.ru/link/?req=doc&amp;base=RLAW926&amp;n=24305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354757&amp;dst=102037" TargetMode="External"/><Relationship Id="rId19" Type="http://schemas.openxmlformats.org/officeDocument/2006/relationships/hyperlink" Target="https://login.consultant.ru/link/?req=doc&amp;base=RLAW926&amp;n=355520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54757&amp;dst=101919" TargetMode="External"/><Relationship Id="rId14" Type="http://schemas.openxmlformats.org/officeDocument/2006/relationships/hyperlink" Target="https://login.consultant.ru/link/?req=doc&amp;base=RLAW926&amp;n=202965" TargetMode="External"/><Relationship Id="rId22" Type="http://schemas.openxmlformats.org/officeDocument/2006/relationships/hyperlink" Target="https://login.consultant.ru/link/?req=doc&amp;base=RLAW926&amp;n=355520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Д.Л.</dc:creator>
  <cp:keywords/>
  <dc:description/>
  <cp:lastModifiedBy>Черкашина Д.Л.</cp:lastModifiedBy>
  <cp:revision>1</cp:revision>
  <dcterms:created xsi:type="dcterms:W3CDTF">2026-08-31T09:51:00Z</dcterms:created>
  <dcterms:modified xsi:type="dcterms:W3CDTF">2026-08-31T09:51:00Z</dcterms:modified>
</cp:coreProperties>
</file>