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B696C" w:rsidRDefault="00B22481">
      <w:pPr>
        <w:rPr>
          <w:sz w:val="28"/>
          <w:szCs w:val="28"/>
          <w:lang w:eastAsia="ar-SA"/>
        </w:rPr>
      </w:pPr>
      <w:r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2537460</wp:posOffset>
                </wp:positionH>
                <wp:positionV relativeFrom="paragraph">
                  <wp:posOffset>-378460</wp:posOffset>
                </wp:positionV>
                <wp:extent cx="658800" cy="799200"/>
                <wp:effectExtent l="0" t="0" r="8255" b="1270"/>
                <wp:wrapNone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58800" cy="799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9264;o:allowoverlap:true;o:allowincell:true;mso-position-horizontal-relative:text;margin-left:199.80pt;mso-position-horizontal:absolute;mso-position-vertical-relative:text;margin-top:-29.80pt;mso-position-vertical:absolute;width:51.87pt;height:62.93pt;mso-wrap-distance-left:9.00pt;mso-wrap-distance-top:0.00pt;mso-wrap-distance-right:9.00pt;mso-wrap-distance-bottom:0.00pt;" stroked="f">
                <v:path textboxrect="0,0,0,0"/>
                <v:imagedata r:id="rId11" o:title=""/>
              </v:shape>
            </w:pict>
          </mc:Fallback>
        </mc:AlternateContent>
      </w:r>
    </w:p>
    <w:p w:rsidR="00CB696C" w:rsidRDefault="00CB696C">
      <w:pPr>
        <w:rPr>
          <w:sz w:val="28"/>
          <w:szCs w:val="28"/>
          <w:lang w:eastAsia="ar-SA"/>
        </w:rPr>
      </w:pPr>
    </w:p>
    <w:p w:rsidR="00CB696C" w:rsidRDefault="00B22481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ХАНТЫ-МАНСИЙСКИЙ </w:t>
      </w:r>
    </w:p>
    <w:p w:rsidR="00CB696C" w:rsidRDefault="00B22481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МУНИЦИПАЛЬНЫЙ РАЙОН</w:t>
      </w:r>
    </w:p>
    <w:p w:rsidR="00CB696C" w:rsidRDefault="00B22481">
      <w:pPr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Ханты-Мансийский автономный округ – Югра</w:t>
      </w:r>
    </w:p>
    <w:p w:rsidR="00CB696C" w:rsidRDefault="00CB696C">
      <w:pPr>
        <w:jc w:val="center"/>
        <w:rPr>
          <w:sz w:val="28"/>
          <w:szCs w:val="28"/>
          <w:lang w:eastAsia="en-US"/>
        </w:rPr>
      </w:pPr>
    </w:p>
    <w:p w:rsidR="00CB696C" w:rsidRDefault="00B22481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>АДМИНИСТРАЦИЯ ХАНТЫ-МАНСИЙСКОГО РАЙОНА</w:t>
      </w:r>
    </w:p>
    <w:p w:rsidR="00CB696C" w:rsidRDefault="00CB696C">
      <w:pPr>
        <w:jc w:val="center"/>
        <w:rPr>
          <w:b/>
          <w:sz w:val="28"/>
          <w:szCs w:val="28"/>
          <w:lang w:eastAsia="en-US"/>
        </w:rPr>
      </w:pPr>
    </w:p>
    <w:p w:rsidR="00CB696C" w:rsidRDefault="00B22481">
      <w:pPr>
        <w:jc w:val="center"/>
        <w:rPr>
          <w:b/>
          <w:sz w:val="28"/>
          <w:szCs w:val="28"/>
          <w:lang w:eastAsia="en-US"/>
        </w:rPr>
      </w:pPr>
      <w:r>
        <w:rPr>
          <w:b/>
          <w:sz w:val="28"/>
          <w:szCs w:val="28"/>
          <w:lang w:eastAsia="en-US"/>
        </w:rPr>
        <w:t xml:space="preserve">П О С Т А Н О В Л Е Н И Е </w:t>
      </w:r>
    </w:p>
    <w:p w:rsidR="00CB696C" w:rsidRDefault="00CB696C">
      <w:pPr>
        <w:jc w:val="center"/>
        <w:rPr>
          <w:sz w:val="28"/>
          <w:szCs w:val="28"/>
          <w:lang w:eastAsia="en-US"/>
        </w:rPr>
      </w:pPr>
    </w:p>
    <w:p w:rsidR="00CB696C" w:rsidRDefault="00B22481">
      <w:pPr>
        <w:rPr>
          <w:sz w:val="28"/>
          <w:szCs w:val="28"/>
          <w:lang w:eastAsia="en-US"/>
        </w:rPr>
      </w:pPr>
      <w:bookmarkStart w:id="0" w:name="_Hlk243060292"/>
      <w:r>
        <w:rPr>
          <w:sz w:val="28"/>
          <w:szCs w:val="28"/>
          <w:lang w:eastAsia="en-US"/>
        </w:rPr>
        <w:t>от 16.10.2026</w:t>
      </w:r>
      <w:r>
        <w:rPr>
          <w:sz w:val="28"/>
          <w:szCs w:val="28"/>
          <w:lang w:eastAsia="en-US"/>
        </w:rPr>
        <w:t xml:space="preserve">    </w:t>
      </w:r>
      <w:r>
        <w:rPr>
          <w:sz w:val="28"/>
          <w:szCs w:val="28"/>
          <w:lang w:eastAsia="en-US"/>
        </w:rPr>
        <w:t xml:space="preserve">                                                                                            № 713</w:t>
      </w:r>
    </w:p>
    <w:bookmarkEnd w:id="0"/>
    <w:p w:rsidR="00CB696C" w:rsidRDefault="00B22481">
      <w:pPr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г. Ханты-Мансийск</w:t>
      </w:r>
    </w:p>
    <w:p w:rsidR="00CB696C" w:rsidRDefault="00CB696C">
      <w:pPr>
        <w:jc w:val="both"/>
        <w:rPr>
          <w:sz w:val="28"/>
          <w:lang w:eastAsia="ar-SA"/>
        </w:rPr>
      </w:pPr>
    </w:p>
    <w:p w:rsidR="00CB696C" w:rsidRDefault="00CB696C">
      <w:pPr>
        <w:rPr>
          <w:lang w:eastAsia="ar-SA"/>
        </w:rPr>
      </w:pP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 внесении изменений </w:t>
      </w: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в постановление Администрации </w:t>
      </w: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Ханты-Мансийского района </w:t>
      </w: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от 03.03.2025 № 151</w:t>
      </w: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«О мерах по обеспечению </w:t>
      </w:r>
    </w:p>
    <w:p w:rsidR="00CB696C" w:rsidRDefault="00B22481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и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сполнения бюджета </w:t>
      </w:r>
    </w:p>
    <w:p w:rsidR="00CB696C" w:rsidRDefault="00B22481">
      <w:pPr>
        <w:pStyle w:val="af2"/>
        <w:tabs>
          <w:tab w:val="left" w:pos="4536"/>
        </w:tabs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Ханты-Мансийского района»</w:t>
      </w: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B696C" w:rsidRDefault="00B22481">
      <w:pPr>
        <w:pStyle w:val="af2"/>
        <w:tabs>
          <w:tab w:val="left" w:pos="5103"/>
        </w:tabs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В целях </w:t>
      </w:r>
      <w:bookmarkStart w:id="1" w:name="_Hlk230957788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уточнения плана мероприятий по росту доходов, оптимизации расходов и сокращению муниципального долга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 xml:space="preserve">Ханты-Мансийского района на 2026 год и плановый период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>2027 – 202</w:t>
      </w:r>
      <w:bookmarkEnd w:id="1"/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9 годов, руководствуясь статьей 3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2 Устава Ханты-Мансийского района, внести в постановление Администрации Ханты-Мансийского района от 03.03.2025 № 151 «О мерах по обеспечению исполнения бюджета Ханты-Мансийского района» изменения, изложив приложение к нему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br/>
        <w:t>в новой редакции согласно приложе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нию к настоящему постановлению.</w:t>
      </w: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CB696C" w:rsidRDefault="00B22481">
      <w:pPr>
        <w:pStyle w:val="af2"/>
        <w:jc w:val="lef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 Ханты-Мансийского района                                               К.Р.Минулин</w:t>
      </w:r>
    </w:p>
    <w:p w:rsidR="00CB696C" w:rsidRDefault="00CB696C">
      <w:pPr>
        <w:pStyle w:val="af2"/>
        <w:jc w:val="both"/>
        <w:rPr>
          <w:rFonts w:ascii="Times New Roman" w:hAnsi="Times New Roman"/>
          <w:color w:val="000000" w:themeColor="text1"/>
          <w:sz w:val="28"/>
          <w:szCs w:val="28"/>
        </w:rPr>
        <w:sectPr w:rsidR="00CB696C">
          <w:headerReference w:type="default" r:id="rId12"/>
          <w:type w:val="continuous"/>
          <w:pgSz w:w="11906" w:h="16838"/>
          <w:pgMar w:top="1418" w:right="1276" w:bottom="1134" w:left="1559" w:header="709" w:footer="709" w:gutter="0"/>
          <w:cols w:space="708"/>
          <w:titlePg/>
          <w:docGrid w:linePitch="360"/>
        </w:sectPr>
      </w:pPr>
    </w:p>
    <w:p w:rsidR="00CB696C" w:rsidRDefault="00B22481">
      <w:pPr>
        <w:tabs>
          <w:tab w:val="left" w:pos="12600"/>
          <w:tab w:val="left" w:pos="12900"/>
          <w:tab w:val="left" w:pos="14000"/>
          <w:tab w:val="left" w:pos="14500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Приложение</w:t>
      </w:r>
    </w:p>
    <w:p w:rsidR="00CB696C" w:rsidRDefault="00B22481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к постановлению Администрации</w:t>
      </w:r>
    </w:p>
    <w:p w:rsidR="00CB696C" w:rsidRDefault="00B22481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Ханты-Мансийского района</w:t>
      </w:r>
    </w:p>
    <w:p w:rsidR="00B22481" w:rsidRDefault="00B22481" w:rsidP="00B22481">
      <w:pPr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от 16.10.2026 </w:t>
      </w:r>
      <w:bookmarkStart w:id="2" w:name="_GoBack"/>
      <w:bookmarkEnd w:id="2"/>
      <w:r>
        <w:rPr>
          <w:sz w:val="28"/>
          <w:szCs w:val="28"/>
          <w:lang w:eastAsia="en-US"/>
        </w:rPr>
        <w:t>№ 713</w:t>
      </w:r>
    </w:p>
    <w:p w:rsidR="00CB696C" w:rsidRDefault="00CB696C">
      <w:pPr>
        <w:tabs>
          <w:tab w:val="left" w:pos="13325"/>
          <w:tab w:val="left" w:pos="14000"/>
        </w:tabs>
        <w:jc w:val="right"/>
        <w:rPr>
          <w:color w:val="000000" w:themeColor="text1"/>
          <w:sz w:val="28"/>
          <w:szCs w:val="28"/>
        </w:rPr>
      </w:pPr>
    </w:p>
    <w:p w:rsidR="00CB696C" w:rsidRDefault="00B22481">
      <w:pPr>
        <w:tabs>
          <w:tab w:val="center" w:pos="7143"/>
          <w:tab w:val="left" w:pos="13410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ab/>
        <w:t xml:space="preserve">План мероприятий по росту доходов, оптимизации расходов бюджета и сокращению </w:t>
      </w:r>
      <w:r>
        <w:rPr>
          <w:color w:val="000000" w:themeColor="text1"/>
          <w:sz w:val="28"/>
          <w:szCs w:val="28"/>
        </w:rPr>
        <w:tab/>
      </w:r>
    </w:p>
    <w:p w:rsidR="00CB696C" w:rsidRDefault="00B22481">
      <w:pPr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муниципального долга Ханты-Мансийского района на 2026 год и плановый период 2027 – 2029 г</w:t>
      </w:r>
      <w:r>
        <w:rPr>
          <w:color w:val="000000" w:themeColor="text1"/>
          <w:sz w:val="28"/>
          <w:szCs w:val="28"/>
        </w:rPr>
        <w:t>одов</w:t>
      </w:r>
    </w:p>
    <w:p w:rsidR="00CB696C" w:rsidRDefault="00CB696C">
      <w:pPr>
        <w:jc w:val="center"/>
        <w:rPr>
          <w:color w:val="000000" w:themeColor="text1"/>
          <w:sz w:val="28"/>
          <w:szCs w:val="28"/>
        </w:rPr>
      </w:pPr>
    </w:p>
    <w:tbl>
      <w:tblPr>
        <w:tblStyle w:val="aff"/>
        <w:tblW w:w="5266" w:type="pct"/>
        <w:tblLayout w:type="fixed"/>
        <w:tblLook w:val="04A0" w:firstRow="1" w:lastRow="0" w:firstColumn="1" w:lastColumn="0" w:noHBand="0" w:noVBand="1"/>
      </w:tblPr>
      <w:tblGrid>
        <w:gridCol w:w="565"/>
        <w:gridCol w:w="1707"/>
        <w:gridCol w:w="1559"/>
        <w:gridCol w:w="1141"/>
        <w:gridCol w:w="1559"/>
        <w:gridCol w:w="1270"/>
        <w:gridCol w:w="849"/>
        <w:gridCol w:w="840"/>
        <w:gridCol w:w="852"/>
        <w:gridCol w:w="852"/>
        <w:gridCol w:w="990"/>
        <w:gridCol w:w="852"/>
        <w:gridCol w:w="849"/>
        <w:gridCol w:w="852"/>
      </w:tblGrid>
      <w:tr w:rsidR="00CB696C">
        <w:trPr>
          <w:trHeight w:val="20"/>
        </w:trPr>
        <w:tc>
          <w:tcPr>
            <w:tcW w:w="192" w:type="pct"/>
            <w:vMerge w:val="restar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vMerge w:val="restart"/>
            <w:tcBorders>
              <w:bottom w:val="single" w:sz="4" w:space="0" w:color="auto"/>
            </w:tcBorders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Наименование мероприятия</w:t>
            </w:r>
          </w:p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 w:val="restar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Ответственный исполнитель</w:t>
            </w:r>
          </w:p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 w:val="restar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Срок реализации мероприятия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Муниципальный правовой акт (проект) или иной документ</w:t>
            </w:r>
          </w:p>
        </w:tc>
        <w:tc>
          <w:tcPr>
            <w:tcW w:w="431" w:type="pct"/>
            <w:vMerge w:val="restar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Целевой показатель</w:t>
            </w:r>
          </w:p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51" w:type="pct"/>
            <w:gridSpan w:val="4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Значение целевого показателя (план)</w:t>
            </w:r>
          </w:p>
        </w:tc>
        <w:tc>
          <w:tcPr>
            <w:tcW w:w="1202" w:type="pct"/>
            <w:gridSpan w:val="4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Бюджетный эффект от реализации мероприятия (план), тыс. руб.</w:t>
            </w: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pct"/>
            <w:vMerge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2026 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 год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2028 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336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год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</w:tr>
      <w:tr w:rsidR="00CB696C">
        <w:trPr>
          <w:trHeight w:val="20"/>
        </w:trPr>
        <w:tc>
          <w:tcPr>
            <w:tcW w:w="5000" w:type="pct"/>
            <w:gridSpan w:val="14"/>
          </w:tcPr>
          <w:p w:rsidR="00CB696C" w:rsidRDefault="00B22481">
            <w:pPr>
              <w:jc w:val="both"/>
              <w:rPr>
                <w:bCs/>
                <w:color w:val="FF0000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1. Мероприятия по росту доходов бюджета Ханты-Мансийского района (далее – бюджет района) 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Всего по доходам, в том числе:</w:t>
            </w:r>
          </w:p>
        </w:tc>
        <w:tc>
          <w:tcPr>
            <w:tcW w:w="52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387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52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276 120,9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12 525,9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13 525,9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13 525,9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1.1.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Проведение адресной работы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bCs/>
                <w:color w:val="000000" w:themeColor="text1"/>
                <w:sz w:val="18"/>
                <w:szCs w:val="18"/>
              </w:rPr>
              <w:t>с организациями и индивидуальными предпринимателями главными администраторами доходов бюджета в рамках деятельности комиссии по расширению налогооблагаемой базы и мобилизации доходов в бюджет района с целью сокращения объема задолженности по налоговым и не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налоговым платежам, обеспечения поступлений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доходов в бюджет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в запланированном объеме, качественного планирования бюджетных показателей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председатель комитета по финансам Администрации Ханты-Мансийского 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протоколы заседаний комиссии по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расширению налогооблагаемой базы и мобилизации доходов в бюджет района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количество организованных заседаний комиссии по расширению налогооблагаемой базы и мобилизации доходов в бюджет района, ед.</w:t>
            </w:r>
          </w:p>
        </w:tc>
        <w:tc>
          <w:tcPr>
            <w:tcW w:w="288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noWrap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  <w:noWrap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  <w:vMerge w:val="restar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1.2.</w:t>
            </w:r>
          </w:p>
        </w:tc>
        <w:tc>
          <w:tcPr>
            <w:tcW w:w="579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  <w:highlight w:val="yellow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Принятие мер, направленных на повышение роли имущественных налогов (земельного налога и налога на имущество физических лиц) в формировании бюджета района: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осуществление мероприятий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по выявлению правообладателей ранее учтенных объектов недвижимости, направ</w:t>
            </w:r>
            <w:r>
              <w:rPr>
                <w:bCs/>
                <w:color w:val="000000" w:themeColor="text1"/>
                <w:sz w:val="18"/>
                <w:szCs w:val="18"/>
              </w:rPr>
              <w:t>ление сведений о правообладателей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директор департамента имущественных и земельных отношений Администрации Ханты-Мансийского района, председатель комитета по финансам Адм</w:t>
            </w:r>
            <w:r>
              <w:rPr>
                <w:bCs/>
                <w:color w:val="000000" w:themeColor="text1"/>
                <w:sz w:val="18"/>
                <w:szCs w:val="18"/>
              </w:rPr>
              <w:t>инистрации Ханты-Мансийского района</w:t>
            </w:r>
          </w:p>
        </w:tc>
        <w:tc>
          <w:tcPr>
            <w:tcW w:w="387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количество объектов недвижимости, в отношении которых выявлены правообладатели ранее учтенных объектов недвижимости, ед. 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36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1,0</w:t>
            </w: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оценка (прогноз) поступлений в бюджет района земельного налога, налога на имущество физических лиц в отношении ранее учтенных объектов недвижимости, по которым сведения о выявленных правообладателях направлены для внесения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в Единый государственный реестр н</w:t>
            </w:r>
            <w:r>
              <w:rPr>
                <w:bCs/>
                <w:color w:val="000000" w:themeColor="text1"/>
                <w:sz w:val="18"/>
                <w:szCs w:val="18"/>
              </w:rPr>
              <w:t>едвижимости, руб.</w:t>
            </w: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7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осуществление мероприятий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по повышению собираемости имущественных налогов, информированию налогоплательщиков физических лиц и урегулирование задолженности сотрудников бюджетной сферы по местным налогам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финансам Администрации Ханты-Мансийского района,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главы сельских поселений Ханты-Мансийского района (по согласованию), заместители Главы Ханты-Мансийского района (в отношении себя и курируемых, органов, муниципальных казенных учреж</w:t>
            </w:r>
            <w:r>
              <w:rPr>
                <w:bCs/>
                <w:color w:val="000000" w:themeColor="text1"/>
                <w:sz w:val="18"/>
                <w:szCs w:val="18"/>
              </w:rPr>
              <w:t>дений, муниципальных общеобразовательных учреждений, муниципальных автономных учреждений),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образованию Администрации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Ханты-Мансийского района (в отношении себя и подведомственн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ых муниципальных казенных учреждений, муниципальных об</w:t>
            </w:r>
            <w:r>
              <w:rPr>
                <w:bCs/>
                <w:color w:val="000000" w:themeColor="text1"/>
                <w:sz w:val="18"/>
                <w:szCs w:val="18"/>
              </w:rPr>
              <w:t>щеобразовательных учреждений, муниципальных автономных учреждений), заместитель Главы Ханты-Мансийского района, директор Департамента строительства, архитектуры и ЖКХ Администрации Ханты-Мансийского района (в отношении себя и возглавляемого органа Админист</w:t>
            </w:r>
            <w:r>
              <w:rPr>
                <w:bCs/>
                <w:color w:val="000000" w:themeColor="text1"/>
                <w:sz w:val="18"/>
                <w:szCs w:val="18"/>
              </w:rPr>
              <w:t>рации, подведомственных муниципальных казенных учреждений, муниципальных унитарных предприятий), директор департамента имущественных и земельных отношений Администрации Ханты-Мансийского района</w:t>
            </w:r>
          </w:p>
        </w:tc>
        <w:tc>
          <w:tcPr>
            <w:tcW w:w="387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в течение года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организация совместно с налоговым органом инф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ормационной компании о необходимости, порядке и сроках уплаты имущественных налогов (транспортного, земельного налога и налога на имущество физических лиц). Размещение информационных сообщений на официальном сайте Администрации Ханты-Мансийского района, в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средствах массовой информации: о необходимости, порядке и сроках уплаты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имущественных налогов, налога на доходы физических лиц; об изменениях, внесенных в решения Думы Ханты-Мансийского района о местных налогах, да/нет</w:t>
            </w: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проведение адресной работы, направленной на недопущение и сокращение задолженности по имущественным налогам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физических лиц – сотрудников бюджетной сферы по местным налогам,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да/нет</w:t>
            </w: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выявление объектов недвижимого имущества, подлежащих включению в перечень объектов, указанных в подпунктах 1 и 2 пункта 1 статьи 378.2 НК РФ и направление соответствующих предложений в</w:t>
            </w:r>
            <w:r>
              <w:rPr>
                <w:bCs/>
                <w:strike/>
                <w:color w:val="000000" w:themeColor="text1"/>
                <w:sz w:val="18"/>
                <w:szCs w:val="18"/>
              </w:rPr>
              <w:t xml:space="preserve">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Департамент финансов Ханты-Мансийского автономного округа – Югры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предс</w:t>
            </w:r>
            <w:r>
              <w:rPr>
                <w:bCs/>
                <w:color w:val="000000" w:themeColor="text1"/>
                <w:sz w:val="18"/>
                <w:szCs w:val="18"/>
              </w:rPr>
              <w:t>едатель комитета по финансам Администрации Ханты-Мансийского района, директор департамента имущественных и земельных отношений Администрации Ханты-Мансийского района,</w:t>
            </w:r>
          </w:p>
          <w:p w:rsidR="00CB696C" w:rsidRDefault="00B22481">
            <w:pPr>
              <w:rPr>
                <w:bCs/>
                <w:strike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Администрации Ханты-Мансийского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 теч</w:t>
            </w:r>
            <w:r>
              <w:rPr>
                <w:bCs/>
                <w:color w:val="000000" w:themeColor="text1"/>
                <w:sz w:val="18"/>
                <w:szCs w:val="18"/>
              </w:rPr>
              <w:t>ение года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strike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письмо в Департамент финансов Ханты-Мансийского автономного округа – Югры /протоколы заседаний комиссии по расширению налогооблагаемой базы и мобилизации доходов в бюджет района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количество выявленных объектов недвижимости, подлежащих включен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ию в перечень объектов, указанных в подпунктах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и 2 пункта 1 статьи 378.2 НК РФ, ед.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36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1.3.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Принятие мер, направленных на снижение дебиторской задолженности по доходам бюджета района, проведение анализа ежеквартального состояния просроченной дебиторской задолженности по неналоговым доходам бюджета района</w:t>
            </w:r>
          </w:p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а, директор Департамента строительства, архитектуры и ЖКХ Администрации Ханты-Мансийского района (в отношении возглавляемого органа Администрации и подведомственных муниципальных казенных учреждений),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директор департамента имущественных и земельных отношен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ий Администрации Ханты-Мансийского района, председатель комитета по образованию Администрации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(в отношении возглавляемого органа Администрации и подведомственных муниципальных казенных учреждений), начальник управления по учету и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отчетности Администрация Ханты-Мансийского района (в отношении Администрации района и подведомственных муниципальных казенных учреждений)**, председатель комитета по финансам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Администрации Ханты-Мансийского 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в течение года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регламенты реализации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полно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мочий администратора доходов бюджета района по взысканию дебиторской задолженности по платежам в бюджет района, пеням и штрафам по ним: распоряжение Администрации Ханты-Мансийского района от 29.12.2023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№ 978, приказ департамента имущественных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и земельных </w:t>
            </w:r>
            <w:r>
              <w:rPr>
                <w:bCs/>
                <w:color w:val="000000" w:themeColor="text1"/>
                <w:sz w:val="18"/>
                <w:szCs w:val="18"/>
              </w:rPr>
              <w:t>отношений Администрации Ханты-Мансийского района от 04.04.2023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№ 219-п; приказ Департамент строительства, архитектуры и ЖКХ Администрации Ханты-Мансийского района от 06.10.2023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№ 109-п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доля взысканной дебиторской задолженности в объеме дебиторской задолже</w:t>
            </w:r>
            <w:r>
              <w:rPr>
                <w:bCs/>
                <w:color w:val="000000" w:themeColor="text1"/>
                <w:sz w:val="18"/>
                <w:szCs w:val="18"/>
              </w:rPr>
              <w:t>нности в текущем финансовом году и плановом периоде, % *</w:t>
            </w: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  <w:vMerge w:val="restar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1.4.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Обеспечение дополнительного привлечения средств в бюджет района от реализации муниципального имущества:</w:t>
            </w:r>
          </w:p>
        </w:tc>
        <w:tc>
          <w:tcPr>
            <w:tcW w:w="529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директор департамента имущественных и земельных отношений Администрации Ханты-Мансийского района</w:t>
            </w:r>
          </w:p>
        </w:tc>
        <w:tc>
          <w:tcPr>
            <w:tcW w:w="387" w:type="pct"/>
            <w:vMerge w:val="restar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ежегодно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8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5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10 137,9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10 137,9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11 137,9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11 137,9</w:t>
            </w: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аренда движимого, недвижимого имущества</w:t>
            </w:r>
          </w:p>
        </w:tc>
        <w:tc>
          <w:tcPr>
            <w:tcW w:w="529" w:type="pct"/>
            <w:vMerge/>
          </w:tcPr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договор аренды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отношение фактически полученной арендной платы в результате дополнительной передачи движимого и недвижимого имущества в аренду в отчетном периоде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к плановым назначениям доходов по коду 00011109045050000120, %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4,1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3,9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3,6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3,6</w:t>
            </w: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137,9</w:t>
            </w: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аренда земельных участков</w:t>
            </w:r>
          </w:p>
        </w:tc>
        <w:tc>
          <w:tcPr>
            <w:tcW w:w="529" w:type="pct"/>
            <w:vMerge/>
          </w:tcPr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договор аренды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отношение фактически полученной арендной платы в результате дополнительной передачи земельных участков в аренду в отчетном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периоде к плановым назначениям доходов по коду 07011105013050000120, %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2,5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2,4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2,3</w:t>
            </w: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9 000,0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9 000,0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9 000,0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9 000,0</w:t>
            </w:r>
          </w:p>
        </w:tc>
      </w:tr>
      <w:tr w:rsidR="00CB696C">
        <w:trPr>
          <w:trHeight w:val="20"/>
        </w:trPr>
        <w:tc>
          <w:tcPr>
            <w:tcW w:w="192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продажа земельных участков</w:t>
            </w:r>
          </w:p>
        </w:tc>
        <w:tc>
          <w:tcPr>
            <w:tcW w:w="529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  <w:vMerge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договор купли-продажи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отношение фактически полученных доходов от продажи материальных и нематериальных активов к первоначально утвержден</w:t>
            </w:r>
            <w:r>
              <w:rPr>
                <w:bCs/>
                <w:color w:val="000000" w:themeColor="text1"/>
                <w:sz w:val="18"/>
                <w:szCs w:val="18"/>
              </w:rPr>
              <w:t>ной сумме доходов бюджета района по коду, 11400000000000000, %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40,7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126,7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126,7</w:t>
            </w: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1 000,0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1 000,0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2 000,0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2 000,0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1.5.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Проведение претензионно-исковой работы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в отношении исполнителей муниципальных контрактов (соглашений) за неисполнение и (или) ненадлежащее их исполнение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заместитель Главы Ханты-Мансийского района, директор Департамента строительства, архитектуры и ЖКХ Администрации Ханты-Мансийского района (в 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отношении возглавляемого органа Администрации и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подведомственных муниципальных казенных учреждений),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директор департамента имущественных и земельных отношений Администрации Ханты-Мансийского района, председатель комитета по образованию Администрации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Хант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ы-Мансийского района (в отношении возглавляемого органа Администрации и подведомственных муниципальных казенных учреждений), 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начальник управления по учету и отчетности Администрация Ханты-Мансийского района (в отношении Администрации района и подведомств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енных муниципальных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казенных </w:t>
            </w:r>
            <w:proofErr w:type="gramStart"/>
            <w:r>
              <w:rPr>
                <w:bCs/>
                <w:color w:val="000000" w:themeColor="text1"/>
                <w:sz w:val="18"/>
                <w:szCs w:val="18"/>
              </w:rPr>
              <w:t>учреждений)*</w:t>
            </w:r>
            <w:proofErr w:type="gramEnd"/>
            <w:r>
              <w:rPr>
                <w:bCs/>
                <w:color w:val="000000" w:themeColor="text1"/>
                <w:sz w:val="18"/>
                <w:szCs w:val="18"/>
              </w:rPr>
              <w:t>*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в течение года</w:t>
            </w:r>
          </w:p>
        </w:tc>
        <w:tc>
          <w:tcPr>
            <w:tcW w:w="52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–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отношение фактически полученных доходов к первоначально утвержденной сумме доходов по коду 00011607010050000140, 00011302995050000130 %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bCs/>
                <w:color w:val="000000" w:themeColor="text1"/>
                <w:sz w:val="18"/>
                <w:szCs w:val="18"/>
                <w:lang w:val="en-US"/>
              </w:rPr>
              <w:t>341,4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69,7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69,7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69,7</w:t>
            </w: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bCs/>
                <w:color w:val="000000" w:themeColor="text1"/>
                <w:sz w:val="18"/>
                <w:szCs w:val="18"/>
                <w:lang w:val="en-US"/>
              </w:rPr>
              <w:t>9 300,0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1 787,0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1.6.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Заключение соглашений о сотрудничестве с хозяйствующими субъектами, осуществляющими деятельность на территории Ханты-Мансийского района</w:t>
            </w:r>
          </w:p>
        </w:tc>
        <w:tc>
          <w:tcPr>
            <w:tcW w:w="52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Администрации Ханты-Мансийского района</w:t>
            </w:r>
          </w:p>
        </w:tc>
        <w:tc>
          <w:tcPr>
            <w:tcW w:w="387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ежегодно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соглашения о сотрудничеств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е с хозяйствующими субъектами, осуществляющими деятельность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на территории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Ханты-Мансийского района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прирост доходов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к первоначально утвержденной сумме доходов бюджета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района, %</w:t>
            </w:r>
          </w:p>
        </w:tc>
        <w:tc>
          <w:tcPr>
            <w:tcW w:w="288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4,0</w:t>
            </w:r>
          </w:p>
        </w:tc>
        <w:tc>
          <w:tcPr>
            <w:tcW w:w="285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336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bCs/>
                <w:color w:val="000000" w:themeColor="text1"/>
                <w:sz w:val="18"/>
                <w:szCs w:val="18"/>
                <w:lang w:val="en-US"/>
              </w:rPr>
              <w:t>255 888</w:t>
            </w:r>
            <w:r>
              <w:rPr>
                <w:bCs/>
                <w:color w:val="000000" w:themeColor="text1"/>
                <w:sz w:val="18"/>
                <w:szCs w:val="18"/>
              </w:rPr>
              <w:t>,</w:t>
            </w:r>
            <w:r>
              <w:rPr>
                <w:bCs/>
                <w:color w:val="000000" w:themeColor="text1"/>
                <w:sz w:val="18"/>
                <w:szCs w:val="18"/>
                <w:lang w:val="en-US"/>
              </w:rPr>
              <w:t>9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8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9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1.7.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Расширение применения технологий и механизмов участия граждан и хозяйствующих субъектов в бюджетном процессе и дополнительное привлечение доходов за счет инициативных проектов, реализуемых на территории Ханты-Мансийского района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</w:t>
            </w:r>
            <w:r>
              <w:rPr>
                <w:bCs/>
                <w:color w:val="000000" w:themeColor="text1"/>
                <w:sz w:val="18"/>
                <w:szCs w:val="18"/>
              </w:rPr>
              <w:t>ийского района, директор Департамента строительства, архитектуры и ЖКХ Администрации Ханты-Мансийского района, председатель комитета по финансам Администрации Ханты-Мансийского 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ежегодно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инициативные проекты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отношение фактически полученных доходов о</w:t>
            </w:r>
            <w:r>
              <w:rPr>
                <w:bCs/>
                <w:color w:val="000000" w:themeColor="text1"/>
                <w:sz w:val="18"/>
                <w:szCs w:val="18"/>
              </w:rPr>
              <w:t>т инициативных платежей к первоначально утвержденной сумме неналоговых доходов, %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85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0,2</w:t>
            </w:r>
          </w:p>
        </w:tc>
        <w:tc>
          <w:tcPr>
            <w:tcW w:w="336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bCs/>
                <w:color w:val="000000" w:themeColor="text1"/>
                <w:sz w:val="18"/>
                <w:szCs w:val="18"/>
                <w:lang w:val="en-US"/>
              </w:rPr>
              <w:t>793,1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600,0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1.8.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Содействие в государственной регистрации в качестве субъекта малого и среднего предпринимательства или физи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ческого лица – налогоплательщика налога на профессиональный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доход «самозанятые», осуществляющие деятельность без государственной регистрации *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председатель комитета экономической политики Администрации Ханты-Мансийского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ежегодно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количество зарегистрированных плательщиков налога на профессиональный доход, ед.*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 субъекта</w:t>
            </w:r>
          </w:p>
        </w:tc>
        <w:tc>
          <w:tcPr>
            <w:tcW w:w="336" w:type="pct"/>
            <w:noWrap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1.9.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Обеспечение в рамках легализации теневой занятости работу с хозяйствующими субъектами Ханты-Мансийского района в части соблюдения трудового законодательства и официального оформления трудовых отношений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председатель комитета экономической политики Администр</w:t>
            </w:r>
            <w:r>
              <w:rPr>
                <w:bCs/>
                <w:color w:val="000000" w:themeColor="text1"/>
                <w:sz w:val="18"/>
                <w:szCs w:val="18"/>
              </w:rPr>
              <w:t>ации Ханты-Мансийского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района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 течение года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протоколы заседаний рабочей группы по стабилизации ситуации на рынке труда и противодействию нелегальной занятости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>в Ханты-Мансийском районе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количество физических лиц, с которыми заключен трудовой договор, ед.*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физиче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ских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 xml:space="preserve"> лица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физиче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ских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 xml:space="preserve"> лица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физиче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ских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 xml:space="preserve"> лица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менее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физиче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ских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 xml:space="preserve"> лица</w:t>
            </w:r>
          </w:p>
        </w:tc>
        <w:tc>
          <w:tcPr>
            <w:tcW w:w="336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5000" w:type="pct"/>
            <w:gridSpan w:val="14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 Мероприятия по оптимизации расходов бюджета района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Всего по расходам, </w:t>
            </w:r>
          </w:p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в том числе</w:t>
            </w:r>
          </w:p>
        </w:tc>
        <w:tc>
          <w:tcPr>
            <w:tcW w:w="52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431" w:type="pct"/>
          </w:tcPr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5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148 844,8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184 117,0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2.1.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Реорганизация сети образовательных учреждений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образованию Администрации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</w:t>
            </w:r>
          </w:p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распоряжения Администрации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Ханты-Мансийского района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от 11.11.2025 </w:t>
            </w:r>
            <w:r>
              <w:rPr>
                <w:bCs/>
                <w:color w:val="000000" w:themeColor="text1"/>
                <w:sz w:val="18"/>
                <w:szCs w:val="18"/>
              </w:rPr>
              <w:br/>
              <w:t xml:space="preserve">№ 237-р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и № 238-р «О реорганизации образовательной организации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Ханты-Мансийского района»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отношение количества муниципальных учреждений образования Ханты-Мансийского района, подлежащих реорганизации, к общему количеству учреждений образования Ханты-Мансийского рай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она, % </w:t>
            </w:r>
          </w:p>
        </w:tc>
        <w:tc>
          <w:tcPr>
            <w:tcW w:w="28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6,3</w:t>
            </w:r>
          </w:p>
        </w:tc>
        <w:tc>
          <w:tcPr>
            <w:tcW w:w="285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7 013,4</w:t>
            </w: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8" w:type="pct"/>
            <w:tcBorders>
              <w:bottom w:val="single" w:sz="4" w:space="0" w:color="auto"/>
              <w:right w:val="single" w:sz="4" w:space="0" w:color="auto"/>
            </w:tcBorders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  <w:tc>
          <w:tcPr>
            <w:tcW w:w="289" w:type="pct"/>
            <w:tcBorders>
              <w:bottom w:val="single" w:sz="4" w:space="0" w:color="auto"/>
              <w:right w:val="single" w:sz="4" w:space="0" w:color="auto"/>
            </w:tcBorders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2.2.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Увеличение доли конкурентных процедур в общем объеме закупок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председатель комитета по финансам Администрации Ханты-Мансийского района 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>
              <w:rPr>
                <w:bCs/>
                <w:color w:val="000000" w:themeColor="text1"/>
                <w:sz w:val="18"/>
              </w:rPr>
              <w:br/>
            </w:r>
            <w:r>
              <w:rPr>
                <w:bCs/>
                <w:color w:val="000000" w:themeColor="text1"/>
                <w:sz w:val="18"/>
              </w:rPr>
              <w:t xml:space="preserve">«О внесении изменений в решение Думы Ханты-Мансийского района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от 19.12.2025 </w:t>
            </w:r>
            <w:r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отношение экономии бюджетных средств (разница между начальной (максимальной) ценой конт</w:t>
            </w:r>
            <w:r>
              <w:rPr>
                <w:bCs/>
                <w:color w:val="000000" w:themeColor="text1"/>
                <w:sz w:val="18"/>
                <w:szCs w:val="18"/>
              </w:rPr>
              <w:t>ракта и ценой заключенного контракта по результатам проведенных конкурентных процедур) к общему объему кассовых расходов бюджета района, %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0,5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0,3</w:t>
            </w: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40 000,0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20 000,0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2.3.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Оптимизация субсидий некоммерческим организациям, юридическим лицам (за исключением муниципальных учреждений)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 по финансам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2029 год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>
              <w:rPr>
                <w:bCs/>
                <w:color w:val="000000" w:themeColor="text1"/>
                <w:sz w:val="18"/>
              </w:rPr>
              <w:br/>
              <w:t>«О внесении из</w:t>
            </w:r>
            <w:r>
              <w:rPr>
                <w:bCs/>
                <w:color w:val="000000" w:themeColor="text1"/>
                <w:sz w:val="18"/>
              </w:rPr>
              <w:t xml:space="preserve">менений в решение Думы Ханты-Мансийского района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от 19.12.2025 </w:t>
            </w:r>
            <w:r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сокращение расходов бюджета Ханты-Мансийского района на предоставление субсидий некоммерческим органи</w:t>
            </w:r>
            <w:r>
              <w:rPr>
                <w:bCs/>
                <w:color w:val="000000" w:themeColor="text1"/>
                <w:sz w:val="18"/>
                <w:szCs w:val="18"/>
              </w:rPr>
              <w:t>зациям, юридическим лицам (за исключением муниципальных учреждений), %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8,6</w:t>
            </w:r>
          </w:p>
        </w:tc>
        <w:tc>
          <w:tcPr>
            <w:tcW w:w="285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709,0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2.4.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bCs/>
                <w:color w:val="000000" w:themeColor="text1"/>
                <w:sz w:val="18"/>
                <w:szCs w:val="18"/>
              </w:rPr>
              <w:t>Приоритизация</w:t>
            </w:r>
            <w:proofErr w:type="spellEnd"/>
            <w:r>
              <w:rPr>
                <w:bCs/>
                <w:color w:val="000000" w:themeColor="text1"/>
                <w:sz w:val="18"/>
                <w:szCs w:val="18"/>
              </w:rPr>
              <w:t xml:space="preserve"> инвестиционных расходов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 по финансам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>
              <w:rPr>
                <w:bCs/>
                <w:color w:val="000000" w:themeColor="text1"/>
                <w:sz w:val="18"/>
              </w:rPr>
              <w:br/>
              <w:t xml:space="preserve">«О внесении изменений в решение Думы Ханты-Мансийского района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от 19.12.2025 </w:t>
            </w:r>
            <w:r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2026 год и плановый период 2027 и 2028 годов»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сокращение расходов бюджета Ханты-Мансийского ра</w:t>
            </w:r>
            <w:r>
              <w:rPr>
                <w:bCs/>
                <w:color w:val="000000" w:themeColor="text1"/>
                <w:sz w:val="18"/>
                <w:szCs w:val="18"/>
              </w:rPr>
              <w:t>йона на бюджетные инвестиции в объекты капитального строительства муниципальной собственности, %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22,1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26,4</w:t>
            </w:r>
          </w:p>
        </w:tc>
        <w:tc>
          <w:tcPr>
            <w:tcW w:w="289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98 007,5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164 117,0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2.5.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Оптимизация субсидий бюджетным и автономным учреждениям на муниципальное задание 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заместитель Главы Ханты-Мансийского района по финансам</w:t>
            </w:r>
          </w:p>
        </w:tc>
        <w:tc>
          <w:tcPr>
            <w:tcW w:w="387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2026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2027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2028 год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2029 год</w:t>
            </w: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решение Думы Ханты-Мансийского района </w:t>
            </w:r>
            <w:r>
              <w:rPr>
                <w:bCs/>
                <w:color w:val="000000" w:themeColor="text1"/>
                <w:sz w:val="18"/>
              </w:rPr>
              <w:br/>
              <w:t xml:space="preserve">«О внесении изменений в решение Думы Ханты-Мансийского района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</w:rPr>
            </w:pPr>
            <w:r>
              <w:rPr>
                <w:bCs/>
                <w:color w:val="000000" w:themeColor="text1"/>
                <w:sz w:val="18"/>
              </w:rPr>
              <w:t xml:space="preserve">от 19.12.2025 </w:t>
            </w:r>
            <w:r>
              <w:rPr>
                <w:bCs/>
                <w:color w:val="000000" w:themeColor="text1"/>
                <w:sz w:val="18"/>
              </w:rPr>
              <w:br/>
              <w:t>№ 696 «О бюджете Ханты-Мансийского района на 202</w:t>
            </w:r>
            <w:r>
              <w:rPr>
                <w:bCs/>
                <w:color w:val="000000" w:themeColor="text1"/>
                <w:sz w:val="18"/>
              </w:rPr>
              <w:t>6 год и плановый период 2027 и 2028 годов»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сокращение расходов бюджета Ханты-Мансийского района на предоставление субсидий бюджетным и автономным учреждениям на муниципальное задание (без учета государственных полномочий), %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0,6</w:t>
            </w:r>
          </w:p>
        </w:tc>
        <w:tc>
          <w:tcPr>
            <w:tcW w:w="285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  <w:noWrap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336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3 114,9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88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***</w:t>
            </w:r>
          </w:p>
        </w:tc>
      </w:tr>
      <w:tr w:rsidR="00CB696C">
        <w:trPr>
          <w:trHeight w:val="20"/>
        </w:trPr>
        <w:tc>
          <w:tcPr>
            <w:tcW w:w="5000" w:type="pct"/>
            <w:gridSpan w:val="14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3. Мероприятия по сокращению муниципального долга</w:t>
            </w: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3.1.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Обеспечение нахождения муниципального долга на безопасном уровне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при формировании и исполнении бюджета района</w:t>
            </w:r>
          </w:p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председатель комитета по финансам Администрации Ханты-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Мансийского района</w:t>
            </w:r>
          </w:p>
        </w:tc>
        <w:tc>
          <w:tcPr>
            <w:tcW w:w="387" w:type="pct"/>
            <w:vAlign w:val="center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–</w:t>
            </w:r>
          </w:p>
        </w:tc>
        <w:tc>
          <w:tcPr>
            <w:tcW w:w="529" w:type="pct"/>
            <w:vAlign w:val="center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–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 xml:space="preserve">отношение муниципального долга к доходам бюджета без </w:t>
            </w: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 xml:space="preserve">учета безвозмездных поступлений и (или) поступлений налоговых доходов по дополнительным нормативам отчислений от налога </w:t>
            </w:r>
          </w:p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 доходы физических лиц, % &lt;*&gt;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lastRenderedPageBreak/>
              <w:t>не более 50,0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более 50,0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более</w:t>
            </w:r>
            <w:r>
              <w:rPr>
                <w:bCs/>
                <w:color w:val="000000" w:themeColor="text1"/>
                <w:sz w:val="18"/>
                <w:szCs w:val="18"/>
              </w:rPr>
              <w:t xml:space="preserve"> 50,0</w:t>
            </w:r>
          </w:p>
        </w:tc>
        <w:tc>
          <w:tcPr>
            <w:tcW w:w="336" w:type="pct"/>
            <w:noWrap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  <w:tr w:rsidR="00CB696C">
        <w:trPr>
          <w:trHeight w:val="20"/>
        </w:trPr>
        <w:tc>
          <w:tcPr>
            <w:tcW w:w="192" w:type="pct"/>
          </w:tcPr>
          <w:p w:rsidR="00CB696C" w:rsidRDefault="00B22481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3.2.</w:t>
            </w:r>
          </w:p>
        </w:tc>
        <w:tc>
          <w:tcPr>
            <w:tcW w:w="57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Мониторинг конъектуры рынка в целях определения наиболее оптимальной стоимости заимствований</w:t>
            </w:r>
          </w:p>
          <w:p w:rsidR="00CB696C" w:rsidRDefault="00CB696C">
            <w:pPr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529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председатель комитета по финансам Администрации Ханты-Мансийского района</w:t>
            </w:r>
          </w:p>
        </w:tc>
        <w:tc>
          <w:tcPr>
            <w:tcW w:w="387" w:type="pct"/>
            <w:vAlign w:val="center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529" w:type="pct"/>
            <w:vAlign w:val="center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31" w:type="pct"/>
          </w:tcPr>
          <w:p w:rsidR="00CB696C" w:rsidRDefault="00B22481">
            <w:pPr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обеспечение привлечения (при необходимости) кредитов, в российских кредитных организациях по ставке не выше значений целевого показателя, %</w:t>
            </w:r>
          </w:p>
        </w:tc>
        <w:tc>
          <w:tcPr>
            <w:tcW w:w="288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 более ключевой ставки Банка России, увеличенной на 2,5 %</w:t>
            </w:r>
          </w:p>
        </w:tc>
        <w:tc>
          <w:tcPr>
            <w:tcW w:w="285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 более ключевой ставки Банка России, увеличенной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289" w:type="pct"/>
            <w:noWrap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 более ключевой ставки Банка России, увеличенной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289" w:type="pct"/>
          </w:tcPr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не более ключевой ставки Банка России, увеличенной</w:t>
            </w:r>
          </w:p>
          <w:p w:rsidR="00CB696C" w:rsidRDefault="00B22481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>
              <w:rPr>
                <w:bCs/>
                <w:color w:val="000000" w:themeColor="text1"/>
                <w:sz w:val="18"/>
                <w:szCs w:val="18"/>
              </w:rPr>
              <w:t>на 2,5 %</w:t>
            </w:r>
          </w:p>
        </w:tc>
        <w:tc>
          <w:tcPr>
            <w:tcW w:w="336" w:type="pct"/>
            <w:noWrap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8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89" w:type="pct"/>
          </w:tcPr>
          <w:p w:rsidR="00CB696C" w:rsidRDefault="00CB696C">
            <w:pPr>
              <w:jc w:val="both"/>
              <w:rPr>
                <w:bCs/>
                <w:color w:val="000000" w:themeColor="text1"/>
                <w:sz w:val="18"/>
                <w:szCs w:val="18"/>
              </w:rPr>
            </w:pPr>
          </w:p>
        </w:tc>
      </w:tr>
    </w:tbl>
    <w:p w:rsidR="00CB696C" w:rsidRDefault="00B22481">
      <w:pPr>
        <w:jc w:val="both"/>
        <w:rPr>
          <w:sz w:val="22"/>
          <w:szCs w:val="22"/>
        </w:rPr>
      </w:pPr>
      <w:r>
        <w:rPr>
          <w:sz w:val="18"/>
          <w:szCs w:val="18"/>
        </w:rPr>
        <w:t xml:space="preserve"> </w:t>
      </w:r>
      <w:r>
        <w:rPr>
          <w:sz w:val="22"/>
          <w:szCs w:val="22"/>
        </w:rPr>
        <w:t xml:space="preserve">Примечание: </w:t>
      </w:r>
      <w:r>
        <w:rPr>
          <w:b/>
          <w:sz w:val="22"/>
          <w:szCs w:val="22"/>
        </w:rPr>
        <w:t>*</w:t>
      </w:r>
      <w:r>
        <w:rPr>
          <w:sz w:val="22"/>
          <w:szCs w:val="22"/>
        </w:rPr>
        <w:t xml:space="preserve"> показатель оценивается по итогам года</w:t>
      </w:r>
    </w:p>
    <w:p w:rsidR="00CB696C" w:rsidRDefault="00B2248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        ** </w:t>
      </w:r>
      <w:r>
        <w:rPr>
          <w:sz w:val="22"/>
          <w:szCs w:val="22"/>
        </w:rPr>
        <w:t>в части предоставления сводной информации по Администрации района</w:t>
      </w:r>
    </w:p>
    <w:p w:rsidR="00CB696C" w:rsidRDefault="00B22481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*** бюджетный эффект определяется ежегодно по итогам реализации мероприятия</w:t>
      </w:r>
    </w:p>
    <w:sectPr w:rsidR="00CB696C">
      <w:pgSz w:w="16838" w:h="11906" w:orient="landscape"/>
      <w:pgMar w:top="1418" w:right="1276" w:bottom="1134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696C" w:rsidRDefault="00B22481">
      <w:r>
        <w:separator/>
      </w:r>
    </w:p>
  </w:endnote>
  <w:endnote w:type="continuationSeparator" w:id="0">
    <w:p w:rsidR="00CB696C" w:rsidRDefault="00B22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696C" w:rsidRDefault="00B22481">
      <w:r>
        <w:separator/>
      </w:r>
    </w:p>
  </w:footnote>
  <w:footnote w:type="continuationSeparator" w:id="0">
    <w:p w:rsidR="00CB696C" w:rsidRDefault="00B224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-2107022022"/>
      <w:docPartObj>
        <w:docPartGallery w:val="Page Numbers (Top of Page)"/>
        <w:docPartUnique/>
      </w:docPartObj>
    </w:sdtPr>
    <w:sdtEndPr/>
    <w:sdtContent>
      <w:p w:rsidR="00CB696C" w:rsidRDefault="00B22481">
        <w:pPr>
          <w:pStyle w:val="af4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</w:rPr>
          <w:t>2</w:t>
        </w:r>
        <w:r>
          <w:rPr>
            <w:sz w:val="24"/>
          </w:rPr>
          <w:fldChar w:fldCharType="end"/>
        </w:r>
      </w:p>
    </w:sdtContent>
  </w:sdt>
  <w:p w:rsidR="00CB696C" w:rsidRDefault="00CB696C">
    <w:pPr>
      <w:pStyle w:val="af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0110C"/>
    <w:multiLevelType w:val="multilevel"/>
    <w:tmpl w:val="0E785CF6"/>
    <w:lvl w:ilvl="0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696C"/>
    <w:rsid w:val="00B22481"/>
    <w:rsid w:val="00CB69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62FE8"/>
  <w15:docId w15:val="{F8EB3011-14D9-4CC1-B328-7CABA7241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b/>
      <w:bCs/>
      <w:sz w:val="22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8">
    <w:name w:val="footnote text"/>
    <w:basedOn w:val="a"/>
    <w:link w:val="a9"/>
    <w:uiPriority w:val="99"/>
    <w:semiHidden/>
    <w:unhideWhenUsed/>
    <w:pPr>
      <w:spacing w:after="40"/>
    </w:pPr>
    <w:rPr>
      <w:sz w:val="18"/>
    </w:rPr>
  </w:style>
  <w:style w:type="character" w:customStyle="1" w:styleId="a9">
    <w:name w:val="Текст сноски Знак"/>
    <w:link w:val="a8"/>
    <w:uiPriority w:val="99"/>
    <w:rPr>
      <w:sz w:val="18"/>
    </w:rPr>
  </w:style>
  <w:style w:type="character" w:styleId="aa">
    <w:name w:val="footnote reference"/>
    <w:basedOn w:val="a0"/>
    <w:uiPriority w:val="99"/>
    <w:unhideWhenUsed/>
    <w:rPr>
      <w:vertAlign w:val="superscript"/>
    </w:rPr>
  </w:style>
  <w:style w:type="paragraph" w:styleId="ab">
    <w:name w:val="endnote text"/>
    <w:basedOn w:val="a"/>
    <w:link w:val="ac"/>
    <w:uiPriority w:val="99"/>
    <w:semiHidden/>
    <w:unhideWhenUsed/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sz w:val="28"/>
    </w:rPr>
  </w:style>
  <w:style w:type="character" w:customStyle="1" w:styleId="20">
    <w:name w:val="Заголовок 2 Знак"/>
    <w:basedOn w:val="a0"/>
    <w:link w:val="2"/>
    <w:rPr>
      <w:sz w:val="24"/>
    </w:rPr>
  </w:style>
  <w:style w:type="character" w:customStyle="1" w:styleId="50">
    <w:name w:val="Заголовок 5 Знак"/>
    <w:basedOn w:val="a0"/>
    <w:link w:val="5"/>
    <w:rPr>
      <w:b/>
      <w:bCs/>
      <w:sz w:val="22"/>
    </w:rPr>
  </w:style>
  <w:style w:type="paragraph" w:styleId="af0">
    <w:name w:val="Title"/>
    <w:basedOn w:val="a"/>
    <w:next w:val="a"/>
    <w:link w:val="af1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af1">
    <w:name w:val="Заголовок Знак"/>
    <w:basedOn w:val="a0"/>
    <w:link w:val="af0"/>
    <w:rPr>
      <w:rFonts w:ascii="Cambria" w:eastAsia="Times New Roman" w:hAnsi="Cambria" w:cs="Times New Roman"/>
      <w:b/>
      <w:bCs/>
      <w:sz w:val="32"/>
      <w:szCs w:val="32"/>
    </w:rPr>
  </w:style>
  <w:style w:type="paragraph" w:styleId="af2">
    <w:name w:val="No Spacing"/>
    <w:link w:val="af3"/>
    <w:uiPriority w:val="1"/>
    <w:qFormat/>
    <w:pPr>
      <w:jc w:val="right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pPr>
      <w:widowControl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pPr>
      <w:widowControl w:val="0"/>
    </w:pPr>
    <w:rPr>
      <w:b/>
      <w:bCs/>
    </w:rPr>
  </w:style>
  <w:style w:type="paragraph" w:styleId="af4">
    <w:name w:val="head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</w:style>
  <w:style w:type="paragraph" w:styleId="af6">
    <w:name w:val="foot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</w:style>
  <w:style w:type="paragraph" w:customStyle="1" w:styleId="Style1">
    <w:name w:val="Style1"/>
    <w:basedOn w:val="a"/>
    <w:uiPriority w:val="99"/>
    <w:pPr>
      <w:widowControl w:val="0"/>
      <w:spacing w:line="626" w:lineRule="exact"/>
      <w:jc w:val="center"/>
    </w:pPr>
    <w:rPr>
      <w:sz w:val="24"/>
      <w:szCs w:val="24"/>
    </w:rPr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 w:hint="default"/>
      <w:b/>
      <w:bCs/>
      <w:sz w:val="26"/>
      <w:szCs w:val="26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paragraph" w:styleId="af9">
    <w:name w:val="Body Text"/>
    <w:basedOn w:val="a"/>
    <w:link w:val="afa"/>
    <w:rPr>
      <w:b/>
      <w:bCs/>
      <w:sz w:val="24"/>
      <w:szCs w:val="24"/>
    </w:rPr>
  </w:style>
  <w:style w:type="character" w:customStyle="1" w:styleId="afa">
    <w:name w:val="Основной текст Знак"/>
    <w:basedOn w:val="a0"/>
    <w:link w:val="af9"/>
    <w:rPr>
      <w:b/>
      <w:bCs/>
      <w:sz w:val="24"/>
      <w:szCs w:val="24"/>
    </w:rPr>
  </w:style>
  <w:style w:type="paragraph" w:styleId="afb">
    <w:name w:val="Normal (Web)"/>
    <w:basedOn w:val="a"/>
    <w:rPr>
      <w:sz w:val="24"/>
      <w:szCs w:val="24"/>
    </w:rPr>
  </w:style>
  <w:style w:type="character" w:customStyle="1" w:styleId="af3">
    <w:name w:val="Без интервала Знак"/>
    <w:link w:val="af2"/>
    <w:uiPriority w:val="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Pr>
      <w:rFonts w:ascii="Arial" w:eastAsia="Calibri" w:hAnsi="Arial" w:cs="Arial"/>
      <w:lang w:eastAsia="en-US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hAnsi="Tahoma"/>
      <w:sz w:val="16"/>
      <w:szCs w:val="16"/>
    </w:rPr>
  </w:style>
  <w:style w:type="character" w:styleId="afe">
    <w:name w:val="Hyperlink"/>
    <w:basedOn w:val="a0"/>
    <w:uiPriority w:val="99"/>
    <w:unhideWhenUsed/>
    <w:rPr>
      <w:color w:val="0000FF" w:themeColor="hyperlink"/>
      <w:u w:val="single"/>
    </w:rPr>
  </w:style>
  <w:style w:type="table" w:styleId="af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FR1">
    <w:name w:val="FR1"/>
    <w:uiPriority w:val="99"/>
    <w:pPr>
      <w:widowControl w:val="0"/>
      <w:spacing w:line="300" w:lineRule="auto"/>
    </w:pPr>
    <w:rPr>
      <w:rFonts w:eastAsia="Arial"/>
      <w:b/>
      <w:bCs/>
      <w:sz w:val="28"/>
      <w:szCs w:val="28"/>
      <w:lang w:eastAsia="ar-SA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5">
    <w:name w:val="Неразрешенное упоминание2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3">
    <w:name w:val="Неразрешенное упоминание3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07CD2-891E-4EF2-80E4-0002DF5E0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2514</Words>
  <Characters>14331</Characters>
  <Application>Microsoft Office Word</Application>
  <DocSecurity>0</DocSecurity>
  <Lines>119</Lines>
  <Paragraphs>33</Paragraphs>
  <ScaleCrop>false</ScaleCrop>
  <Company/>
  <LinksUpToDate>false</LinksUpToDate>
  <CharactersWithSpaces>16812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MarkovaES</dc:creator>
  <cp:lastModifiedBy>Толокнова К.В.</cp:lastModifiedBy>
  <cp:revision>30</cp:revision>
  <dcterms:created xsi:type="dcterms:W3CDTF">2026-08-24T05:40:00Z</dcterms:created>
  <dcterms:modified xsi:type="dcterms:W3CDTF">2026-10-16T11:24:00Z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b41b8af0-97e0-403b-9df4-6bfff6f02223</vt:lpwstr>
  </property>
</Properties>
</file>