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2208" w:rsidRDefault="004E6F80" w:rsidP="00DF220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307975</wp:posOffset>
            </wp:positionV>
            <wp:extent cx="636270" cy="80010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208" w:rsidRPr="00DF2208" w:rsidRDefault="00DF2208" w:rsidP="00DF220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DF2208" w:rsidRPr="005D6BD6" w:rsidRDefault="00DF220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DF2208" w:rsidRPr="00C42B6D" w:rsidRDefault="00DF2208" w:rsidP="00DF2208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4BF3" w:rsidRPr="00C42B6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556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64BF3" w:rsidRPr="00C42B6D">
        <w:rPr>
          <w:rFonts w:ascii="Times New Roman" w:hAnsi="Times New Roman" w:cs="Times New Roman"/>
          <w:sz w:val="28"/>
          <w:szCs w:val="28"/>
        </w:rPr>
        <w:t>__</w:t>
      </w:r>
    </w:p>
    <w:p w:rsidR="00DF2208" w:rsidRPr="00DF2208" w:rsidRDefault="00DF2208" w:rsidP="00DF2208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DF2208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DF2208" w:rsidRPr="00DF2208" w:rsidRDefault="00DF2208" w:rsidP="00DF2208">
      <w:pPr>
        <w:rPr>
          <w:rFonts w:ascii="Times New Roman" w:hAnsi="Times New Roman" w:cs="Times New Roman"/>
          <w:sz w:val="28"/>
          <w:szCs w:val="28"/>
        </w:rPr>
      </w:pPr>
    </w:p>
    <w:p w:rsidR="005E291F" w:rsidRPr="00DF2208" w:rsidRDefault="005E291F" w:rsidP="00DF2208">
      <w:pPr>
        <w:pStyle w:val="af1"/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DF22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5E291F" w:rsidRPr="00DF2208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DF2208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 xml:space="preserve">района от 12.11.2018 № 323 </w:t>
      </w:r>
    </w:p>
    <w:p w:rsidR="00DF2208" w:rsidRDefault="005E291F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«</w:t>
      </w:r>
      <w:r w:rsidR="00C95FE5" w:rsidRPr="00DF2208">
        <w:rPr>
          <w:rFonts w:ascii="Times New Roman" w:hAnsi="Times New Roman" w:cs="Times New Roman"/>
          <w:sz w:val="28"/>
          <w:szCs w:val="28"/>
        </w:rPr>
        <w:t>О муниципальной программе Ханты-</w:t>
      </w:r>
    </w:p>
    <w:p w:rsidR="00DF2208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DF2208">
        <w:rPr>
          <w:rFonts w:ascii="Times New Roman" w:hAnsi="Times New Roman" w:cs="Times New Roman"/>
          <w:sz w:val="28"/>
          <w:szCs w:val="28"/>
        </w:rPr>
        <w:t xml:space="preserve"> </w:t>
      </w:r>
      <w:r w:rsidRPr="00DF2208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DF2208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информационного</w:t>
      </w:r>
      <w:r w:rsidR="00DF2208">
        <w:rPr>
          <w:rFonts w:ascii="Times New Roman" w:hAnsi="Times New Roman" w:cs="Times New Roman"/>
          <w:sz w:val="28"/>
          <w:szCs w:val="28"/>
        </w:rPr>
        <w:t xml:space="preserve"> </w:t>
      </w:r>
      <w:r w:rsidRPr="00DF2208">
        <w:rPr>
          <w:rFonts w:ascii="Times New Roman" w:hAnsi="Times New Roman" w:cs="Times New Roman"/>
          <w:sz w:val="28"/>
          <w:szCs w:val="28"/>
        </w:rPr>
        <w:t>общества Ханты-</w:t>
      </w:r>
    </w:p>
    <w:p w:rsidR="00C95FE5" w:rsidRPr="00DF2208" w:rsidRDefault="00C95FE5" w:rsidP="00DF220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Мансийского района на 2019 – 2021 годы</w:t>
      </w:r>
      <w:r w:rsidR="005E291F" w:rsidRPr="00DF2208">
        <w:rPr>
          <w:rFonts w:ascii="Times New Roman" w:hAnsi="Times New Roman" w:cs="Times New Roman"/>
          <w:sz w:val="28"/>
          <w:szCs w:val="28"/>
        </w:rPr>
        <w:t>»</w:t>
      </w:r>
    </w:p>
    <w:p w:rsidR="00A537B8" w:rsidRPr="00DF2208" w:rsidRDefault="00A537B8" w:rsidP="00DF2208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FE5" w:rsidRPr="00DF2208" w:rsidRDefault="00C95FE5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21DD5" w:rsidRPr="00DF2208">
        <w:rPr>
          <w:rFonts w:ascii="Times New Roman" w:hAnsi="Times New Roman" w:cs="Times New Roman"/>
          <w:sz w:val="28"/>
          <w:szCs w:val="28"/>
        </w:rPr>
        <w:t>с</w:t>
      </w:r>
      <w:r w:rsidRPr="00DF220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1DD5" w:rsidRPr="00DF2208">
        <w:rPr>
          <w:rFonts w:ascii="Times New Roman" w:hAnsi="Times New Roman" w:cs="Times New Roman"/>
          <w:sz w:val="28"/>
          <w:szCs w:val="28"/>
        </w:rPr>
        <w:t>ем</w:t>
      </w:r>
      <w:r w:rsidRPr="00DF2208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391593">
        <w:rPr>
          <w:rFonts w:ascii="Times New Roman" w:hAnsi="Times New Roman" w:cs="Times New Roman"/>
          <w:sz w:val="28"/>
          <w:szCs w:val="28"/>
        </w:rPr>
        <w:t>07.09.</w:t>
      </w:r>
      <w:r w:rsidRPr="00DF2208">
        <w:rPr>
          <w:rFonts w:ascii="Times New Roman" w:hAnsi="Times New Roman" w:cs="Times New Roman"/>
          <w:sz w:val="28"/>
          <w:szCs w:val="28"/>
        </w:rPr>
        <w:t>2018 № 246 «</w:t>
      </w:r>
      <w:r w:rsidR="00D30989" w:rsidRPr="00DF2208">
        <w:rPr>
          <w:rFonts w:ascii="Times New Roman" w:hAnsi="Times New Roman" w:cs="Times New Roman"/>
          <w:sz w:val="28"/>
          <w:szCs w:val="28"/>
        </w:rPr>
        <w:t xml:space="preserve">О модельной муниципальной программе Ханты-Мансийского района, порядке принятия решения </w:t>
      </w:r>
      <w:r w:rsidR="00391593">
        <w:rPr>
          <w:rFonts w:ascii="Times New Roman" w:hAnsi="Times New Roman" w:cs="Times New Roman"/>
          <w:sz w:val="28"/>
          <w:szCs w:val="28"/>
        </w:rPr>
        <w:br/>
      </w:r>
      <w:r w:rsidR="00D30989" w:rsidRPr="00DF2208">
        <w:rPr>
          <w:rFonts w:ascii="Times New Roman" w:hAnsi="Times New Roman" w:cs="Times New Roman"/>
          <w:sz w:val="28"/>
          <w:szCs w:val="28"/>
        </w:rPr>
        <w:t xml:space="preserve">о разработке муниципальных программ Ханты-Мансийского района, </w:t>
      </w:r>
      <w:r w:rsidR="00391593">
        <w:rPr>
          <w:rFonts w:ascii="Times New Roman" w:hAnsi="Times New Roman" w:cs="Times New Roman"/>
          <w:sz w:val="28"/>
          <w:szCs w:val="28"/>
        </w:rPr>
        <w:br/>
      </w:r>
      <w:r w:rsidR="00D30989" w:rsidRPr="00DF2208">
        <w:rPr>
          <w:rFonts w:ascii="Times New Roman" w:hAnsi="Times New Roman" w:cs="Times New Roman"/>
          <w:sz w:val="28"/>
          <w:szCs w:val="28"/>
        </w:rPr>
        <w:t>их формирования, утверждения и реализации»</w:t>
      </w:r>
      <w:r w:rsidR="00821DD5" w:rsidRPr="00DF2208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936D2" w:rsidRPr="00DF2208">
        <w:rPr>
          <w:rFonts w:ascii="Times New Roman" w:hAnsi="Times New Roman" w:cs="Times New Roman"/>
          <w:sz w:val="28"/>
          <w:szCs w:val="28"/>
        </w:rPr>
        <w:t>Устава</w:t>
      </w:r>
      <w:r w:rsidR="00821DD5" w:rsidRPr="00DF2208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Pr="00DF2208">
        <w:rPr>
          <w:rFonts w:ascii="Times New Roman" w:hAnsi="Times New Roman" w:cs="Times New Roman"/>
          <w:sz w:val="28"/>
          <w:szCs w:val="28"/>
        </w:rPr>
        <w:t>:</w:t>
      </w:r>
    </w:p>
    <w:p w:rsidR="00D30989" w:rsidRPr="00DF2208" w:rsidRDefault="00D30989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208" w:rsidRDefault="005E291F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Ханты-Мансийского района от 12.11.2018 № 323 О муниципальной программе Ханты-Мансийского района «Развитие информационного общества Ханты-Мансийского района на 2019 – 2021 годы» изменения, изложив приложение к постановлению в новой редакции</w:t>
      </w:r>
      <w:r w:rsidR="00DF2208">
        <w:rPr>
          <w:rFonts w:ascii="Times New Roman" w:hAnsi="Times New Roman" w:cs="Times New Roman"/>
          <w:sz w:val="28"/>
          <w:szCs w:val="28"/>
        </w:rPr>
        <w:t>:</w:t>
      </w:r>
      <w:r w:rsidRPr="00DF2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7B8" w:rsidRPr="001F12BE" w:rsidRDefault="008E04A5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37B8" w:rsidRPr="001F12B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537B8" w:rsidRPr="001F12BE" w:rsidRDefault="00A537B8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37B8" w:rsidRPr="001F12BE" w:rsidRDefault="00A537B8" w:rsidP="00DF2208">
      <w:pPr>
        <w:jc w:val="right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537B8" w:rsidRPr="001F12BE" w:rsidRDefault="00A537B8" w:rsidP="00210962">
      <w:pPr>
        <w:tabs>
          <w:tab w:val="left" w:pos="5812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от</w:t>
      </w:r>
      <w:r w:rsidR="00210962">
        <w:rPr>
          <w:rFonts w:ascii="Times New Roman" w:hAnsi="Times New Roman" w:cs="Times New Roman"/>
          <w:sz w:val="28"/>
          <w:szCs w:val="28"/>
        </w:rPr>
        <w:t xml:space="preserve"> 12.11.2018 </w:t>
      </w:r>
      <w:r w:rsidR="00DF2208">
        <w:rPr>
          <w:rFonts w:ascii="Times New Roman" w:hAnsi="Times New Roman" w:cs="Times New Roman"/>
          <w:sz w:val="28"/>
          <w:szCs w:val="28"/>
        </w:rPr>
        <w:t>№</w:t>
      </w:r>
      <w:r w:rsidR="00210962">
        <w:rPr>
          <w:rFonts w:ascii="Times New Roman" w:hAnsi="Times New Roman" w:cs="Times New Roman"/>
          <w:sz w:val="28"/>
          <w:szCs w:val="28"/>
        </w:rPr>
        <w:t xml:space="preserve"> 323</w:t>
      </w:r>
    </w:p>
    <w:p w:rsidR="00A537B8" w:rsidRPr="001F12BE" w:rsidRDefault="00A537B8" w:rsidP="00DF2208">
      <w:pPr>
        <w:pStyle w:val="af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4738" w:rsidRPr="00FC4738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C4738">
        <w:rPr>
          <w:rFonts w:ascii="Times New Roman" w:hAnsi="Times New Roman" w:cs="Times New Roman"/>
          <w:sz w:val="28"/>
          <w:szCs w:val="28"/>
        </w:rPr>
        <w:t>Паспорт</w:t>
      </w:r>
    </w:p>
    <w:p w:rsidR="00FC4738" w:rsidRPr="00FC4738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C4738"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</w:p>
    <w:p w:rsidR="00A537B8" w:rsidRDefault="00FC4738" w:rsidP="00DF2208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FC4738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FC4738" w:rsidRPr="001F12BE" w:rsidRDefault="00FC4738" w:rsidP="00210962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5" w:type="dxa"/>
        <w:tblInd w:w="-5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268"/>
        <w:gridCol w:w="6917"/>
      </w:tblGrid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</w:p>
          <w:p w:rsidR="00A537B8" w:rsidRPr="001F12BE" w:rsidRDefault="00A537B8" w:rsidP="00DF2208">
            <w:pPr>
              <w:tabs>
                <w:tab w:val="left" w:pos="19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информационного общества Ханты-Мансийского района на 2019 – 2021 годы» </w:t>
            </w:r>
          </w:p>
        </w:tc>
      </w:tr>
      <w:tr w:rsidR="00A537B8" w:rsidRPr="001F12BE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E038FC" w:rsidRDefault="00A537B8" w:rsidP="00FA131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Ханты-Мансийского района </w:t>
            </w:r>
            <w:r w:rsidR="00FC4738" w:rsidRPr="00FC4738">
              <w:rPr>
                <w:rFonts w:ascii="Times New Roman" w:hAnsi="Times New Roman" w:cs="Times New Roman"/>
                <w:sz w:val="28"/>
                <w:szCs w:val="28"/>
              </w:rPr>
              <w:t>от 12.11.2018</w:t>
            </w:r>
            <w:r w:rsidR="00E038FC" w:rsidRPr="00E03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ED6" w:rsidRPr="00FC4738">
              <w:rPr>
                <w:rFonts w:ascii="Times New Roman" w:hAnsi="Times New Roman" w:cs="Times New Roman"/>
                <w:sz w:val="28"/>
                <w:szCs w:val="28"/>
              </w:rPr>
              <w:t xml:space="preserve">№ 323 </w:t>
            </w:r>
            <w:r w:rsidR="00E038FC" w:rsidRPr="00E038FC">
              <w:rPr>
                <w:rFonts w:ascii="Times New Roman" w:hAnsi="Times New Roman" w:cs="Times New Roman"/>
                <w:sz w:val="28"/>
                <w:szCs w:val="28"/>
              </w:rPr>
              <w:t>«О муниципальной программе Ханты-Мансийского района «Развитие информационного общества Ханты-Мансийского района на 2019 – 2021 годы»</w:t>
            </w:r>
          </w:p>
        </w:tc>
      </w:tr>
      <w:tr w:rsidR="00A537B8" w:rsidRPr="001F12BE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C65DEF" w:rsidP="00FA131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 (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управление по информационным технологиям администрации Ханты-Мансийского района</w:t>
            </w:r>
            <w:r w:rsidR="00E56314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УИТ </w:t>
            </w:r>
            <w:proofErr w:type="spellStart"/>
            <w:r w:rsidR="00E56314" w:rsidRPr="001F12BE">
              <w:rPr>
                <w:rFonts w:ascii="Times New Roman" w:hAnsi="Times New Roman" w:cs="Times New Roman"/>
                <w:sz w:val="28"/>
                <w:szCs w:val="28"/>
              </w:rPr>
              <w:t>ХМр</w:t>
            </w:r>
            <w:proofErr w:type="spellEnd"/>
            <w:r w:rsidR="00E56314" w:rsidRPr="001F12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37B8" w:rsidRPr="001F12BE" w:rsidTr="00210962">
        <w:trPr>
          <w:trHeight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ED" w:rsidRPr="001F12BE" w:rsidRDefault="00A537B8" w:rsidP="00FA1315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 (муниципальное автономное учреждение Ханты-Мансийского района «Редакц</w:t>
            </w:r>
            <w:r w:rsidR="00315ED6">
              <w:rPr>
                <w:rFonts w:ascii="Times New Roman" w:hAnsi="Times New Roman" w:cs="Times New Roman"/>
                <w:sz w:val="28"/>
                <w:szCs w:val="28"/>
              </w:rPr>
              <w:t xml:space="preserve">ия газеты «Наш район» (далее – </w:t>
            </w: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МАУ ХМР «Редакция газеты «Наш район»)</w:t>
            </w:r>
            <w:r w:rsidR="00380AED" w:rsidRPr="001F12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0AED" w:rsidRPr="001F12BE" w:rsidRDefault="00380AED" w:rsidP="00FA131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</w:t>
            </w:r>
            <w:r w:rsidR="00631F97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FC473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FA1315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информационного пространства на основе использования информационных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 </w:t>
            </w:r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0"/>
            <w:bookmarkStart w:id="1" w:name="OLE_LINK9"/>
            <w:bookmarkStart w:id="2" w:name="OLE_LINK8"/>
            <w:bookmarkStart w:id="3" w:name="OLE_LINK7"/>
            <w:bookmarkStart w:id="4" w:name="_Hlk528257110"/>
            <w:bookmarkStart w:id="5" w:name="OLE_LINK6"/>
            <w:bookmarkStart w:id="6" w:name="OLE_LINK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Задачи муниц</w:t>
            </w:r>
            <w:r w:rsidR="00FA1315">
              <w:rPr>
                <w:rFonts w:ascii="Times New Roman" w:hAnsi="Times New Roman" w:cs="Times New Roman"/>
                <w:sz w:val="28"/>
                <w:szCs w:val="28"/>
              </w:rPr>
              <w:t>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_DdeLink__5109_95484544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общества и электронного правительства Ханты-Мансийского района</w:t>
            </w:r>
          </w:p>
          <w:p w:rsidR="00A537B8" w:rsidRPr="001F12BE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государственных и муниципальных услуг</w:t>
            </w:r>
          </w:p>
          <w:p w:rsidR="00A537B8" w:rsidRPr="001F12BE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систем управления и мониторинга информационной безопасности органов админис</w:t>
            </w:r>
            <w:r w:rsidR="00FA1315">
              <w:rPr>
                <w:rFonts w:ascii="Times New Roman" w:hAnsi="Times New Roman" w:cs="Times New Roman"/>
                <w:sz w:val="28"/>
                <w:szCs w:val="28"/>
              </w:rPr>
              <w:t>трации Ханты-Мансийского района</w:t>
            </w:r>
          </w:p>
          <w:p w:rsidR="00A537B8" w:rsidRPr="001F12BE" w:rsidRDefault="00315ED6" w:rsidP="00FA1315">
            <w:pPr>
              <w:pStyle w:val="af1"/>
              <w:tabs>
                <w:tab w:val="left" w:pos="4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средств массовой информации Ханты-Мансийского района</w:t>
            </w:r>
            <w:bookmarkEnd w:id="7"/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FC473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FA1315" w:rsidP="00315ED6">
            <w:pPr>
              <w:pStyle w:val="af1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FC4738" w:rsidRDefault="00FC4738" w:rsidP="00FA131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C4738">
              <w:rPr>
                <w:rFonts w:ascii="Times New Roman" w:hAnsi="Times New Roman" w:cs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A537B8" w:rsidRPr="001F12BE" w:rsidRDefault="00FC4738" w:rsidP="00FA131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C47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в том числе направленные на реализацию в Ханты-Мансийском районе </w:t>
            </w:r>
            <w:r w:rsidRPr="00FC4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Default="00FA1315" w:rsidP="00315ED6">
            <w:pPr>
              <w:pStyle w:val="af1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>ортфел</w:t>
            </w:r>
            <w:r w:rsidR="009A602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24A5"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Цифровая экономика Югры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131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25CA3" w:rsidRPr="00525CA3" w:rsidRDefault="00FA1315" w:rsidP="00315ED6">
            <w:pPr>
              <w:pStyle w:val="af1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9A6024">
              <w:rPr>
                <w:rFonts w:ascii="Times New Roman" w:hAnsi="Times New Roman" w:cs="Times New Roman"/>
                <w:bCs/>
                <w:sz w:val="28"/>
                <w:szCs w:val="28"/>
              </w:rPr>
              <w:t>инансовое о</w:t>
            </w:r>
            <w:r w:rsidR="00525CA3" w:rsidRPr="00525CA3">
              <w:rPr>
                <w:rFonts w:ascii="Times New Roman" w:hAnsi="Times New Roman" w:cs="Times New Roman"/>
                <w:bCs/>
                <w:sz w:val="28"/>
                <w:szCs w:val="28"/>
              </w:rPr>
              <w:t>беспечение отсутствует</w:t>
            </w:r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A537B8" w:rsidRPr="001F12BE" w:rsidRDefault="00A537B8" w:rsidP="00DF220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рабочих мест, обеспеченных программным продуктом для участия в электронном документообороте, с 300 до 350 единиц</w:t>
            </w:r>
          </w:p>
          <w:p w:rsidR="00A537B8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="000C68C0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ежегодной 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не ниже 70%</w:t>
            </w:r>
          </w:p>
          <w:p w:rsidR="00A537B8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Обеспечение защиты аттестованных муниципальных информационных систем персональных данных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требованиям защиты информации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6 </w:t>
            </w:r>
            <w:r w:rsidR="009A6024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  <w:p w:rsidR="00A537B8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среднего срока недоступности </w:t>
            </w:r>
            <w:proofErr w:type="spellStart"/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в результате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пьютерных атак с 24 до 12 часов</w:t>
            </w:r>
          </w:p>
          <w:p w:rsidR="00A537B8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тиража выпуска информационных полос газеты «Наш район» в рамках утвержденного муниципального задания </w:t>
            </w:r>
            <w:r w:rsidR="00C65DEF" w:rsidRPr="001F12BE">
              <w:rPr>
                <w:rFonts w:ascii="Times New Roman" w:hAnsi="Times New Roman" w:cs="Times New Roman"/>
                <w:sz w:val="28"/>
                <w:szCs w:val="28"/>
              </w:rPr>
              <w:t>с 2634 до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2900 полос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37B8" w:rsidRPr="001F12BE">
              <w:rPr>
                <w:rFonts w:ascii="Times New Roman" w:hAnsi="Times New Roman" w:cs="Times New Roman"/>
                <w:sz w:val="28"/>
                <w:szCs w:val="28"/>
              </w:rPr>
              <w:br/>
              <w:t>на уровне 100%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Увеличение доли государственных и муниципальных услуг, функций и сервисов, предоставленных в цифровом виде, без необходимости личного посещения государственных органов и иных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0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694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Увеличение доли государственных 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услуг, функций и сервисов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обеспечен переход к цифровому безбумажному взаимодействию с государственными</w:t>
            </w:r>
            <w:r w:rsidR="0051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(муниципальными) органами и организациями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0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с 10</w:t>
            </w:r>
            <w:r w:rsidR="00694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до 30%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Увеличение доли типизированных государственных и муниципальных услуг, функций и сервисов, предоставленных в цифровом виде</w:t>
            </w:r>
            <w:r w:rsidR="00512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с 10 до 30%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населенных пунктов, обеспеченных возможностью широкополосного доступа к сети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«Интернет» (не менее 10 Мбит/с)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домохозяйств с 27 до 44%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Уменьшение стоимостной доли закупаемого и (или) арендуемого федеральными органами исполнительной власти, органами исполнительной власти субъектов, компаниями с государственным участием иностранного программного обеспечения с 50 до 25%</w:t>
            </w:r>
          </w:p>
          <w:p w:rsidR="00630919" w:rsidRPr="001F12BE" w:rsidRDefault="00515E4A" w:rsidP="00515E4A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>Доля информационных систем исполнительных органов государственной власти автономного округа,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подключенных к аттестованному Региональному центру обработки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0919"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не ниже 10%</w:t>
            </w:r>
          </w:p>
        </w:tc>
      </w:tr>
      <w:tr w:rsidR="00A537B8" w:rsidRPr="001F12BE" w:rsidTr="002109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496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2019 – 2021 годы</w:t>
            </w:r>
          </w:p>
        </w:tc>
      </w:tr>
      <w:tr w:rsidR="00A537B8" w:rsidRPr="001F12BE" w:rsidTr="00210962">
        <w:trPr>
          <w:trHeight w:val="15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738" w:rsidRPr="0061474D" w:rsidRDefault="00FC473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D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</w:t>
            </w:r>
          </w:p>
          <w:p w:rsidR="00A537B8" w:rsidRPr="001F12BE" w:rsidRDefault="00FC473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7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42B6D" w:rsidRPr="00C42B6D">
              <w:rPr>
                <w:rFonts w:ascii="Times New Roman" w:hAnsi="Times New Roman" w:cs="Times New Roman"/>
                <w:sz w:val="28"/>
                <w:szCs w:val="28"/>
              </w:rPr>
              <w:t xml:space="preserve">37121,4 </w:t>
            </w: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="00290A4A" w:rsidRPr="00290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A537B8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16"/>
            <w:bookmarkStart w:id="9" w:name="OLE_LINK15"/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C42B6D" w:rsidRPr="00C42B6D">
              <w:rPr>
                <w:rFonts w:ascii="Times New Roman" w:hAnsi="Times New Roman" w:cs="Times New Roman"/>
                <w:sz w:val="28"/>
                <w:szCs w:val="28"/>
              </w:rPr>
              <w:t>17048,6</w:t>
            </w: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537B8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2020 год – 10036,4 тыс. рублей;</w:t>
            </w:r>
          </w:p>
          <w:p w:rsidR="00A67D4A" w:rsidRPr="001F12BE" w:rsidRDefault="00A537B8" w:rsidP="00DF22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</w:rPr>
              <w:t>2021 год – 10036,4 тыс. рублей</w:t>
            </w:r>
            <w:bookmarkEnd w:id="8"/>
            <w:bookmarkEnd w:id="9"/>
          </w:p>
        </w:tc>
      </w:tr>
    </w:tbl>
    <w:p w:rsidR="00A537B8" w:rsidRPr="001F12BE" w:rsidRDefault="00A537B8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Default="006940A0" w:rsidP="004A25F8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B574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738" w:rsidRPr="0046395E">
        <w:rPr>
          <w:rFonts w:ascii="Times New Roman" w:hAnsi="Times New Roman" w:cs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негосу</w:t>
      </w:r>
      <w:r>
        <w:rPr>
          <w:rFonts w:ascii="Times New Roman" w:hAnsi="Times New Roman" w:cs="Times New Roman"/>
          <w:sz w:val="28"/>
          <w:szCs w:val="28"/>
        </w:rPr>
        <w:t>дарственного сектора экономики</w:t>
      </w:r>
    </w:p>
    <w:p w:rsidR="006940A0" w:rsidRPr="001F12BE" w:rsidRDefault="006940A0" w:rsidP="006940A0">
      <w:pPr>
        <w:autoSpaceDN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CA3" w:rsidRPr="00525CA3" w:rsidRDefault="00525CA3" w:rsidP="00DF2208">
      <w:pPr>
        <w:numPr>
          <w:ilvl w:val="1"/>
          <w:numId w:val="10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A3">
        <w:rPr>
          <w:rFonts w:ascii="Times New Roman" w:hAnsi="Times New Roman" w:cs="Times New Roman"/>
          <w:sz w:val="28"/>
          <w:szCs w:val="28"/>
        </w:rPr>
        <w:t>Исполнение программных мероприятий осуществляется на основе муниципальных контрактов на приобретение товаров, работ, услуг для обеспечения муниципальных нужд, заключаемых в установленном законодательством Российской Федерации порядке.</w:t>
      </w:r>
    </w:p>
    <w:p w:rsidR="00F24F00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CA3">
        <w:rPr>
          <w:rFonts w:ascii="Times New Roman" w:hAnsi="Times New Roman" w:cs="Times New Roman"/>
          <w:sz w:val="28"/>
          <w:szCs w:val="28"/>
        </w:rPr>
        <w:t>В целях реализации политики в области развития малого предпринимательства предусматриваются, в частности, такие меры, как установление особенностей участия субъектов малого предпринимательства и социально ориентированных некоммерческих организаций в качестве поставщиков (исполнителей, подрядчиков) в осуществлении закупок товаров, работ, услуг для муниципальных нужд.</w:t>
      </w:r>
    </w:p>
    <w:p w:rsidR="00525CA3" w:rsidRPr="00F24F00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87">
        <w:rPr>
          <w:rFonts w:ascii="Times New Roman" w:hAnsi="Times New Roman" w:cs="Times New Roman"/>
          <w:sz w:val="28"/>
          <w:szCs w:val="28"/>
        </w:rPr>
        <w:t>1.</w:t>
      </w:r>
      <w:r w:rsidR="00290A4A" w:rsidRPr="00290A4A">
        <w:rPr>
          <w:rFonts w:ascii="Times New Roman" w:hAnsi="Times New Roman" w:cs="Times New Roman"/>
          <w:sz w:val="28"/>
          <w:szCs w:val="28"/>
        </w:rPr>
        <w:t>2</w:t>
      </w:r>
      <w:r w:rsidRPr="00810487">
        <w:rPr>
          <w:rFonts w:ascii="Times New Roman" w:hAnsi="Times New Roman" w:cs="Times New Roman"/>
          <w:sz w:val="28"/>
          <w:szCs w:val="28"/>
        </w:rPr>
        <w:t xml:space="preserve">. </w:t>
      </w:r>
      <w:r w:rsidRPr="00F24F00">
        <w:rPr>
          <w:rFonts w:ascii="Times New Roman" w:hAnsi="Times New Roman" w:cs="Times New Roman"/>
          <w:sz w:val="28"/>
          <w:szCs w:val="28"/>
        </w:rPr>
        <w:t>В целях снижения административных барьеров, а также для развития</w:t>
      </w:r>
      <w:r>
        <w:t xml:space="preserve"> </w:t>
      </w:r>
      <w:r w:rsidRPr="00F24F00">
        <w:rPr>
          <w:rFonts w:ascii="Times New Roman" w:hAnsi="Times New Roman" w:cs="Times New Roman"/>
          <w:sz w:val="28"/>
          <w:szCs w:val="28"/>
        </w:rPr>
        <w:t xml:space="preserve">системы электронного взаимодействия между населением, организациями и органами </w:t>
      </w:r>
      <w:r w:rsidR="00F24F00" w:rsidRPr="00F24F00">
        <w:rPr>
          <w:rFonts w:ascii="Times New Roman" w:hAnsi="Times New Roman" w:cs="Times New Roman"/>
          <w:sz w:val="28"/>
          <w:szCs w:val="28"/>
        </w:rPr>
        <w:t>местного самоуправления Ханты-Мансийского района</w:t>
      </w:r>
      <w:r w:rsidRPr="00F24F00">
        <w:rPr>
          <w:rFonts w:ascii="Times New Roman" w:hAnsi="Times New Roman" w:cs="Times New Roman"/>
          <w:sz w:val="28"/>
          <w:szCs w:val="28"/>
        </w:rPr>
        <w:t>:</w:t>
      </w:r>
    </w:p>
    <w:p w:rsidR="00525CA3" w:rsidRPr="00D06610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10">
        <w:rPr>
          <w:rFonts w:ascii="Times New Roman" w:hAnsi="Times New Roman" w:cs="Times New Roman"/>
          <w:sz w:val="28"/>
          <w:szCs w:val="28"/>
        </w:rPr>
        <w:t xml:space="preserve">функционирует инфраструктура электронного </w:t>
      </w:r>
      <w:r w:rsidR="00D06610">
        <w:rPr>
          <w:rFonts w:ascii="Times New Roman" w:hAnsi="Times New Roman" w:cs="Times New Roman"/>
          <w:sz w:val="28"/>
          <w:szCs w:val="28"/>
        </w:rPr>
        <w:t>муниципалитета</w:t>
      </w:r>
      <w:r w:rsidRPr="00D06610">
        <w:rPr>
          <w:rFonts w:ascii="Times New Roman" w:hAnsi="Times New Roman" w:cs="Times New Roman"/>
          <w:sz w:val="28"/>
          <w:szCs w:val="28"/>
        </w:rPr>
        <w:t xml:space="preserve">; обеспечена возможность направления в электронной форме обращений в органы </w:t>
      </w:r>
      <w:r w:rsidR="00F24F00" w:rsidRPr="00D06610">
        <w:rPr>
          <w:rFonts w:ascii="Times New Roman" w:hAnsi="Times New Roman" w:cs="Times New Roman"/>
          <w:sz w:val="28"/>
          <w:szCs w:val="28"/>
        </w:rPr>
        <w:t>администрации</w:t>
      </w:r>
      <w:r w:rsidRPr="00D06610">
        <w:rPr>
          <w:rFonts w:ascii="Times New Roman" w:hAnsi="Times New Roman" w:cs="Times New Roman"/>
          <w:sz w:val="28"/>
          <w:szCs w:val="28"/>
        </w:rPr>
        <w:t>, организованы и функционируют сервисы «обратной связи», а также переводятся в электронный вид муниципальные услуги;</w:t>
      </w:r>
    </w:p>
    <w:p w:rsidR="00525CA3" w:rsidRPr="00D06610" w:rsidRDefault="00525CA3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10">
        <w:rPr>
          <w:rFonts w:ascii="Times New Roman" w:hAnsi="Times New Roman" w:cs="Times New Roman"/>
          <w:sz w:val="28"/>
          <w:szCs w:val="28"/>
        </w:rPr>
        <w:t xml:space="preserve">информация о бюджетном планировании размещается в открытых источниках, в том числе на официальном </w:t>
      </w:r>
      <w:r w:rsidR="00F24F00" w:rsidRPr="00D06610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4A25F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25CA3" w:rsidRPr="00F24F00" w:rsidRDefault="00F24F00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610">
        <w:rPr>
          <w:rFonts w:ascii="Times New Roman" w:hAnsi="Times New Roman" w:cs="Times New Roman"/>
          <w:sz w:val="28"/>
          <w:szCs w:val="28"/>
        </w:rPr>
        <w:t>3</w:t>
      </w:r>
      <w:r w:rsidR="00525CA3" w:rsidRPr="00F24F00">
        <w:rPr>
          <w:rFonts w:ascii="Times New Roman" w:hAnsi="Times New Roman" w:cs="Times New Roman"/>
          <w:sz w:val="28"/>
          <w:szCs w:val="28"/>
        </w:rPr>
        <w:t>. Повышение производительности труда осуществляется посредством:</w:t>
      </w:r>
    </w:p>
    <w:p w:rsidR="00525CA3" w:rsidRDefault="00525CA3" w:rsidP="00DF2208">
      <w:pPr>
        <w:pStyle w:val="25"/>
        <w:shd w:val="clear" w:color="auto" w:fill="auto"/>
        <w:spacing w:before="0" w:line="240" w:lineRule="auto"/>
        <w:ind w:firstLine="740"/>
      </w:pPr>
      <w:r>
        <w:t>внедрения цифровых технологий и автоматизированных информационных систем, что существенно повышает эффективность управленческих процессов, минимизирует временные затраты при работе с документацией;</w:t>
      </w:r>
    </w:p>
    <w:p w:rsidR="00525CA3" w:rsidRDefault="00525CA3" w:rsidP="00DF2208">
      <w:pPr>
        <w:pStyle w:val="25"/>
        <w:shd w:val="clear" w:color="auto" w:fill="auto"/>
        <w:spacing w:before="0" w:line="240" w:lineRule="auto"/>
        <w:ind w:firstLine="740"/>
      </w:pPr>
      <w:r>
        <w:t xml:space="preserve">повышения квалификации сотрудников и применения технологий бережливого производства в </w:t>
      </w:r>
      <w:r w:rsidR="00F24F00">
        <w:t>администрации Ханты-Мансийского района</w:t>
      </w:r>
      <w:r>
        <w:t xml:space="preserve"> и подведомственных е</w:t>
      </w:r>
      <w:r w:rsidR="004A25F8">
        <w:t>й</w:t>
      </w:r>
      <w:r>
        <w:t xml:space="preserve"> учреждениях;</w:t>
      </w:r>
    </w:p>
    <w:p w:rsidR="00525CA3" w:rsidRDefault="00525CA3" w:rsidP="00DF2208">
      <w:pPr>
        <w:pStyle w:val="25"/>
        <w:shd w:val="clear" w:color="auto" w:fill="auto"/>
        <w:spacing w:before="0" w:line="240" w:lineRule="auto"/>
        <w:ind w:firstLine="740"/>
      </w:pPr>
      <w:r>
        <w:t xml:space="preserve">перевода услуг в электронный вид, развития системы предоставления </w:t>
      </w:r>
      <w:r w:rsidR="00F24F00">
        <w:t>муниципальных</w:t>
      </w:r>
      <w:r>
        <w:t xml:space="preserve"> услуг в цифровом виде;</w:t>
      </w:r>
    </w:p>
    <w:p w:rsidR="00525CA3" w:rsidRDefault="00525CA3" w:rsidP="00DF2208">
      <w:pPr>
        <w:pStyle w:val="25"/>
        <w:shd w:val="clear" w:color="auto" w:fill="auto"/>
        <w:spacing w:before="0" w:line="240" w:lineRule="auto"/>
        <w:ind w:firstLine="740"/>
      </w:pPr>
      <w:r>
        <w:t>оптимизаци</w:t>
      </w:r>
      <w:r w:rsidR="00F24F00">
        <w:t>и</w:t>
      </w:r>
      <w:r>
        <w:t xml:space="preserve"> расходов бюджета </w:t>
      </w:r>
      <w:r w:rsidR="00F24F00">
        <w:t>Ханты-Мансийского района</w:t>
      </w:r>
      <w:r>
        <w:t>, принятия эффективных управленческих решений, реализации единых подходов и требований к мероприятиям по защите информации.</w:t>
      </w:r>
    </w:p>
    <w:p w:rsidR="00A537B8" w:rsidRPr="00F261D7" w:rsidRDefault="00A537B8" w:rsidP="00DF2208">
      <w:pPr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61D7" w:rsidRPr="00810487" w:rsidRDefault="00170D7B" w:rsidP="00DF2208">
      <w:pPr>
        <w:pStyle w:val="ConsPlusNormal"/>
        <w:ind w:firstLine="709"/>
        <w:jc w:val="center"/>
        <w:rPr>
          <w:sz w:val="28"/>
          <w:szCs w:val="28"/>
        </w:rPr>
      </w:pPr>
      <w:hyperlink w:anchor="P260" w:history="1">
        <w:r w:rsidR="00F261D7" w:rsidRPr="00810487">
          <w:rPr>
            <w:sz w:val="28"/>
            <w:szCs w:val="28"/>
          </w:rPr>
          <w:t xml:space="preserve">Раздел </w:t>
        </w:r>
      </w:hyperlink>
      <w:r w:rsidR="004A25F8">
        <w:rPr>
          <w:sz w:val="28"/>
          <w:szCs w:val="28"/>
        </w:rPr>
        <w:t>2</w:t>
      </w:r>
      <w:r w:rsidR="00B574C7">
        <w:rPr>
          <w:sz w:val="28"/>
          <w:szCs w:val="28"/>
        </w:rPr>
        <w:t>.</w:t>
      </w:r>
      <w:r w:rsidR="004A25F8">
        <w:rPr>
          <w:sz w:val="28"/>
          <w:szCs w:val="28"/>
        </w:rPr>
        <w:t xml:space="preserve"> </w:t>
      </w:r>
      <w:r w:rsidR="00F261D7" w:rsidRPr="00810487">
        <w:rPr>
          <w:sz w:val="28"/>
          <w:szCs w:val="28"/>
        </w:rPr>
        <w:t>Механизм реа</w:t>
      </w:r>
      <w:r w:rsidR="004A25F8">
        <w:rPr>
          <w:sz w:val="28"/>
          <w:szCs w:val="28"/>
        </w:rPr>
        <w:t>лизации муниципальной программы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ab/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– администрация Ханты-Мансийского района (</w:t>
      </w:r>
      <w:r w:rsidR="00E56314" w:rsidRPr="001F12BE">
        <w:rPr>
          <w:rFonts w:ascii="Times New Roman" w:hAnsi="Times New Roman" w:cs="Times New Roman"/>
          <w:sz w:val="28"/>
          <w:szCs w:val="28"/>
        </w:rPr>
        <w:t xml:space="preserve">УИТ </w:t>
      </w:r>
      <w:proofErr w:type="spellStart"/>
      <w:r w:rsidR="00E56314" w:rsidRPr="001F12BE">
        <w:rPr>
          <w:rFonts w:ascii="Times New Roman" w:hAnsi="Times New Roman" w:cs="Times New Roman"/>
          <w:sz w:val="28"/>
          <w:szCs w:val="28"/>
        </w:rPr>
        <w:t>ХМр</w:t>
      </w:r>
      <w:proofErr w:type="spellEnd"/>
      <w:r w:rsidRPr="001F12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Реализация Программы представляет собой скоординированные по</w:t>
      </w:r>
      <w:r w:rsidR="00D06610">
        <w:rPr>
          <w:rFonts w:ascii="Times New Roman" w:hAnsi="Times New Roman" w:cs="Times New Roman"/>
          <w:sz w:val="28"/>
          <w:szCs w:val="28"/>
        </w:rPr>
        <w:t xml:space="preserve"> </w:t>
      </w:r>
      <w:r w:rsidRPr="001F12BE">
        <w:rPr>
          <w:rFonts w:ascii="Times New Roman" w:hAnsi="Times New Roman" w:cs="Times New Roman"/>
          <w:sz w:val="28"/>
          <w:szCs w:val="28"/>
        </w:rPr>
        <w:t>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направленных на реализацию конкретных мероприятий, в соответствии с законодательством Российской Федерации.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направлен</w:t>
      </w:r>
      <w:r w:rsidRPr="001F12BE">
        <w:rPr>
          <w:rFonts w:ascii="Times New Roman" w:hAnsi="Times New Roman" w:cs="Times New Roman"/>
          <w:sz w:val="28"/>
          <w:szCs w:val="28"/>
        </w:rPr>
        <w:br/>
        <w:t>на эффективное планирование хода исполнения мероприятия с учетом инструментов и принципов бережливого производства</w:t>
      </w:r>
      <w:r w:rsidR="00744012">
        <w:rPr>
          <w:rFonts w:ascii="Times New Roman" w:hAnsi="Times New Roman" w:cs="Times New Roman"/>
          <w:sz w:val="28"/>
          <w:szCs w:val="28"/>
        </w:rPr>
        <w:t>,</w:t>
      </w:r>
      <w:r w:rsidRPr="001F12BE">
        <w:rPr>
          <w:rFonts w:ascii="Times New Roman" w:hAnsi="Times New Roman" w:cs="Times New Roman"/>
          <w:sz w:val="28"/>
          <w:szCs w:val="28"/>
        </w:rPr>
        <w:t xml:space="preserve"> обеспечение контроля исполнения программного мероприятия и включает: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ходе реализации Программы ежеквартально, ежегодно в комитет экономической политики администрации Ханты-Мансийского района в порядке, утвержденном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</w:t>
      </w:r>
      <w:r w:rsidR="00F45327">
        <w:rPr>
          <w:rFonts w:ascii="Times New Roman" w:hAnsi="Times New Roman" w:cs="Times New Roman"/>
          <w:sz w:val="28"/>
          <w:szCs w:val="28"/>
        </w:rPr>
        <w:br/>
      </w:r>
      <w:r w:rsidRPr="001F12BE">
        <w:rPr>
          <w:rFonts w:ascii="Times New Roman" w:hAnsi="Times New Roman" w:cs="Times New Roman"/>
          <w:sz w:val="28"/>
          <w:szCs w:val="28"/>
        </w:rPr>
        <w:t>и реализации».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В целях применения технологий бережливого производства реализуются мероприятия по переходу на единую систему электронного документооборота, что приведет к снижению затрат на приобретение бумаги и расходных материалов к периферийному оборудованию, сокращению использования электроэнергии периферийным оборудованием, что согласуется с принципами «бережливого производства».</w:t>
      </w:r>
    </w:p>
    <w:p w:rsidR="00A537B8" w:rsidRPr="001F12BE" w:rsidRDefault="00A537B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 xml:space="preserve">Механизм взаимодействия ответственного исполнителя </w:t>
      </w:r>
      <w:r w:rsidRPr="001F12BE">
        <w:rPr>
          <w:rFonts w:ascii="Times New Roman" w:hAnsi="Times New Roman" w:cs="Times New Roman"/>
          <w:sz w:val="28"/>
          <w:szCs w:val="28"/>
        </w:rPr>
        <w:br/>
        <w:t>и соисполнителей Программы осуществляется в соотв</w:t>
      </w:r>
      <w:r w:rsidR="00744012">
        <w:rPr>
          <w:rFonts w:ascii="Times New Roman" w:hAnsi="Times New Roman" w:cs="Times New Roman"/>
          <w:sz w:val="28"/>
          <w:szCs w:val="28"/>
        </w:rPr>
        <w:t>етствии требованиями раздела 8 П</w:t>
      </w:r>
      <w:r w:rsidRPr="001F12BE">
        <w:rPr>
          <w:rFonts w:ascii="Times New Roman" w:hAnsi="Times New Roman" w:cs="Times New Roman"/>
          <w:sz w:val="28"/>
          <w:szCs w:val="28"/>
        </w:rPr>
        <w:t xml:space="preserve">орядка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07.09.2018 № 246 </w:t>
      </w:r>
      <w:r w:rsidR="00F45327">
        <w:rPr>
          <w:rFonts w:ascii="Times New Roman" w:hAnsi="Times New Roman" w:cs="Times New Roman"/>
          <w:sz w:val="28"/>
          <w:szCs w:val="28"/>
        </w:rPr>
        <w:br/>
      </w:r>
      <w:r w:rsidRPr="001F12BE">
        <w:rPr>
          <w:rFonts w:ascii="Times New Roman" w:hAnsi="Times New Roman" w:cs="Times New Roman"/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A537B8" w:rsidRPr="001F12BE" w:rsidRDefault="00A537B8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Pr="001F12BE" w:rsidRDefault="00A537B8" w:rsidP="00DF2208">
      <w:pPr>
        <w:rPr>
          <w:rFonts w:ascii="Times New Roman" w:hAnsi="Times New Roman" w:cs="Times New Roman"/>
          <w:sz w:val="28"/>
          <w:szCs w:val="28"/>
        </w:rPr>
        <w:sectPr w:rsidR="00A537B8" w:rsidRPr="001F12BE" w:rsidSect="00DF2208">
          <w:headerReference w:type="default" r:id="rId9"/>
          <w:type w:val="continuous"/>
          <w:pgSz w:w="11906" w:h="16838"/>
          <w:pgMar w:top="1418" w:right="1276" w:bottom="1134" w:left="1559" w:header="709" w:footer="720" w:gutter="0"/>
          <w:cols w:space="720"/>
          <w:docGrid w:linePitch="360"/>
        </w:sectPr>
      </w:pPr>
    </w:p>
    <w:p w:rsidR="00A537B8" w:rsidRPr="001F12BE" w:rsidRDefault="00C65DEF" w:rsidP="00DF2208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Таблица</w:t>
      </w:r>
      <w:r w:rsidR="00A537B8" w:rsidRPr="001F12B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537B8" w:rsidRPr="001F12BE" w:rsidRDefault="00A537B8" w:rsidP="00DF22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A537B8" w:rsidRPr="001F12BE" w:rsidRDefault="00A537B8" w:rsidP="00DF22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417"/>
        <w:gridCol w:w="709"/>
        <w:gridCol w:w="709"/>
        <w:gridCol w:w="709"/>
        <w:gridCol w:w="1984"/>
        <w:gridCol w:w="4961"/>
      </w:tblGrid>
      <w:tr w:rsidR="00F261D7" w:rsidRPr="001F12BE" w:rsidTr="00F93DAB">
        <w:trPr>
          <w:trHeight w:val="11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C7F45">
              <w:rPr>
                <w:rFonts w:ascii="Times New Roman" w:hAnsi="Times New Roman" w:cs="Times New Roman"/>
              </w:rPr>
              <w:t>пока</w:t>
            </w:r>
            <w:r w:rsidR="005C7F45">
              <w:rPr>
                <w:rFonts w:ascii="Times New Roman" w:hAnsi="Times New Roman" w:cs="Times New Roman"/>
              </w:rPr>
              <w:t>-</w:t>
            </w:r>
            <w:proofErr w:type="spellStart"/>
            <w:r w:rsidRPr="005C7F45">
              <w:rPr>
                <w:rFonts w:ascii="Times New Roman" w:hAnsi="Times New Roman" w:cs="Times New Roman"/>
              </w:rPr>
              <w:t>зателя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5C7F45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5C7F45">
              <w:rPr>
                <w:rFonts w:ascii="Times New Roman" w:hAnsi="Times New Roman" w:cs="Times New Roman"/>
              </w:rPr>
              <w:t>муници</w:t>
            </w:r>
            <w:r w:rsidR="00F93DAB">
              <w:rPr>
                <w:rFonts w:ascii="Times New Roman" w:hAnsi="Times New Roman" w:cs="Times New Roman"/>
              </w:rPr>
              <w:t>-</w:t>
            </w:r>
            <w:r w:rsidRPr="005C7F45">
              <w:rPr>
                <w:rFonts w:ascii="Times New Roman" w:hAnsi="Times New Roman" w:cs="Times New Roman"/>
              </w:rPr>
              <w:t>пальной</w:t>
            </w:r>
            <w:proofErr w:type="spellEnd"/>
            <w:proofErr w:type="gramEnd"/>
            <w:r w:rsidRPr="005C7F45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Значение показателя</w:t>
            </w:r>
          </w:p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Расчет показателя</w:t>
            </w:r>
          </w:p>
        </w:tc>
      </w:tr>
      <w:tr w:rsidR="00F93DAB" w:rsidRPr="001F12BE" w:rsidTr="00F93DAB">
        <w:trPr>
          <w:trHeight w:val="7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201</w:t>
            </w:r>
            <w:r w:rsidRPr="005C7F45">
              <w:rPr>
                <w:rFonts w:ascii="Times New Roman" w:hAnsi="Times New Roman" w:cs="Times New Roman"/>
                <w:lang w:val="en-US"/>
              </w:rPr>
              <w:t>9</w:t>
            </w:r>
            <w:r w:rsidRPr="005C7F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20</w:t>
            </w:r>
            <w:r w:rsidRPr="005C7F45">
              <w:rPr>
                <w:rFonts w:ascii="Times New Roman" w:hAnsi="Times New Roman" w:cs="Times New Roman"/>
                <w:lang w:val="en-US"/>
              </w:rPr>
              <w:t>20</w:t>
            </w:r>
            <w:r w:rsidRPr="005C7F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</w:rPr>
              <w:t>202</w:t>
            </w:r>
            <w:r w:rsidRPr="005C7F45">
              <w:rPr>
                <w:rFonts w:ascii="Times New Roman" w:hAnsi="Times New Roman" w:cs="Times New Roman"/>
                <w:lang w:val="en-US"/>
              </w:rPr>
              <w:t>1</w:t>
            </w:r>
            <w:r w:rsidRPr="005C7F4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7" w:rsidRPr="005C7F45" w:rsidRDefault="00F261D7" w:rsidP="00DF2208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93DAB" w:rsidRPr="001F12BE" w:rsidTr="00F93DAB">
        <w:trPr>
          <w:trHeight w:val="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</w:rPr>
            </w:pPr>
            <w:r w:rsidRPr="005C7F4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C7F45"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</w:tr>
      <w:tr w:rsidR="00F93DAB" w:rsidRPr="001F12BE" w:rsidTr="00F93DAB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Количество рабочих мест, обеспеченных программным продуктом для участия в электронном документообороте,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6F" w:rsidRDefault="00A57F6F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вляется абсолютным показателем, определяется по количеству рабочих мест сотрудников администрации района, участвующих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документообороте;</w:t>
            </w:r>
          </w:p>
          <w:p w:rsidR="00F261D7" w:rsidRPr="005C7F45" w:rsidRDefault="00A57F6F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предоставляется управлением по информационным технологиям администрации района </w:t>
            </w:r>
          </w:p>
        </w:tc>
      </w:tr>
      <w:tr w:rsidR="00F93DAB" w:rsidRPr="001F12BE" w:rsidTr="00F93DAB">
        <w:trPr>
          <w:trHeight w:val="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6F" w:rsidRDefault="00A57F6F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установлен согласно требованиям Указа Президента Российской Федерации </w:t>
            </w:r>
          </w:p>
          <w:p w:rsidR="00A57F6F" w:rsidRDefault="00133D98" w:rsidP="00A57F6F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57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F6F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2012 № 601 «Об основных направлениях совершенствования системы государственного управления», рассчитывается по соответствующей форме федерального статистического наблюдения</w:t>
            </w:r>
            <w:r w:rsidR="00A57F6F">
              <w:rPr>
                <w:rFonts w:ascii="Times New Roman" w:hAnsi="Times New Roman" w:cs="Times New Roman"/>
                <w:sz w:val="24"/>
                <w:szCs w:val="24"/>
              </w:rPr>
              <w:t>; м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етодика расчета (алгоритм расчета) утверждается приказом Федеральной служба государственной</w:t>
            </w:r>
            <w:r w:rsidR="00A57F6F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статистики (далее – Росстат); п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рассчитывает Росстат 1 раз в год </w:t>
            </w:r>
          </w:p>
          <w:p w:rsidR="00F261D7" w:rsidRPr="005C7F45" w:rsidRDefault="00133D98" w:rsidP="00A57F6F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 конца первого квартал</w:t>
            </w:r>
            <w:r w:rsidR="00A57F6F">
              <w:rPr>
                <w:rFonts w:ascii="Times New Roman" w:hAnsi="Times New Roman" w:cs="Times New Roman"/>
                <w:sz w:val="24"/>
                <w:szCs w:val="24"/>
              </w:rPr>
              <w:t>а, следующего за отчетным годом</w:t>
            </w:r>
          </w:p>
        </w:tc>
      </w:tr>
      <w:tr w:rsidR="00F93DAB" w:rsidRPr="001F12BE" w:rsidTr="00F93DAB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Обеспечение защиты аттестованных муниципальных информационных систем персональных данных по требованиям защиты информации, 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6F" w:rsidRDefault="00A57F6F" w:rsidP="00A57F6F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пределяется по количеству полученных аттестатов соответствия информационных систем персональных данных требован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 по безопасности информации;</w:t>
            </w:r>
          </w:p>
          <w:p w:rsidR="00F261D7" w:rsidRPr="005C7F45" w:rsidRDefault="00A57F6F" w:rsidP="00A57F6F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нформация предоставляется управлением по информационным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ехнологиям администрации района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 xml:space="preserve">Средний срок недоступности </w:t>
            </w:r>
            <w:proofErr w:type="spellStart"/>
            <w:r w:rsidRPr="005C7F45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5C7F45">
              <w:rPr>
                <w:rFonts w:ascii="Times New Roman" w:hAnsi="Times New Roman" w:cs="Times New Roman"/>
              </w:rPr>
              <w:t xml:space="preserve"> администрации района в результате компьютерных атак,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Тср.п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= (∑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время, затраченное на восстановление доступности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после реализации компьютерной атаки;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общих временных затрат на восстановление доступности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после реализации компьютерных атак;</w:t>
            </w:r>
          </w:p>
          <w:p w:rsidR="00F261D7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инцидентов информационной безопасности, в результате которых нарушена доступность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 в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компьютерных атак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Тираж выпуска информационных полос газеты «Наш район» в рамках утвержденного муниципального задания, полос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2634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4D75DC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2796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7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вляется абсолютным показателем, получен на основании накладных полиграфического предприятия, оказываю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услуги по печатанию газеты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вляется расчетным. 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ОБП = (</w:t>
            </w:r>
            <w:proofErr w:type="gram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ФОП :</w:t>
            </w:r>
            <w:proofErr w:type="gram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СЧ) x 100 %, где: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ОБП – обеспечение бесплатной подписки на газету «Наш район» для жителей Ханты-Мансийского района, относящихся к льготным категориям населения;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ФОП – количество фактически обеспеченных подпиской жителей района, относящихся к льготным категориям населения, на основании подписных абонементов, предоставленных ФГУП «Почта России»;</w:t>
            </w:r>
          </w:p>
          <w:p w:rsidR="00F261D7" w:rsidRPr="005C7F45" w:rsidRDefault="00133D98" w:rsidP="00210A1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СЧ – списочная численность жителей района, относящихся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к льготным категориям населения, на основании данных, предоставленных КУ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 xml:space="preserve"> «Центр социальных выплат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bookmarkStart w:id="10" w:name="OLE_LINK48"/>
            <w:bookmarkStart w:id="11" w:name="OLE_LINK47"/>
            <w:bookmarkStart w:id="12" w:name="_Hlk528259169"/>
            <w:bookmarkStart w:id="13" w:name="OLE_LINK46"/>
            <w:bookmarkStart w:id="14" w:name="OLE_LINK45"/>
            <w:bookmarkEnd w:id="10"/>
            <w:bookmarkEnd w:id="11"/>
            <w:bookmarkEnd w:id="12"/>
            <w:bookmarkEnd w:id="13"/>
            <w:bookmarkEnd w:id="14"/>
            <w:r w:rsidRPr="005C7F45">
              <w:rPr>
                <w:rFonts w:ascii="Times New Roman" w:hAnsi="Times New Roman" w:cs="Times New Roman"/>
              </w:rPr>
              <w:t>7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государственных и муниципальных услуг, функций и сервисов, предоставленных в цифровом виде, без необходимости личного посещения государственных</w:t>
            </w:r>
            <w:r w:rsidR="00290A4A" w:rsidRPr="005C7F45">
              <w:rPr>
                <w:rFonts w:ascii="Times New Roman" w:hAnsi="Times New Roman" w:cs="Times New Roman"/>
              </w:rPr>
              <w:t xml:space="preserve"> органов и иных организаций,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государственных и муниципальных услуг, функций и сервисов, предоставленных в цифровом виде, без необходимости личного посещения государственных органов и иных организаций;</w:t>
            </w:r>
          </w:p>
          <w:p w:rsidR="00F261D7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предоставленных государственных и муниципа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>льных услуг, функций и сервисов;</w:t>
            </w:r>
          </w:p>
          <w:p w:rsidR="00290A4A" w:rsidRPr="005C7F45" w:rsidRDefault="00290A4A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bookmarkStart w:id="15" w:name="_Hlk528259199"/>
            <w:bookmarkStart w:id="16" w:name="OLE_LINK53"/>
            <w:bookmarkStart w:id="17" w:name="OLE_LINK52"/>
            <w:bookmarkEnd w:id="15"/>
            <w:bookmarkEnd w:id="16"/>
            <w:bookmarkEnd w:id="17"/>
            <w:r w:rsidRPr="005C7F45">
              <w:rPr>
                <w:rFonts w:ascii="Times New Roman" w:hAnsi="Times New Roman" w:cs="Times New Roman"/>
              </w:rPr>
              <w:t>8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государственных и муниципальных услуг, функций и сервисов МФЦ</w:t>
            </w:r>
            <w:r w:rsidR="00210A1E">
              <w:rPr>
                <w:rFonts w:ascii="Times New Roman" w:hAnsi="Times New Roman" w:cs="Times New Roman"/>
              </w:rPr>
              <w:t>,</w:t>
            </w:r>
            <w:r w:rsidRPr="005C7F45">
              <w:rPr>
                <w:rFonts w:ascii="Times New Roman" w:hAnsi="Times New Roman" w:cs="Times New Roman"/>
              </w:rPr>
              <w:t xml:space="preserve"> в отношении которых обеспечен переход к цифровому безбумажному взаимодействию с государственными (муниципальным</w:t>
            </w:r>
            <w:r w:rsidR="00290A4A" w:rsidRPr="005C7F45">
              <w:rPr>
                <w:rFonts w:ascii="Times New Roman" w:hAnsi="Times New Roman" w:cs="Times New Roman"/>
              </w:rPr>
              <w:t xml:space="preserve">и) органами и организациями,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государственных и муниципальных услуг, функций и сервисов МФЦ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которых обеспечен переход к цифровому безбумажному взаимодействию с государственными (муниципальными) органами и организациями;</w:t>
            </w:r>
          </w:p>
          <w:p w:rsidR="00F261D7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государственных и муниципальны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>х услуг, функций и сервисов МФЦ;</w:t>
            </w:r>
          </w:p>
          <w:p w:rsidR="00290A4A" w:rsidRPr="005C7F45" w:rsidRDefault="00290A4A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9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типизированных государственных и муниципальных услуг, функций и сервисов, пред</w:t>
            </w:r>
            <w:r w:rsidR="00290A4A" w:rsidRPr="005C7F45">
              <w:rPr>
                <w:rFonts w:ascii="Times New Roman" w:hAnsi="Times New Roman" w:cs="Times New Roman"/>
              </w:rPr>
              <w:t xml:space="preserve">оставленных в цифровом виде,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Дц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типизированных государственных и муниципальных услуг, функций и сервисов, предоставленных в цифровом виде;</w:t>
            </w:r>
          </w:p>
          <w:p w:rsidR="00F261D7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типизированных государственных и муниципальных услуг, функций и сервисов, 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>предоставленных в цифровом виде;</w:t>
            </w:r>
          </w:p>
          <w:p w:rsidR="00290A4A" w:rsidRPr="005C7F45" w:rsidRDefault="00290A4A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населенных пунктов, обеспеченных возможностью широкополосного доступа к сети «Интернет» (не менее 10 Мбит/с)</w:t>
            </w:r>
            <w:r w:rsidR="002A6935">
              <w:rPr>
                <w:rFonts w:ascii="Times New Roman" w:hAnsi="Times New Roman" w:cs="Times New Roman"/>
              </w:rPr>
              <w:t>,</w:t>
            </w:r>
            <w:r w:rsidRPr="005C7F45">
              <w:rPr>
                <w:rFonts w:ascii="Times New Roman" w:hAnsi="Times New Roman" w:cs="Times New Roman"/>
              </w:rPr>
              <w:t xml:space="preserve"> в об</w:t>
            </w:r>
            <w:r w:rsidR="00290A4A" w:rsidRPr="005C7F45">
              <w:rPr>
                <w:rFonts w:ascii="Times New Roman" w:hAnsi="Times New Roman" w:cs="Times New Roman"/>
              </w:rPr>
              <w:t xml:space="preserve">щем количестве домохозяйств.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210A1E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для муниципальных районов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210A1E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населенных пунктов, обеспеченных возможностью ШПД к сети Интернет (не менее 10 Мбит/с на одно домохозяйство) (предоставляют операторы связи по итогам их деятельности на территории МО в отчетный период); </w:t>
            </w:r>
          </w:p>
          <w:p w:rsidR="00210A1E" w:rsidRDefault="00133D98" w:rsidP="00210A1E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населенных пунктов </w:t>
            </w:r>
          </w:p>
          <w:p w:rsidR="00290A4A" w:rsidRPr="005C7F45" w:rsidRDefault="00133D98" w:rsidP="00B574C7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в МО</w:t>
            </w:r>
            <w:r w:rsidR="00B57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0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4A"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210A1E">
            <w:pPr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11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Стоимостная доля закупаемого и (или) арендуемого федеральными органами исполнительной власти, органами исполнительной власти субъектов, компаниями с государственным участием иностранно</w:t>
            </w:r>
            <w:r w:rsidR="00290A4A" w:rsidRPr="005C7F45">
              <w:rPr>
                <w:rFonts w:ascii="Times New Roman" w:hAnsi="Times New Roman" w:cs="Times New Roman"/>
              </w:rPr>
              <w:t xml:space="preserve">го программного обеспечения,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D98" w:rsidRPr="005C7F45" w:rsidRDefault="00C66B7D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оказатель расчетный, определяется по формуле: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) * 100, где</w:t>
            </w:r>
          </w:p>
          <w:p w:rsidR="00133D98" w:rsidRPr="005C7F45" w:rsidRDefault="00133D98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стоимость закупаемого и (или) арендуемого МО, компаниями с государственным участием иностранного программного обеспечения;</w:t>
            </w:r>
          </w:p>
          <w:p w:rsidR="00F261D7" w:rsidRPr="005C7F45" w:rsidRDefault="00133D98" w:rsidP="00C66B7D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– стоимость закупаемого и (или) арендуемого МО, компаниями с государственным участием программного обеспечения</w:t>
            </w:r>
            <w:r w:rsidR="00B57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6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4A"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  <w:tr w:rsidR="00F93DAB" w:rsidRPr="001F12BE" w:rsidTr="00F93DAB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210A1E" w:rsidRDefault="00F261D7" w:rsidP="00210A1E">
            <w:pPr>
              <w:widowControl/>
              <w:autoSpaceDE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  <w:lang w:val="en-US"/>
              </w:rPr>
              <w:t>12</w:t>
            </w:r>
            <w:r w:rsidR="00210A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Доля информационных систем исполнительных органов государственной власти автономного округа, муниципальных образований</w:t>
            </w:r>
            <w:r w:rsidR="00C66B7D">
              <w:rPr>
                <w:rFonts w:ascii="Times New Roman" w:hAnsi="Times New Roman" w:cs="Times New Roman"/>
              </w:rPr>
              <w:t>,</w:t>
            </w:r>
            <w:r w:rsidRPr="005C7F45">
              <w:rPr>
                <w:rFonts w:ascii="Times New Roman" w:hAnsi="Times New Roman" w:cs="Times New Roman"/>
              </w:rPr>
              <w:t xml:space="preserve"> подключенных к аттестованному Региональн</w:t>
            </w:r>
            <w:r w:rsidR="00290A4A" w:rsidRPr="005C7F45">
              <w:rPr>
                <w:rFonts w:ascii="Times New Roman" w:hAnsi="Times New Roman" w:cs="Times New Roman"/>
              </w:rPr>
              <w:t xml:space="preserve">ому центру обработки данных, %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D7" w:rsidRPr="005C7F45" w:rsidRDefault="00F261D7" w:rsidP="00DF2208">
            <w:pPr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5C7F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D7" w:rsidRPr="005C7F45" w:rsidRDefault="00C66B7D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>оля информационных систем исполнительных органов государственной власти автономного округа,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D98" w:rsidRPr="005C7F4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подключенных к аттестованному Региональному центру обработки данных, %</w:t>
            </w:r>
            <w:r w:rsidR="00B574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A4A" w:rsidRPr="005C7F45" w:rsidRDefault="00290A4A" w:rsidP="005C7F45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F45">
              <w:rPr>
                <w:rFonts w:ascii="Times New Roman" w:hAnsi="Times New Roman" w:cs="Times New Roman"/>
                <w:sz w:val="24"/>
                <w:szCs w:val="24"/>
              </w:rPr>
              <w:t>показатель портфеля проекта «Цифровая экономика Югры»</w:t>
            </w:r>
          </w:p>
        </w:tc>
      </w:tr>
    </w:tbl>
    <w:p w:rsidR="00290A4A" w:rsidRDefault="00290A4A" w:rsidP="00DF2208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A537B8" w:rsidRPr="001F12BE" w:rsidRDefault="00C65DEF" w:rsidP="00DF2208">
      <w:pPr>
        <w:pStyle w:val="af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Таблица</w:t>
      </w:r>
      <w:r w:rsidR="00A537B8" w:rsidRPr="001F12B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537B8" w:rsidRPr="001F12BE" w:rsidRDefault="00A537B8" w:rsidP="00DF2208">
      <w:pPr>
        <w:tabs>
          <w:tab w:val="left" w:pos="851"/>
          <w:tab w:val="left" w:pos="1134"/>
        </w:tabs>
        <w:ind w:firstLine="7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61D7" w:rsidRPr="004D08AB" w:rsidRDefault="00F261D7" w:rsidP="00DF2208">
      <w:pPr>
        <w:pStyle w:val="ConsPlusNormal"/>
        <w:jc w:val="center"/>
        <w:rPr>
          <w:sz w:val="28"/>
          <w:szCs w:val="28"/>
        </w:rPr>
      </w:pPr>
      <w:r w:rsidRPr="00590700">
        <w:rPr>
          <w:sz w:val="28"/>
          <w:szCs w:val="28"/>
        </w:rPr>
        <w:t>Распределение финансовых ресурсов муниципальной программы</w:t>
      </w:r>
    </w:p>
    <w:p w:rsidR="00A537B8" w:rsidRDefault="00A537B8" w:rsidP="00DF2208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18" w:type="dxa"/>
        <w:tblInd w:w="108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24"/>
        <w:gridCol w:w="4631"/>
        <w:gridCol w:w="2693"/>
        <w:gridCol w:w="1701"/>
        <w:gridCol w:w="993"/>
        <w:gridCol w:w="992"/>
        <w:gridCol w:w="992"/>
        <w:gridCol w:w="992"/>
      </w:tblGrid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Номер </w:t>
            </w:r>
            <w:proofErr w:type="gramStart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основно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го</w:t>
            </w:r>
            <w:proofErr w:type="spellEnd"/>
            <w:proofErr w:type="gramEnd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Источники </w:t>
            </w:r>
            <w:proofErr w:type="spellStart"/>
            <w:proofErr w:type="gramStart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финансиро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Финансовые затраты на реализацию</w:t>
            </w:r>
          </w:p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3F0696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F069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Default="005122ED" w:rsidP="002A6154">
            <w:pPr>
              <w:pStyle w:val="af1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C948AD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инфраструктуры электронного муниципалитета и информационных систем</w:t>
            </w:r>
            <w:r w:rsidRPr="00C94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122ED" w:rsidRPr="00C948AD" w:rsidRDefault="005122ED" w:rsidP="002A6154">
            <w:pPr>
              <w:pStyle w:val="af1"/>
              <w:ind w:left="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(показатели 1, 7, 8, 9, 10, 11, 12)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1321,4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технических средств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Приобретение программного обеспечения для органов администрации Ханты-Мансийского района для внедрения электронного документооборота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Развитие телекоммуникационной инфраструктуры и поддержка корпоративной сети органов администрации Ханты-Мансийского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Автоматизация, информационное и техническое обеспечение деятельности органов администрации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5122E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Содействие в создании устойчивой информационно-телекоммуникационной инфраструктуры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высокоскоростной передачи, обработки и хранения больших объ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мов данных, доступной для всех организаций и домохозяйств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Ханты-Мансийского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2AE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«Развитие технической и технологической основы становления информационного общества, обеспечение предоставления гражданам и организациям услуг с использованием современных информационно-коммуникационных технологий» (показатели 2, 7, 8, 9, 10, 11)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val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5122E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22ED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pStyle w:val="af1"/>
              <w:tabs>
                <w:tab w:val="left" w:pos="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(показатели 3, 4, 12)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</w:rPr>
              <w:t xml:space="preserve">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4010,2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2AE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«</w:t>
            </w:r>
            <w:r w:rsidRPr="00C948AD">
              <w:rPr>
                <w:rFonts w:ascii="Times New Roman" w:hAnsi="Times New Roman" w:cs="Times New Roman"/>
              </w:rPr>
              <w:t>Организация выпуска периодического печатного издания – газеты «Наш район»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(показател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 5, 6)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31539,8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31539,8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2AE6">
              <w:rPr>
                <w:rFonts w:ascii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Организация выпуска периодического печатного издания – газеты «Наш район»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29874,2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9801,40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412AE6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29874,2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9801,40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C42B6D" w:rsidRPr="001F12BE" w:rsidTr="005122ED">
        <w:trPr>
          <w:trHeight w:val="20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412AE6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12AE6">
              <w:rPr>
                <w:rFonts w:ascii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Обеспечение бесплатной подписки на газету «Наш район» для жителей Ханты-Мансийского района, относящихся к льготным категориям населения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администрация Ханты-Мансийского района (МАУ ХМР «Редакция газеты «Наш район»)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42B6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832">
              <w:rPr>
                <w:rFonts w:ascii="Times New Roman" w:hAnsi="Times New Roman" w:cs="Times New Roman"/>
                <w:color w:val="000000"/>
              </w:rPr>
              <w:t>1665,6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42B6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832">
              <w:rPr>
                <w:rFonts w:ascii="Times New Roman" w:hAnsi="Times New Roman" w:cs="Times New Roman"/>
                <w:color w:val="000000"/>
              </w:rPr>
              <w:t>1665,6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42B6D" w:rsidRPr="001F12BE" w:rsidTr="005122ED">
        <w:trPr>
          <w:trHeight w:val="20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42B6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832">
              <w:rPr>
                <w:rFonts w:ascii="Times New Roman" w:hAnsi="Times New Roman" w:cs="Times New Roman"/>
                <w:color w:val="000000"/>
              </w:rPr>
              <w:t>1665,6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42B6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0832">
              <w:rPr>
                <w:rFonts w:ascii="Times New Roman" w:hAnsi="Times New Roman" w:cs="Times New Roman"/>
                <w:color w:val="000000"/>
              </w:rPr>
              <w:t>1665,6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37121,4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17048,6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C42B6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37121,4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17048,6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42B6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37121,4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17048,6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</w:tr>
      <w:tr w:rsidR="00C42B6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37121,4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17048,6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Ответственный исполнитель: администрация Ханты-Мансийского района (УИТ </w:t>
            </w:r>
            <w:proofErr w:type="spellStart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ХМр</w:t>
            </w:r>
            <w:proofErr w:type="spellEnd"/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5581,6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5581,6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5581,6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5581,6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42B6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Соисполнитель: администрация Ханты-Мансийского района (</w:t>
            </w:r>
            <w:r w:rsidRPr="00C948AD">
              <w:rPr>
                <w:rFonts w:ascii="Times New Roman" w:hAnsi="Times New Roman" w:cs="Times New Roman"/>
              </w:rPr>
              <w:t>МАУ ХМР «Редакция газеты «Наш район»</w:t>
            </w: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31539,8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C42B6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31539,8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B6D">
              <w:rPr>
                <w:rFonts w:ascii="Times New Roman" w:hAnsi="Times New Roman" w:cs="Times New Roman"/>
                <w:color w:val="000000"/>
              </w:rPr>
              <w:t>11467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6D" w:rsidRPr="00C948AD" w:rsidRDefault="00C42B6D" w:rsidP="00C42B6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10036,4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Соисполнитель: </w:t>
            </w:r>
            <w:r w:rsidRPr="00C948AD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Ханты-Мансийского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22ED" w:rsidRPr="001F12BE" w:rsidTr="005122ED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snapToGri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948AD">
              <w:rPr>
                <w:rFonts w:ascii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ED" w:rsidRPr="00C948AD" w:rsidRDefault="005122ED" w:rsidP="002A61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48A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122ED" w:rsidRDefault="005122ED" w:rsidP="005122ED">
      <w:pPr>
        <w:jc w:val="right"/>
        <w:rPr>
          <w:rFonts w:ascii="Times New Roman" w:hAnsi="Times New Roman" w:cs="Times New Roman"/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>Таблица 3</w:t>
      </w:r>
    </w:p>
    <w:p w:rsidR="005122ED" w:rsidRPr="001F12BE" w:rsidRDefault="005122ED" w:rsidP="005122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22ED" w:rsidRDefault="005122ED" w:rsidP="00512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D98"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5122ED" w:rsidRDefault="005122ED" w:rsidP="00DF2208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31"/>
        <w:gridCol w:w="1759"/>
        <w:gridCol w:w="2768"/>
        <w:gridCol w:w="981"/>
        <w:gridCol w:w="1275"/>
        <w:gridCol w:w="1276"/>
        <w:gridCol w:w="2410"/>
        <w:gridCol w:w="850"/>
        <w:gridCol w:w="709"/>
        <w:gridCol w:w="709"/>
        <w:gridCol w:w="709"/>
      </w:tblGrid>
      <w:tr w:rsidR="005122ED" w:rsidRPr="00B67FB9" w:rsidTr="002A6154">
        <w:trPr>
          <w:trHeight w:val="20"/>
        </w:trPr>
        <w:tc>
          <w:tcPr>
            <w:tcW w:w="53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1759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Наименование портфеля проектов, проекта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Наименование проекта или мероприятия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 xml:space="preserve">Номер </w:t>
            </w:r>
            <w:proofErr w:type="spellStart"/>
            <w:proofErr w:type="gramStart"/>
            <w:r w:rsidRPr="00B67FB9">
              <w:rPr>
                <w:rFonts w:ascii="Times New Roman" w:eastAsia="Calibri" w:hAnsi="Times New Roman" w:cs="Times New Roman"/>
                <w:lang w:eastAsia="en-US"/>
              </w:rPr>
              <w:t>меро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приятия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Срок реализации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Параметры финансового обеспечения, тыс. рублей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2021 год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>11</w:t>
            </w:r>
          </w:p>
        </w:tc>
      </w:tr>
      <w:tr w:rsidR="005122ED" w:rsidRPr="00B67FB9" w:rsidTr="002A6154">
        <w:trPr>
          <w:trHeight w:val="20"/>
        </w:trPr>
        <w:tc>
          <w:tcPr>
            <w:tcW w:w="13977" w:type="dxa"/>
            <w:gridSpan w:val="11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hAnsi="Times New Roman" w:cs="Times New Roman"/>
              </w:rPr>
              <w:t xml:space="preserve">Портфели проектов, основанные на национальных и федеральных проектах Российской Федерации </w:t>
            </w:r>
            <w:r w:rsidRPr="00B67FB9">
              <w:rPr>
                <w:rFonts w:ascii="Times New Roman" w:hAnsi="Times New Roman" w:cs="Times New Roman"/>
              </w:rPr>
              <w:br/>
              <w:t>(участие в которых принимает Ханты-Мансийский район)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9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Портфель проектов «Цифровая экономика Югры»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роект 1 «Цифровая трансформация государственных (муниципальных) услуг и сервисов»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(7, 8, 9)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1, 2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 xml:space="preserve">огласно паспорту проекта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31.12.2021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привлеченные средства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роект 2 «Создание глобальной конкурентоспособной инфраструктуры передачи данных на основе отечественных разработок» (10)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1, 2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огласно паспорту проекта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31.12.2021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привлеченные средства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роект 3 «Создание глобальной конкурентоспособной инфраструктуры обработки и хранения данных на основе отечественных разработок» (11)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1, 2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огласно паспорту проекта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31.12.2021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привлеченные средства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роект 4 «Обеспечение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государства» (12)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1, 3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B67FB9">
              <w:rPr>
                <w:rFonts w:ascii="Times New Roman" w:eastAsia="Calibri" w:hAnsi="Times New Roman" w:cs="Times New Roman"/>
                <w:lang w:eastAsia="en-US"/>
              </w:rPr>
              <w:t>огласно паспорту проекта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22ED" w:rsidRPr="00B67FB9" w:rsidRDefault="005122ED" w:rsidP="002A6154">
            <w:pPr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31.12.2021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привлеченные средства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 w:val="restart"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00" w:type="dxa"/>
            <w:gridSpan w:val="4"/>
            <w:vMerge w:val="restart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Итого по портфелю проектов 1</w:t>
            </w: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автономного округа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бюджет района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5122ED" w:rsidRPr="00B67FB9" w:rsidTr="002A6154">
        <w:trPr>
          <w:trHeight w:val="20"/>
        </w:trPr>
        <w:tc>
          <w:tcPr>
            <w:tcW w:w="531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:rsidR="005122ED" w:rsidRPr="00B67FB9" w:rsidRDefault="005122ED" w:rsidP="002A615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300" w:type="dxa"/>
            <w:gridSpan w:val="4"/>
            <w:vMerge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122ED" w:rsidRPr="00B67FB9" w:rsidRDefault="005122ED" w:rsidP="002A6154">
            <w:pPr>
              <w:pStyle w:val="ConsPlusNormal"/>
              <w:rPr>
                <w:szCs w:val="24"/>
              </w:rPr>
            </w:pPr>
            <w:r w:rsidRPr="00B67FB9">
              <w:rPr>
                <w:szCs w:val="24"/>
              </w:rPr>
              <w:t>привлеченные средства</w:t>
            </w:r>
          </w:p>
        </w:tc>
        <w:tc>
          <w:tcPr>
            <w:tcW w:w="850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22ED" w:rsidRPr="00B67FB9" w:rsidRDefault="005122ED" w:rsidP="002A6154">
            <w:pPr>
              <w:jc w:val="center"/>
              <w:rPr>
                <w:rFonts w:ascii="Times New Roman" w:hAnsi="Times New Roman" w:cs="Times New Roman"/>
              </w:rPr>
            </w:pPr>
            <w:r w:rsidRPr="00B67FB9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5122ED" w:rsidRPr="001F12BE" w:rsidRDefault="005122ED" w:rsidP="00DF2208">
      <w:pPr>
        <w:rPr>
          <w:rFonts w:ascii="Times New Roman" w:hAnsi="Times New Roman" w:cs="Times New Roman"/>
          <w:sz w:val="28"/>
          <w:szCs w:val="28"/>
        </w:rPr>
      </w:pPr>
    </w:p>
    <w:p w:rsidR="00133D98" w:rsidRPr="00A03F90" w:rsidRDefault="00133D98" w:rsidP="00DF2208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>Таблица 4</w:t>
      </w:r>
    </w:p>
    <w:p w:rsidR="005122ED" w:rsidRPr="00950EC9" w:rsidRDefault="005122ED" w:rsidP="00DF2208">
      <w:pPr>
        <w:pStyle w:val="ConsPlusNormal"/>
        <w:jc w:val="both"/>
        <w:rPr>
          <w:szCs w:val="24"/>
        </w:rPr>
      </w:pPr>
    </w:p>
    <w:p w:rsidR="00133D98" w:rsidRDefault="00133D98" w:rsidP="00DF2208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Сводные показатели муниципальных заданий</w:t>
      </w:r>
    </w:p>
    <w:p w:rsidR="005122ED" w:rsidRPr="004D08AB" w:rsidRDefault="005122ED" w:rsidP="00DF2208">
      <w:pPr>
        <w:pStyle w:val="ConsPlusNormal"/>
        <w:jc w:val="center"/>
        <w:rPr>
          <w:sz w:val="28"/>
          <w:szCs w:val="28"/>
        </w:rPr>
      </w:pPr>
    </w:p>
    <w:tbl>
      <w:tblPr>
        <w:tblW w:w="13994" w:type="dxa"/>
        <w:tblInd w:w="9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69"/>
        <w:gridCol w:w="4247"/>
        <w:gridCol w:w="3691"/>
        <w:gridCol w:w="992"/>
        <w:gridCol w:w="993"/>
        <w:gridCol w:w="992"/>
        <w:gridCol w:w="2410"/>
      </w:tblGrid>
      <w:tr w:rsidR="00A537B8" w:rsidRPr="001F12BE" w:rsidTr="00715BB4">
        <w:trPr>
          <w:trHeight w:val="2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 xml:space="preserve">№ </w:t>
            </w:r>
          </w:p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п/п</w:t>
            </w:r>
          </w:p>
        </w:tc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715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Наименование муниципальных услуг (работ)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B4" w:rsidRDefault="00A537B8" w:rsidP="00715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 xml:space="preserve">Значения показателя </w:t>
            </w:r>
          </w:p>
          <w:p w:rsidR="00A537B8" w:rsidRPr="001F12BE" w:rsidRDefault="00A537B8" w:rsidP="00715BB4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A537B8" w:rsidRPr="001F12BE" w:rsidTr="00715BB4">
        <w:trPr>
          <w:trHeight w:val="20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2021 г.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B8" w:rsidRPr="001F12BE" w:rsidTr="00715BB4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7</w:t>
            </w:r>
          </w:p>
        </w:tc>
      </w:tr>
      <w:tr w:rsidR="00A537B8" w:rsidRPr="001F12BE" w:rsidTr="00715BB4">
        <w:trPr>
          <w:trHeight w:val="2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</w:t>
            </w:r>
            <w:r w:rsidR="00715BB4"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715BB4" w:rsidP="00DF220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37B8" w:rsidRPr="001F12BE">
              <w:rPr>
                <w:sz w:val="28"/>
                <w:szCs w:val="28"/>
              </w:rPr>
              <w:t>олоса формата А3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E038FC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2900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2900</w:t>
            </w:r>
          </w:p>
        </w:tc>
      </w:tr>
    </w:tbl>
    <w:p w:rsidR="00A537B8" w:rsidRPr="001F12BE" w:rsidRDefault="00A537B8" w:rsidP="00DF2208">
      <w:pPr>
        <w:rPr>
          <w:rFonts w:ascii="Times New Roman" w:hAnsi="Times New Roman" w:cs="Times New Roman"/>
          <w:sz w:val="28"/>
          <w:szCs w:val="28"/>
        </w:rPr>
      </w:pPr>
    </w:p>
    <w:p w:rsidR="00133D98" w:rsidRPr="00A03F90" w:rsidRDefault="00133D98" w:rsidP="00DF2208">
      <w:pPr>
        <w:pStyle w:val="ConsPlusNormal"/>
        <w:jc w:val="right"/>
        <w:outlineLvl w:val="2"/>
        <w:rPr>
          <w:sz w:val="28"/>
          <w:szCs w:val="28"/>
        </w:rPr>
      </w:pPr>
      <w:r w:rsidRPr="00A03F9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133D98" w:rsidRPr="00EB40D0" w:rsidRDefault="00133D98" w:rsidP="00DF2208">
      <w:pPr>
        <w:pStyle w:val="ConsPlusNormal"/>
        <w:jc w:val="both"/>
        <w:rPr>
          <w:szCs w:val="24"/>
        </w:rPr>
      </w:pPr>
    </w:p>
    <w:p w:rsidR="00133D98" w:rsidRPr="004D08AB" w:rsidRDefault="00133D98" w:rsidP="00DF2208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Перечень возможных рисков при реализации муниципальной</w:t>
      </w:r>
    </w:p>
    <w:p w:rsidR="00133D98" w:rsidRPr="004D08AB" w:rsidRDefault="00133D98" w:rsidP="00DF2208">
      <w:pPr>
        <w:pStyle w:val="ConsPlusNormal"/>
        <w:jc w:val="center"/>
        <w:rPr>
          <w:sz w:val="28"/>
          <w:szCs w:val="28"/>
        </w:rPr>
      </w:pPr>
      <w:r w:rsidRPr="004D08AB">
        <w:rPr>
          <w:sz w:val="28"/>
          <w:szCs w:val="28"/>
        </w:rPr>
        <w:t>программы и мер по их преодолению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6946"/>
      </w:tblGrid>
      <w:tr w:rsidR="00A537B8" w:rsidRPr="001F12BE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риска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Меры по преодолению рисков</w:t>
            </w:r>
          </w:p>
        </w:tc>
      </w:tr>
      <w:tr w:rsidR="00A537B8" w:rsidRPr="001F12BE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537B8" w:rsidRPr="001F12BE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Внешние риски: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отсутствие нормативного правового регулирования отдельных вопросов для эффективной реализации мероприятий; 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сокращение бюджетного финансирования;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отсутствие поставщиков, исполнителей товаров, работ (услуг), определяемых на конкурсной основе в порядке, установленном федеральным законодательством;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удорожание стоимости товаров, работ (услуг);</w:t>
            </w:r>
          </w:p>
          <w:p w:rsidR="00A537B8" w:rsidRPr="001F12BE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перераспределение полномочий и функций управлени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по информационным технологиям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C67625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  <w:r w:rsidR="00A537B8"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ормирование правовых актов, позволяющих полноценно реализовывать мероприятия муниципальной программы в Ханты-Мансийском районе при имеющихся пробелах в федеральном законодательстве;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перераспределение ресурсов муниципальной программы в условиях сокращенного финансирования;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 промежуточных достигнутых результатов реализации мероприятий и корректировка (при необходимости) целевых показателей и содержания мероприятий;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корректировка муниципальной программы по мере необходимости;</w:t>
            </w:r>
          </w:p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анализа, освещение в средствах массовой информации процессов и результатов реализации муниципальной программы;</w:t>
            </w:r>
          </w:p>
          <w:p w:rsidR="00A537B8" w:rsidRPr="001F12BE" w:rsidRDefault="00A537B8" w:rsidP="00DF2208">
            <w:pPr>
              <w:jc w:val="both"/>
              <w:rPr>
                <w:rFonts w:ascii="Times New Roman" w:hAnsi="Times New Roman" w:cs="Times New Roman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инструментов и прин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ципов бережливого производства</w:t>
            </w:r>
          </w:p>
        </w:tc>
      </w:tr>
      <w:tr w:rsidR="00A537B8" w:rsidRPr="001F12BE" w:rsidTr="005122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Внутренние риски:</w:t>
            </w:r>
          </w:p>
          <w:p w:rsidR="00A537B8" w:rsidRPr="001F12BE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отсутствие достаточного количества специалистов при возложении дополнительных функций на управлени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по информационным технологиям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C676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12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корректировка муниципальной программы (мероприятий и перераспределение объемов фина</w:t>
            </w:r>
            <w:r w:rsidR="00C676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нсирования между мероприятиями)</w:t>
            </w:r>
          </w:p>
        </w:tc>
      </w:tr>
    </w:tbl>
    <w:p w:rsidR="00A537B8" w:rsidRPr="001F12BE" w:rsidRDefault="00A537B8" w:rsidP="00DF2208">
      <w:pPr>
        <w:rPr>
          <w:rFonts w:ascii="Times New Roman" w:hAnsi="Times New Roman" w:cs="Times New Roman"/>
        </w:rPr>
      </w:pPr>
    </w:p>
    <w:p w:rsidR="00C122A7" w:rsidRPr="005122ED" w:rsidRDefault="00AE2BAD" w:rsidP="00DF2208">
      <w:pPr>
        <w:jc w:val="right"/>
        <w:rPr>
          <w:sz w:val="28"/>
          <w:szCs w:val="28"/>
        </w:rPr>
      </w:pPr>
      <w:r w:rsidRPr="001F12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33D98" w:rsidRPr="005122ED">
        <w:rPr>
          <w:rFonts w:ascii="Times New Roman" w:hAnsi="Times New Roman" w:cs="Times New Roman"/>
          <w:sz w:val="28"/>
          <w:szCs w:val="28"/>
        </w:rPr>
        <w:t>6</w:t>
      </w:r>
    </w:p>
    <w:p w:rsidR="00A537B8" w:rsidRPr="001F12BE" w:rsidRDefault="00A537B8" w:rsidP="00DF2208">
      <w:pPr>
        <w:pStyle w:val="ConsPlusNormal"/>
        <w:jc w:val="center"/>
        <w:rPr>
          <w:sz w:val="28"/>
          <w:szCs w:val="28"/>
        </w:rPr>
      </w:pPr>
      <w:r w:rsidRPr="001F12BE">
        <w:rPr>
          <w:sz w:val="28"/>
          <w:szCs w:val="28"/>
        </w:rPr>
        <w:t>Перечень объектов капитального строительства</w:t>
      </w:r>
      <w:r w:rsidR="00AE2BAD" w:rsidRPr="001F12BE">
        <w:rPr>
          <w:sz w:val="28"/>
          <w:szCs w:val="28"/>
        </w:rPr>
        <w:t xml:space="preserve"> *</w:t>
      </w:r>
    </w:p>
    <w:p w:rsidR="00A537B8" w:rsidRPr="001F12BE" w:rsidRDefault="00A537B8" w:rsidP="00DF2208">
      <w:pPr>
        <w:pStyle w:val="ConsPlusNormal"/>
        <w:jc w:val="both"/>
        <w:rPr>
          <w:sz w:val="28"/>
          <w:szCs w:val="28"/>
        </w:rPr>
      </w:pPr>
    </w:p>
    <w:tbl>
      <w:tblPr>
        <w:tblW w:w="13982" w:type="dxa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88"/>
        <w:gridCol w:w="5513"/>
        <w:gridCol w:w="2284"/>
        <w:gridCol w:w="2786"/>
        <w:gridCol w:w="2611"/>
      </w:tblGrid>
      <w:tr w:rsidR="00A537B8" w:rsidRPr="001F12BE" w:rsidTr="002E7D37">
        <w:trPr>
          <w:trHeight w:val="14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 xml:space="preserve">№ </w:t>
            </w:r>
          </w:p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п/п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Мощность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Срок строительства, проектирования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A537B8" w:rsidRPr="001F12BE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5</w:t>
            </w:r>
          </w:p>
        </w:tc>
      </w:tr>
      <w:tr w:rsidR="00A537B8" w:rsidRPr="001F12BE" w:rsidTr="002E7D37">
        <w:trPr>
          <w:trHeight w:val="29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8A2E54" w:rsidRPr="001F12BE" w:rsidRDefault="002E7D37" w:rsidP="002E7D37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* </w:t>
      </w:r>
      <w:r w:rsidR="000F1728">
        <w:rPr>
          <w:rFonts w:ascii="Times New Roman" w:hAnsi="Times New Roman" w:cs="Times New Roman"/>
          <w:lang w:eastAsia="ru-RU"/>
        </w:rPr>
        <w:t>М</w:t>
      </w:r>
      <w:r w:rsidR="008A2E54" w:rsidRPr="001F12BE">
        <w:rPr>
          <w:rFonts w:ascii="Times New Roman" w:hAnsi="Times New Roman" w:cs="Times New Roman"/>
          <w:lang w:eastAsia="ru-RU"/>
        </w:rPr>
        <w:t>униципальной программой не предусмотрены объекты капитального строительства</w:t>
      </w:r>
      <w:r w:rsidR="000F1728">
        <w:rPr>
          <w:rFonts w:ascii="Times New Roman" w:hAnsi="Times New Roman" w:cs="Times New Roman"/>
          <w:lang w:eastAsia="ru-RU"/>
        </w:rPr>
        <w:t>.</w:t>
      </w:r>
    </w:p>
    <w:p w:rsidR="00A537B8" w:rsidRPr="001F12BE" w:rsidRDefault="00A537B8" w:rsidP="00DF2208">
      <w:pPr>
        <w:pStyle w:val="ConsPlusNormal"/>
        <w:jc w:val="both"/>
        <w:rPr>
          <w:sz w:val="28"/>
          <w:szCs w:val="28"/>
        </w:rPr>
      </w:pPr>
    </w:p>
    <w:p w:rsidR="00A537B8" w:rsidRPr="005122ED" w:rsidRDefault="00A537B8" w:rsidP="00DF2208">
      <w:pPr>
        <w:pStyle w:val="ConsPlusNormal"/>
        <w:jc w:val="right"/>
        <w:rPr>
          <w:sz w:val="28"/>
          <w:szCs w:val="28"/>
        </w:rPr>
      </w:pPr>
      <w:r w:rsidRPr="001F12BE">
        <w:rPr>
          <w:sz w:val="28"/>
          <w:szCs w:val="28"/>
        </w:rPr>
        <w:t xml:space="preserve">Таблица </w:t>
      </w:r>
      <w:r w:rsidR="00133D98" w:rsidRPr="005122ED">
        <w:rPr>
          <w:sz w:val="28"/>
          <w:szCs w:val="28"/>
        </w:rPr>
        <w:t>7</w:t>
      </w:r>
    </w:p>
    <w:p w:rsidR="00A537B8" w:rsidRPr="001F12BE" w:rsidRDefault="00A537B8" w:rsidP="00DF2208">
      <w:pPr>
        <w:pStyle w:val="ConsPlusNormal"/>
        <w:jc w:val="center"/>
        <w:rPr>
          <w:sz w:val="28"/>
          <w:szCs w:val="28"/>
        </w:rPr>
      </w:pPr>
      <w:r w:rsidRPr="001F12BE">
        <w:rPr>
          <w:sz w:val="28"/>
          <w:szCs w:val="28"/>
        </w:rPr>
        <w:t>Перечень объектов социально-культурного</w:t>
      </w:r>
    </w:p>
    <w:p w:rsidR="00A537B8" w:rsidRPr="001F12BE" w:rsidRDefault="00A537B8" w:rsidP="00DF2208">
      <w:pPr>
        <w:pStyle w:val="ConsPlusNormal"/>
        <w:jc w:val="center"/>
        <w:rPr>
          <w:sz w:val="28"/>
          <w:szCs w:val="28"/>
        </w:rPr>
      </w:pPr>
      <w:r w:rsidRPr="001F12BE">
        <w:rPr>
          <w:sz w:val="28"/>
          <w:szCs w:val="28"/>
        </w:rPr>
        <w:t>и коммунально-бытового назначения, масштабные инвестиционные</w:t>
      </w:r>
    </w:p>
    <w:p w:rsidR="00D66247" w:rsidRDefault="00A537B8" w:rsidP="00DF2208">
      <w:pPr>
        <w:pStyle w:val="ConsPlusNormal"/>
        <w:jc w:val="center"/>
        <w:rPr>
          <w:sz w:val="28"/>
          <w:szCs w:val="28"/>
        </w:rPr>
      </w:pPr>
      <w:r w:rsidRPr="001F12BE">
        <w:rPr>
          <w:sz w:val="28"/>
          <w:szCs w:val="28"/>
        </w:rPr>
        <w:t>проекты (далее – инвестиционные проекты)</w:t>
      </w:r>
      <w:r w:rsidR="008A2E54" w:rsidRPr="001F12BE">
        <w:rPr>
          <w:sz w:val="28"/>
          <w:szCs w:val="28"/>
        </w:rPr>
        <w:t xml:space="preserve"> *</w:t>
      </w:r>
    </w:p>
    <w:p w:rsidR="000F1728" w:rsidRPr="001F12BE" w:rsidRDefault="000F1728" w:rsidP="00DF2208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Ind w:w="114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806"/>
        <w:gridCol w:w="5693"/>
        <w:gridCol w:w="3316"/>
        <w:gridCol w:w="4167"/>
      </w:tblGrid>
      <w:tr w:rsidR="00A537B8" w:rsidRPr="001F12BE" w:rsidTr="000F1728">
        <w:trPr>
          <w:trHeight w:val="9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№</w:t>
            </w:r>
          </w:p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п/п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Объем финансирования инвестиционного проекта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537B8" w:rsidRPr="001F12BE" w:rsidTr="000F1728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</w:pPr>
            <w:r w:rsidRPr="001F12BE">
              <w:rPr>
                <w:sz w:val="28"/>
                <w:szCs w:val="28"/>
              </w:rPr>
              <w:t>4</w:t>
            </w:r>
          </w:p>
        </w:tc>
      </w:tr>
      <w:tr w:rsidR="00A537B8" w:rsidRPr="001F12BE" w:rsidTr="000F1728">
        <w:trPr>
          <w:trHeight w:val="11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jc w:val="center"/>
              <w:rPr>
                <w:sz w:val="28"/>
                <w:szCs w:val="28"/>
              </w:rPr>
            </w:pPr>
            <w:r w:rsidRPr="001F12BE">
              <w:rPr>
                <w:sz w:val="28"/>
                <w:szCs w:val="28"/>
              </w:rPr>
              <w:t>1.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7B8" w:rsidRPr="001F12BE" w:rsidRDefault="00A537B8" w:rsidP="00DF2208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</w:tbl>
    <w:p w:rsidR="00A537B8" w:rsidRPr="000F1728" w:rsidRDefault="000F1728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x-none" w:eastAsia="ru-RU"/>
        </w:rPr>
        <w:t>*</w:t>
      </w:r>
      <w:r w:rsidR="008A2E54" w:rsidRPr="001F12BE">
        <w:rPr>
          <w:rFonts w:ascii="Times New Roman" w:hAnsi="Times New Roman" w:cs="Times New Roman"/>
          <w:sz w:val="16"/>
          <w:szCs w:val="16"/>
          <w:lang w:val="x-none" w:eastAsia="ru-RU"/>
        </w:rPr>
        <w:t xml:space="preserve"> </w:t>
      </w:r>
      <w:r w:rsidR="008A2E54" w:rsidRPr="001F12BE">
        <w:rPr>
          <w:rFonts w:ascii="Times New Roman" w:hAnsi="Times New Roman" w:cs="Times New Roman"/>
          <w:lang w:eastAsia="ru-RU"/>
        </w:rPr>
        <w:t>Муниципальная</w:t>
      </w:r>
      <w:r w:rsidR="008A2E54" w:rsidRPr="001F12BE">
        <w:rPr>
          <w:rFonts w:ascii="Times New Roman" w:hAnsi="Times New Roman" w:cs="Times New Roman"/>
          <w:lang w:val="x-none" w:eastAsia="ru-RU"/>
        </w:rPr>
        <w:t xml:space="preserve"> программа не содержит инвестиционных проектов, реализуемых, в том числе, на принципах проектного управления. О</w:t>
      </w:r>
      <w:r w:rsidR="008A2E54" w:rsidRPr="001F12BE">
        <w:rPr>
          <w:rFonts w:ascii="Times New Roman" w:hAnsi="Times New Roman" w:cs="Times New Roman"/>
          <w:color w:val="000000"/>
          <w:lang w:val="x-none" w:eastAsia="ru-RU"/>
        </w:rPr>
        <w:t xml:space="preserve">бъекты социально-культурного и коммунально-бытового </w:t>
      </w:r>
      <w:r w:rsidR="008A2E54" w:rsidRPr="001F12BE">
        <w:rPr>
          <w:rFonts w:ascii="Times New Roman" w:hAnsi="Times New Roman" w:cs="Times New Roman"/>
          <w:color w:val="000000"/>
          <w:lang w:eastAsia="ru-RU"/>
        </w:rPr>
        <w:t>на</w:t>
      </w:r>
      <w:r w:rsidR="008A2E54" w:rsidRPr="001F12BE">
        <w:rPr>
          <w:rFonts w:ascii="Times New Roman" w:hAnsi="Times New Roman" w:cs="Times New Roman"/>
          <w:color w:val="000000"/>
          <w:lang w:val="x-none" w:eastAsia="ru-RU"/>
        </w:rPr>
        <w:t>значения отсутствую</w:t>
      </w:r>
      <w:r>
        <w:rPr>
          <w:rFonts w:ascii="Times New Roman" w:hAnsi="Times New Roman" w:cs="Times New Roman"/>
          <w:color w:val="000000"/>
          <w:lang w:eastAsia="ru-RU"/>
        </w:rPr>
        <w:t>т.</w:t>
      </w:r>
    </w:p>
    <w:p w:rsidR="005122ED" w:rsidRDefault="005122ED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3D98" w:rsidRDefault="00133D98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50C46">
        <w:rPr>
          <w:rFonts w:ascii="Times New Roman" w:eastAsia="Calibri" w:hAnsi="Times New Roman" w:cs="Times New Roman"/>
          <w:bCs/>
          <w:sz w:val="28"/>
          <w:szCs w:val="28"/>
        </w:rPr>
        <w:t>Таблица 8</w:t>
      </w:r>
    </w:p>
    <w:p w:rsidR="000F1728" w:rsidRPr="00550C46" w:rsidRDefault="000F1728" w:rsidP="00DF2208">
      <w:pPr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33D98" w:rsidRDefault="00133D98" w:rsidP="00DF2208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7986">
        <w:rPr>
          <w:rFonts w:ascii="Times New Roman" w:eastAsia="Calibri" w:hAnsi="Times New Roman" w:cs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  <w:r w:rsidR="00290A4A" w:rsidRPr="00290A4A">
        <w:rPr>
          <w:rFonts w:ascii="Times New Roman" w:eastAsia="Calibri" w:hAnsi="Times New Roman" w:cs="Times New Roman"/>
          <w:sz w:val="28"/>
          <w:szCs w:val="28"/>
        </w:rPr>
        <w:t xml:space="preserve"> *</w:t>
      </w:r>
    </w:p>
    <w:p w:rsidR="005122ED" w:rsidRPr="00290A4A" w:rsidRDefault="005122ED" w:rsidP="00DF2208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1"/>
        <w:gridCol w:w="3074"/>
        <w:gridCol w:w="2857"/>
        <w:gridCol w:w="2636"/>
        <w:gridCol w:w="2069"/>
      </w:tblGrid>
      <w:tr w:rsidR="00133D98" w:rsidRPr="00550C46" w:rsidTr="000F1728">
        <w:trPr>
          <w:trHeight w:val="1305"/>
        </w:trPr>
        <w:tc>
          <w:tcPr>
            <w:tcW w:w="56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№ п/п </w:t>
            </w:r>
          </w:p>
        </w:tc>
        <w:tc>
          <w:tcPr>
            <w:tcW w:w="2831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Предложение </w:t>
            </w:r>
          </w:p>
        </w:tc>
        <w:tc>
          <w:tcPr>
            <w:tcW w:w="3074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Номер, наименование мероприятия </w:t>
            </w:r>
          </w:p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(таблица 2) </w:t>
            </w:r>
          </w:p>
        </w:tc>
        <w:tc>
          <w:tcPr>
            <w:tcW w:w="285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2636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2069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 xml:space="preserve">Ответственный исполнитель </w:t>
            </w:r>
          </w:p>
        </w:tc>
      </w:tr>
      <w:tr w:rsidR="00133D98" w:rsidRPr="00550C46" w:rsidTr="000F1728">
        <w:trPr>
          <w:trHeight w:val="310"/>
        </w:trPr>
        <w:tc>
          <w:tcPr>
            <w:tcW w:w="56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831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3074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2069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</w:tr>
      <w:tr w:rsidR="00133D98" w:rsidRPr="00550C46" w:rsidTr="000F1728">
        <w:trPr>
          <w:trHeight w:val="310"/>
        </w:trPr>
        <w:tc>
          <w:tcPr>
            <w:tcW w:w="56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50C46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74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857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636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069" w:type="dxa"/>
            <w:shd w:val="clear" w:color="auto" w:fill="auto"/>
          </w:tcPr>
          <w:p w:rsidR="00133D98" w:rsidRPr="00550C46" w:rsidRDefault="00133D98" w:rsidP="00DF2208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133D98" w:rsidRDefault="000F1728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290A4A">
        <w:rPr>
          <w:rFonts w:ascii="Times New Roman" w:hAnsi="Times New Roman" w:cs="Times New Roman"/>
        </w:rPr>
        <w:t>Муниципальная программа не содержит предложений граждан по реализации национальных проектов.</w:t>
      </w:r>
    </w:p>
    <w:p w:rsidR="00122095" w:rsidRDefault="00122095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</w:p>
    <w:p w:rsidR="00122095" w:rsidRPr="00170D7B" w:rsidRDefault="00122095" w:rsidP="00122095">
      <w:pPr>
        <w:autoSpaceDN w:val="0"/>
        <w:ind w:left="709"/>
        <w:jc w:val="right"/>
        <w:outlineLvl w:val="2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170D7B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Таблица 9</w:t>
      </w:r>
    </w:p>
    <w:p w:rsidR="00122095" w:rsidRPr="00170D7B" w:rsidRDefault="00122095" w:rsidP="00122095">
      <w:pPr>
        <w:autoSpaceDN w:val="0"/>
        <w:ind w:left="709"/>
        <w:jc w:val="right"/>
        <w:outlineLvl w:val="2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122095" w:rsidRPr="00170D7B" w:rsidRDefault="00122095" w:rsidP="00122095">
      <w:pPr>
        <w:autoSpaceDN w:val="0"/>
        <w:spacing w:after="160" w:line="259" w:lineRule="auto"/>
        <w:jc w:val="center"/>
        <w:outlineLvl w:val="2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70D7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«План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на 2019 – 2024 годы»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560"/>
        <w:gridCol w:w="2553"/>
        <w:gridCol w:w="2673"/>
        <w:gridCol w:w="2560"/>
        <w:gridCol w:w="2560"/>
      </w:tblGrid>
      <w:tr w:rsidR="00122095" w:rsidRPr="00170D7B" w:rsidTr="00455D17">
        <w:tc>
          <w:tcPr>
            <w:tcW w:w="986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 xml:space="preserve">Номер, наименование мероприятия </w:t>
            </w:r>
          </w:p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(таблица 2)</w:t>
            </w:r>
          </w:p>
        </w:tc>
        <w:tc>
          <w:tcPr>
            <w:tcW w:w="255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 xml:space="preserve">Меры, направленные на достижение значений (уровней) показателей </w:t>
            </w:r>
          </w:p>
        </w:tc>
        <w:tc>
          <w:tcPr>
            <w:tcW w:w="267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Наименование портфеля проектов, основанного на на</w:t>
            </w:r>
            <w:bookmarkStart w:id="18" w:name="_GoBack"/>
            <w:bookmarkEnd w:id="18"/>
            <w:r w:rsidRPr="00170D7B">
              <w:rPr>
                <w:rFonts w:ascii="Times New Roman" w:eastAsiaTheme="minorHAnsi" w:hAnsi="Times New Roman"/>
                <w:lang w:eastAsia="en-US"/>
              </w:rPr>
              <w:t>циональных и федеральных проектах Российской Федерации *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Ответственный исполнитель / соисполнители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Контрольное событие (промежуточный результат)</w:t>
            </w:r>
          </w:p>
        </w:tc>
      </w:tr>
      <w:tr w:rsidR="00122095" w:rsidRPr="00170D7B" w:rsidTr="00455D17">
        <w:tc>
          <w:tcPr>
            <w:tcW w:w="986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122095" w:rsidRPr="00170D7B" w:rsidTr="00455D17">
        <w:tc>
          <w:tcPr>
            <w:tcW w:w="13892" w:type="dxa"/>
            <w:gridSpan w:val="6"/>
            <w:shd w:val="clear" w:color="auto" w:fill="auto"/>
          </w:tcPr>
          <w:p w:rsidR="00122095" w:rsidRPr="00170D7B" w:rsidRDefault="00122095" w:rsidP="00455D17">
            <w:pPr>
              <w:tabs>
                <w:tab w:val="left" w:pos="7920"/>
              </w:tabs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</w:tr>
      <w:tr w:rsidR="00122095" w:rsidRPr="00170D7B" w:rsidTr="00455D17">
        <w:tc>
          <w:tcPr>
            <w:tcW w:w="986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1.1.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22095" w:rsidRPr="00170D7B" w:rsidTr="00455D17">
        <w:tc>
          <w:tcPr>
            <w:tcW w:w="986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70D7B">
              <w:rPr>
                <w:rFonts w:ascii="Times New Roman" w:eastAsiaTheme="minorHAnsi" w:hAnsi="Times New Roman"/>
                <w:lang w:eastAsia="en-US"/>
              </w:rPr>
              <w:t>1.2.</w:t>
            </w: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122095" w:rsidRPr="00170D7B" w:rsidRDefault="00122095" w:rsidP="00455D17">
            <w:pPr>
              <w:autoSpaceDN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122095" w:rsidRPr="00170D7B" w:rsidRDefault="00122095" w:rsidP="00122095">
      <w:pPr>
        <w:ind w:firstLine="709"/>
        <w:jc w:val="both"/>
        <w:rPr>
          <w:rFonts w:ascii="Times New Roman" w:eastAsia="Calibri" w:hAnsi="Times New Roman"/>
        </w:rPr>
      </w:pPr>
      <w:r w:rsidRPr="00170D7B">
        <w:rPr>
          <w:rFonts w:ascii="Times New Roman" w:eastAsia="Calibri" w:hAnsi="Times New Roman"/>
          <w:lang w:val="x-none"/>
        </w:rPr>
        <w:t>* М</w:t>
      </w:r>
      <w:r w:rsidRPr="00170D7B">
        <w:rPr>
          <w:rFonts w:ascii="Times New Roman" w:eastAsia="Calibri" w:hAnsi="Times New Roman"/>
        </w:rPr>
        <w:t xml:space="preserve">униципальной </w:t>
      </w:r>
      <w:r w:rsidRPr="00170D7B">
        <w:rPr>
          <w:rFonts w:ascii="Times New Roman" w:eastAsia="Calibri" w:hAnsi="Times New Roman"/>
          <w:lang w:val="x-none"/>
        </w:rPr>
        <w:t>программой не предусмотрены</w:t>
      </w:r>
      <w:r w:rsidRPr="00170D7B">
        <w:rPr>
          <w:rFonts w:ascii="Times New Roman" w:eastAsia="Calibri" w:hAnsi="Times New Roman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округа-Югры.»</w:t>
      </w:r>
    </w:p>
    <w:p w:rsidR="00122095" w:rsidRPr="00170D7B" w:rsidRDefault="00122095" w:rsidP="000F1728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</w:rPr>
      </w:pPr>
    </w:p>
    <w:p w:rsidR="00DF2208" w:rsidRPr="00170D7B" w:rsidRDefault="00DF2208" w:rsidP="00DF2208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70D7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DF2208" w:rsidRPr="00170D7B" w:rsidRDefault="00DF2208" w:rsidP="00DF2208">
      <w:pPr>
        <w:pStyle w:val="af1"/>
        <w:ind w:firstLine="709"/>
        <w:jc w:val="both"/>
      </w:pPr>
      <w:r w:rsidRPr="00170D7B">
        <w:rPr>
          <w:rFonts w:ascii="Times New Roman" w:hAnsi="Times New Roman" w:cs="Times New Roman"/>
          <w:sz w:val="28"/>
          <w:szCs w:val="28"/>
        </w:rPr>
        <w:t>3. Опубликовать постановление в газете «Наш район» и разместить на официальном сайте администрации Ханты-Мансийского района.</w:t>
      </w:r>
    </w:p>
    <w:p w:rsidR="00DF2208" w:rsidRDefault="00DF2208" w:rsidP="00DF22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7B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Ханты-Мансийского района, курирующего деятельность управления по информационным технологиям.</w:t>
      </w:r>
    </w:p>
    <w:p w:rsidR="00DF2208" w:rsidRPr="00DF2208" w:rsidRDefault="00DF2208" w:rsidP="00DF2208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208" w:rsidRPr="00DF2208" w:rsidRDefault="00DF2208" w:rsidP="00DF2208">
      <w:pPr>
        <w:pStyle w:val="af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208" w:rsidRPr="000F1728" w:rsidRDefault="00DF2208" w:rsidP="000F1728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F2208">
        <w:rPr>
          <w:rFonts w:ascii="Times New Roman" w:eastAsia="Calibri" w:hAnsi="Times New Roman" w:cs="Times New Roman"/>
          <w:sz w:val="28"/>
          <w:szCs w:val="28"/>
        </w:rPr>
        <w:t>Глава Ханты-Мансийского района</w:t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r w:rsidR="000F172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DF2208"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sectPr w:rsidR="00DF2208" w:rsidRPr="000F1728" w:rsidSect="00DF2208">
      <w:headerReference w:type="even" r:id="rId10"/>
      <w:headerReference w:type="default" r:id="rId11"/>
      <w:headerReference w:type="first" r:id="rId12"/>
      <w:type w:val="continuous"/>
      <w:pgSz w:w="16838" w:h="11906" w:orient="landscape"/>
      <w:pgMar w:top="1418" w:right="1276" w:bottom="1134" w:left="155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75" w:rsidRDefault="000E5875">
      <w:r>
        <w:separator/>
      </w:r>
    </w:p>
  </w:endnote>
  <w:endnote w:type="continuationSeparator" w:id="0">
    <w:p w:rsidR="000E5875" w:rsidRDefault="000E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75" w:rsidRDefault="000E5875">
      <w:r>
        <w:separator/>
      </w:r>
    </w:p>
  </w:footnote>
  <w:footnote w:type="continuationSeparator" w:id="0">
    <w:p w:rsidR="000E5875" w:rsidRDefault="000E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3" w:rsidRPr="00744012" w:rsidRDefault="00B64BF3" w:rsidP="00744012">
    <w:pPr>
      <w:pStyle w:val="af2"/>
      <w:jc w:val="center"/>
      <w:rPr>
        <w:rFonts w:ascii="Times New Roman" w:hAnsi="Times New Roman" w:cs="Times New Roman"/>
      </w:rPr>
    </w:pPr>
    <w:r w:rsidRPr="00744012">
      <w:rPr>
        <w:rFonts w:ascii="Times New Roman" w:hAnsi="Times New Roman" w:cs="Times New Roman"/>
      </w:rPr>
      <w:fldChar w:fldCharType="begin"/>
    </w:r>
    <w:r w:rsidRPr="00744012">
      <w:rPr>
        <w:rFonts w:ascii="Times New Roman" w:hAnsi="Times New Roman" w:cs="Times New Roman"/>
      </w:rPr>
      <w:instrText xml:space="preserve"> PAGE </w:instrText>
    </w:r>
    <w:r w:rsidRPr="00744012">
      <w:rPr>
        <w:rFonts w:ascii="Times New Roman" w:hAnsi="Times New Roman" w:cs="Times New Roman"/>
      </w:rPr>
      <w:fldChar w:fldCharType="separate"/>
    </w:r>
    <w:r w:rsidR="00170D7B">
      <w:rPr>
        <w:rFonts w:ascii="Times New Roman" w:hAnsi="Times New Roman" w:cs="Times New Roman"/>
        <w:noProof/>
      </w:rPr>
      <w:t>6</w:t>
    </w:r>
    <w:r w:rsidRPr="00744012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3" w:rsidRDefault="00B64B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3" w:rsidRPr="00F45327" w:rsidRDefault="00B64BF3" w:rsidP="00F45327">
    <w:pPr>
      <w:pStyle w:val="af2"/>
      <w:jc w:val="center"/>
      <w:rPr>
        <w:rFonts w:ascii="Times New Roman" w:hAnsi="Times New Roman" w:cs="Times New Roman"/>
        <w:sz w:val="26"/>
        <w:szCs w:val="26"/>
      </w:rPr>
    </w:pPr>
    <w:r w:rsidRPr="00F45327">
      <w:rPr>
        <w:rFonts w:ascii="Times New Roman" w:hAnsi="Times New Roman" w:cs="Times New Roman"/>
        <w:sz w:val="26"/>
        <w:szCs w:val="26"/>
      </w:rPr>
      <w:fldChar w:fldCharType="begin"/>
    </w:r>
    <w:r w:rsidRPr="00F45327">
      <w:rPr>
        <w:rFonts w:ascii="Times New Roman" w:hAnsi="Times New Roman" w:cs="Times New Roman"/>
        <w:sz w:val="26"/>
        <w:szCs w:val="26"/>
      </w:rPr>
      <w:instrText xml:space="preserve"> PAGE </w:instrText>
    </w:r>
    <w:r w:rsidRPr="00F45327">
      <w:rPr>
        <w:rFonts w:ascii="Times New Roman" w:hAnsi="Times New Roman" w:cs="Times New Roman"/>
        <w:sz w:val="26"/>
        <w:szCs w:val="26"/>
      </w:rPr>
      <w:fldChar w:fldCharType="separate"/>
    </w:r>
    <w:r w:rsidR="00170D7B">
      <w:rPr>
        <w:rFonts w:ascii="Times New Roman" w:hAnsi="Times New Roman" w:cs="Times New Roman"/>
        <w:noProof/>
        <w:sz w:val="26"/>
        <w:szCs w:val="26"/>
      </w:rPr>
      <w:t>19</w:t>
    </w:r>
    <w:r w:rsidRPr="00F45327">
      <w:rPr>
        <w:rFonts w:ascii="Times New Roman" w:hAnsi="Times New Roman" w:cs="Times New Roman"/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F3" w:rsidRDefault="00B64B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08D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6" w15:restartNumberingAfterBreak="0">
    <w:nsid w:val="163E740D"/>
    <w:multiLevelType w:val="hybridMultilevel"/>
    <w:tmpl w:val="EEDE6252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4D3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8" w15:restartNumberingAfterBreak="0">
    <w:nsid w:val="1D1576D5"/>
    <w:multiLevelType w:val="multilevel"/>
    <w:tmpl w:val="495CB0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BF03CD"/>
    <w:multiLevelType w:val="hybridMultilevel"/>
    <w:tmpl w:val="D8E6681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03F66"/>
    <w:rsid w:val="000C278B"/>
    <w:rsid w:val="000C68C0"/>
    <w:rsid w:val="000E000F"/>
    <w:rsid w:val="000E5875"/>
    <w:rsid w:val="000F1728"/>
    <w:rsid w:val="001212B1"/>
    <w:rsid w:val="00122095"/>
    <w:rsid w:val="00133D98"/>
    <w:rsid w:val="00153D8C"/>
    <w:rsid w:val="00170D7B"/>
    <w:rsid w:val="00174B19"/>
    <w:rsid w:val="001B09E7"/>
    <w:rsid w:val="001D5BD0"/>
    <w:rsid w:val="001F12BE"/>
    <w:rsid w:val="00200AA2"/>
    <w:rsid w:val="00210962"/>
    <w:rsid w:val="00210A1E"/>
    <w:rsid w:val="00223496"/>
    <w:rsid w:val="0025790C"/>
    <w:rsid w:val="00290A4A"/>
    <w:rsid w:val="002A6154"/>
    <w:rsid w:val="002A6935"/>
    <w:rsid w:val="002B0E70"/>
    <w:rsid w:val="002E7D37"/>
    <w:rsid w:val="00315ED6"/>
    <w:rsid w:val="0035377C"/>
    <w:rsid w:val="00380AED"/>
    <w:rsid w:val="00391593"/>
    <w:rsid w:val="003B66F4"/>
    <w:rsid w:val="003D5A43"/>
    <w:rsid w:val="003F0696"/>
    <w:rsid w:val="003F70A6"/>
    <w:rsid w:val="004104F1"/>
    <w:rsid w:val="00412AE6"/>
    <w:rsid w:val="0042771D"/>
    <w:rsid w:val="00484562"/>
    <w:rsid w:val="00486E41"/>
    <w:rsid w:val="00495385"/>
    <w:rsid w:val="004A25F8"/>
    <w:rsid w:val="004D75DC"/>
    <w:rsid w:val="004E412A"/>
    <w:rsid w:val="004E6F80"/>
    <w:rsid w:val="005122ED"/>
    <w:rsid w:val="00515E4A"/>
    <w:rsid w:val="00516ACB"/>
    <w:rsid w:val="00525CA3"/>
    <w:rsid w:val="00551236"/>
    <w:rsid w:val="005A1554"/>
    <w:rsid w:val="005A2D13"/>
    <w:rsid w:val="005A3E8E"/>
    <w:rsid w:val="005C7F45"/>
    <w:rsid w:val="005E291F"/>
    <w:rsid w:val="00630919"/>
    <w:rsid w:val="00631F97"/>
    <w:rsid w:val="006940A0"/>
    <w:rsid w:val="00695400"/>
    <w:rsid w:val="006C4964"/>
    <w:rsid w:val="006D6187"/>
    <w:rsid w:val="006D7FBA"/>
    <w:rsid w:val="00715BB4"/>
    <w:rsid w:val="00722D9A"/>
    <w:rsid w:val="00734B46"/>
    <w:rsid w:val="00744012"/>
    <w:rsid w:val="00770769"/>
    <w:rsid w:val="007E77F0"/>
    <w:rsid w:val="008109B8"/>
    <w:rsid w:val="00821DD5"/>
    <w:rsid w:val="00826C79"/>
    <w:rsid w:val="008570A5"/>
    <w:rsid w:val="0087058C"/>
    <w:rsid w:val="008A0D58"/>
    <w:rsid w:val="008A2E54"/>
    <w:rsid w:val="008E04A5"/>
    <w:rsid w:val="00950533"/>
    <w:rsid w:val="009853F2"/>
    <w:rsid w:val="00990031"/>
    <w:rsid w:val="009A6024"/>
    <w:rsid w:val="009B5576"/>
    <w:rsid w:val="00A425A8"/>
    <w:rsid w:val="00A537B8"/>
    <w:rsid w:val="00A57F6F"/>
    <w:rsid w:val="00A67D4A"/>
    <w:rsid w:val="00A93AAF"/>
    <w:rsid w:val="00AB556C"/>
    <w:rsid w:val="00AC7E44"/>
    <w:rsid w:val="00AD17EC"/>
    <w:rsid w:val="00AD5396"/>
    <w:rsid w:val="00AE2BAD"/>
    <w:rsid w:val="00B574C7"/>
    <w:rsid w:val="00B64BF3"/>
    <w:rsid w:val="00B67FB9"/>
    <w:rsid w:val="00B7092F"/>
    <w:rsid w:val="00C11F25"/>
    <w:rsid w:val="00C122A7"/>
    <w:rsid w:val="00C42B6D"/>
    <w:rsid w:val="00C65DEF"/>
    <w:rsid w:val="00C66B7D"/>
    <w:rsid w:val="00C67625"/>
    <w:rsid w:val="00C948AD"/>
    <w:rsid w:val="00C95FE5"/>
    <w:rsid w:val="00CA6992"/>
    <w:rsid w:val="00D06610"/>
    <w:rsid w:val="00D30989"/>
    <w:rsid w:val="00D66247"/>
    <w:rsid w:val="00D724A5"/>
    <w:rsid w:val="00DC6E6F"/>
    <w:rsid w:val="00DF2208"/>
    <w:rsid w:val="00DF6D19"/>
    <w:rsid w:val="00E038FC"/>
    <w:rsid w:val="00E56314"/>
    <w:rsid w:val="00E936D2"/>
    <w:rsid w:val="00ED6448"/>
    <w:rsid w:val="00EF2795"/>
    <w:rsid w:val="00F24F00"/>
    <w:rsid w:val="00F261D7"/>
    <w:rsid w:val="00F45327"/>
    <w:rsid w:val="00F93DAB"/>
    <w:rsid w:val="00FA1315"/>
    <w:rsid w:val="00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4CFF56-7FDC-48EE-A4DF-AE4DBB5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4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9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a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rFonts w:eastAsia="Times New Roman"/>
      <w:lang w:eastAsia="zh-CN"/>
    </w:rPr>
  </w:style>
  <w:style w:type="character" w:customStyle="1" w:styleId="ac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ad">
    <w:name w:val="Заголовок"/>
    <w:basedOn w:val="a0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0"/>
    <w:pPr>
      <w:spacing w:after="120"/>
    </w:pPr>
    <w:rPr>
      <w:lang w:val="x-none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0"/>
    <w:pPr>
      <w:suppressLineNumbers/>
    </w:pPr>
    <w:rPr>
      <w:rFonts w:cs="Mangal"/>
    </w:rPr>
  </w:style>
  <w:style w:type="paragraph" w:customStyle="1" w:styleId="50">
    <w:name w:val="Название объекта5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0"/>
    <w:pPr>
      <w:suppressLineNumbers/>
    </w:pPr>
    <w:rPr>
      <w:rFonts w:cs="Mangal"/>
    </w:rPr>
  </w:style>
  <w:style w:type="paragraph" w:customStyle="1" w:styleId="40">
    <w:name w:val="Название объекта4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0"/>
    <w:pPr>
      <w:suppressLineNumbers/>
    </w:pPr>
    <w:rPr>
      <w:rFonts w:cs="Mangal"/>
    </w:rPr>
  </w:style>
  <w:style w:type="paragraph" w:customStyle="1" w:styleId="30">
    <w:name w:val="Название объекта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0">
    <w:name w:val="Название объекта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0"/>
    <w:pPr>
      <w:suppressLineNumbers/>
    </w:pPr>
    <w:rPr>
      <w:rFonts w:cs="Mangal"/>
    </w:rPr>
  </w:style>
  <w:style w:type="paragraph" w:customStyle="1" w:styleId="Style1">
    <w:name w:val="Style1"/>
    <w:basedOn w:val="a0"/>
    <w:pPr>
      <w:spacing w:line="269" w:lineRule="exact"/>
      <w:ind w:firstLine="662"/>
    </w:pPr>
  </w:style>
  <w:style w:type="paragraph" w:customStyle="1" w:styleId="Style3">
    <w:name w:val="Style3"/>
    <w:basedOn w:val="a0"/>
    <w:pPr>
      <w:spacing w:line="268" w:lineRule="exact"/>
      <w:ind w:firstLine="552"/>
      <w:jc w:val="both"/>
    </w:pPr>
  </w:style>
  <w:style w:type="paragraph" w:customStyle="1" w:styleId="Style4">
    <w:name w:val="Style4"/>
    <w:basedOn w:val="a0"/>
    <w:pPr>
      <w:spacing w:line="269" w:lineRule="exact"/>
      <w:ind w:firstLine="542"/>
      <w:jc w:val="both"/>
    </w:pPr>
  </w:style>
  <w:style w:type="paragraph" w:customStyle="1" w:styleId="Style5">
    <w:name w:val="Style5"/>
    <w:basedOn w:val="a0"/>
    <w:pPr>
      <w:spacing w:line="269" w:lineRule="exact"/>
      <w:jc w:val="right"/>
    </w:pPr>
  </w:style>
  <w:style w:type="paragraph" w:styleId="af1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  <w:pPr>
      <w:spacing w:line="274" w:lineRule="exact"/>
      <w:ind w:hanging="2035"/>
    </w:pPr>
  </w:style>
  <w:style w:type="paragraph" w:customStyle="1" w:styleId="Style9">
    <w:name w:val="Style9"/>
    <w:basedOn w:val="a0"/>
    <w:pPr>
      <w:spacing w:line="228" w:lineRule="exact"/>
    </w:pPr>
  </w:style>
  <w:style w:type="paragraph" w:customStyle="1" w:styleId="Style10">
    <w:name w:val="Style10"/>
    <w:basedOn w:val="a0"/>
    <w:pPr>
      <w:spacing w:line="269" w:lineRule="exact"/>
      <w:ind w:hanging="346"/>
    </w:pPr>
  </w:style>
  <w:style w:type="paragraph" w:customStyle="1" w:styleId="Style11">
    <w:name w:val="Style11"/>
    <w:basedOn w:val="a0"/>
  </w:style>
  <w:style w:type="paragraph" w:customStyle="1" w:styleId="Style13">
    <w:name w:val="Style13"/>
    <w:basedOn w:val="a0"/>
  </w:style>
  <w:style w:type="paragraph" w:customStyle="1" w:styleId="Style15">
    <w:name w:val="Style15"/>
    <w:basedOn w:val="a0"/>
    <w:pPr>
      <w:spacing w:line="227" w:lineRule="exact"/>
    </w:pPr>
  </w:style>
  <w:style w:type="paragraph" w:customStyle="1" w:styleId="Style16">
    <w:name w:val="Style16"/>
    <w:basedOn w:val="a0"/>
    <w:pPr>
      <w:spacing w:line="226" w:lineRule="exact"/>
      <w:jc w:val="both"/>
    </w:pPr>
  </w:style>
  <w:style w:type="paragraph" w:customStyle="1" w:styleId="Style23">
    <w:name w:val="Style23"/>
    <w:basedOn w:val="a0"/>
    <w:pPr>
      <w:spacing w:line="269" w:lineRule="exact"/>
      <w:jc w:val="center"/>
    </w:pPr>
  </w:style>
  <w:style w:type="paragraph" w:customStyle="1" w:styleId="Style24">
    <w:name w:val="Style24"/>
    <w:basedOn w:val="a0"/>
    <w:pPr>
      <w:spacing w:line="264" w:lineRule="exact"/>
    </w:pPr>
  </w:style>
  <w:style w:type="paragraph" w:customStyle="1" w:styleId="Style25">
    <w:name w:val="Style25"/>
    <w:basedOn w:val="a0"/>
    <w:pPr>
      <w:jc w:val="both"/>
    </w:pPr>
  </w:style>
  <w:style w:type="paragraph" w:customStyle="1" w:styleId="Style26">
    <w:name w:val="Style26"/>
    <w:basedOn w:val="a0"/>
    <w:pPr>
      <w:spacing w:line="269" w:lineRule="exact"/>
      <w:jc w:val="both"/>
    </w:pPr>
  </w:style>
  <w:style w:type="paragraph" w:customStyle="1" w:styleId="Style28">
    <w:name w:val="Style28"/>
    <w:basedOn w:val="a0"/>
    <w:pPr>
      <w:spacing w:line="538" w:lineRule="exact"/>
      <w:ind w:hanging="1138"/>
    </w:pPr>
  </w:style>
  <w:style w:type="paragraph" w:customStyle="1" w:styleId="Style32">
    <w:name w:val="Style32"/>
    <w:basedOn w:val="a0"/>
    <w:pPr>
      <w:spacing w:line="178" w:lineRule="exact"/>
      <w:ind w:firstLine="394"/>
    </w:pPr>
  </w:style>
  <w:style w:type="paragraph" w:customStyle="1" w:styleId="Style2">
    <w:name w:val="Style2"/>
    <w:basedOn w:val="a0"/>
    <w:pPr>
      <w:spacing w:line="269" w:lineRule="exact"/>
      <w:jc w:val="center"/>
    </w:pPr>
  </w:style>
  <w:style w:type="paragraph" w:customStyle="1" w:styleId="Style29">
    <w:name w:val="Style29"/>
    <w:basedOn w:val="a0"/>
    <w:pPr>
      <w:spacing w:line="181" w:lineRule="exact"/>
    </w:pPr>
  </w:style>
  <w:style w:type="paragraph" w:customStyle="1" w:styleId="Style33">
    <w:name w:val="Style33"/>
    <w:basedOn w:val="a0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2">
    <w:name w:val="header"/>
    <w:basedOn w:val="a0"/>
    <w:rPr>
      <w:lang w:val="x-none"/>
    </w:rPr>
  </w:style>
  <w:style w:type="paragraph" w:styleId="af3">
    <w:name w:val="footer"/>
    <w:basedOn w:val="a0"/>
    <w:rPr>
      <w:lang w:val="x-none"/>
    </w:rPr>
  </w:style>
  <w:style w:type="paragraph" w:styleId="af4">
    <w:name w:val="Balloon Text"/>
    <w:basedOn w:val="a0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0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3">
    <w:name w:val="toc 1"/>
    <w:basedOn w:val="a0"/>
    <w:next w:val="a0"/>
    <w:pPr>
      <w:spacing w:after="100"/>
    </w:pPr>
  </w:style>
  <w:style w:type="paragraph" w:styleId="23">
    <w:name w:val="toc 2"/>
    <w:basedOn w:val="a0"/>
    <w:next w:val="a0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0"/>
    <w:next w:val="a0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Mangal"/>
    </w:rPr>
  </w:style>
  <w:style w:type="paragraph" w:customStyle="1" w:styleId="16">
    <w:name w:val="Заголовок таблицы ссылок1"/>
    <w:basedOn w:val="1"/>
    <w:next w:val="a0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5">
    <w:name w:val="Содержимое таблицы"/>
    <w:basedOn w:val="a0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17">
    <w:name w:val="Текст примечания1"/>
    <w:basedOn w:val="a0"/>
    <w:rPr>
      <w:sz w:val="20"/>
      <w:szCs w:val="20"/>
      <w:lang w:val="x-none"/>
    </w:rPr>
  </w:style>
  <w:style w:type="paragraph" w:styleId="af7">
    <w:name w:val="annotation subject"/>
    <w:basedOn w:val="17"/>
    <w:next w:val="17"/>
    <w:rPr>
      <w:b/>
      <w:bCs/>
    </w:rPr>
  </w:style>
  <w:style w:type="paragraph" w:styleId="af8">
    <w:name w:val="List Paragraph"/>
    <w:basedOn w:val="a0"/>
    <w:qFormat/>
    <w:pPr>
      <w:widowControl/>
      <w:suppressAutoHyphens w:val="0"/>
      <w:overflowPunct w:val="0"/>
      <w:ind w:left="720"/>
      <w:contextualSpacing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8A2E5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fa">
    <w:name w:val="Текст сноски Знак"/>
    <w:link w:val="af9"/>
    <w:uiPriority w:val="99"/>
    <w:semiHidden/>
    <w:rsid w:val="008A2E54"/>
    <w:rPr>
      <w:sz w:val="24"/>
      <w:szCs w:val="24"/>
    </w:rPr>
  </w:style>
  <w:style w:type="paragraph" w:styleId="a">
    <w:name w:val="List Bullet"/>
    <w:basedOn w:val="a0"/>
    <w:uiPriority w:val="99"/>
    <w:unhideWhenUsed/>
    <w:rsid w:val="00734B46"/>
    <w:pPr>
      <w:numPr>
        <w:numId w:val="9"/>
      </w:numPr>
      <w:contextualSpacing/>
    </w:pPr>
  </w:style>
  <w:style w:type="character" w:customStyle="1" w:styleId="24">
    <w:name w:val="Основной текст (2)_"/>
    <w:link w:val="25"/>
    <w:rsid w:val="00525CA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525CA3"/>
    <w:pPr>
      <w:shd w:val="clear" w:color="auto" w:fill="FFFFFF"/>
      <w:suppressAutoHyphens w:val="0"/>
      <w:autoSpaceDE/>
      <w:spacing w:before="240" w:line="451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2775-7A74-4940-8A79-62BB7339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4209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28145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Андрей Попков</cp:lastModifiedBy>
  <cp:revision>5</cp:revision>
  <cp:lastPrinted>2019-03-19T04:26:00Z</cp:lastPrinted>
  <dcterms:created xsi:type="dcterms:W3CDTF">2019-10-04T07:11:00Z</dcterms:created>
  <dcterms:modified xsi:type="dcterms:W3CDTF">2019-10-04T09:47:00Z</dcterms:modified>
</cp:coreProperties>
</file>