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70" w:rsidRDefault="00B92D20" w:rsidP="00B92D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615CB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EEE750" wp14:editId="522CD2FC">
            <wp:simplePos x="0" y="0"/>
            <wp:positionH relativeFrom="column">
              <wp:posOffset>2511425</wp:posOffset>
            </wp:positionH>
            <wp:positionV relativeFrom="paragraph">
              <wp:posOffset>-456565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5A3" w:rsidRDefault="00D605A3" w:rsidP="00D605A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2D20" w:rsidRPr="00615CB5" w:rsidRDefault="00BF72B8" w:rsidP="00D605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6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B92D20" w:rsidRPr="00615CB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РАЙОН</w:t>
      </w: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5CB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5C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92D20" w:rsidRPr="00615CB5" w:rsidRDefault="00B92D20" w:rsidP="00D605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20" w:rsidRPr="00615CB5" w:rsidRDefault="004B3DCE" w:rsidP="00D605A3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05A3">
        <w:rPr>
          <w:rFonts w:ascii="Times New Roman" w:hAnsi="Times New Roman"/>
          <w:sz w:val="28"/>
          <w:szCs w:val="28"/>
        </w:rPr>
        <w:t>2</w:t>
      </w:r>
      <w:r w:rsidR="00EB6A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E430E4">
        <w:rPr>
          <w:rFonts w:ascii="Times New Roman" w:hAnsi="Times New Roman"/>
          <w:sz w:val="28"/>
          <w:szCs w:val="28"/>
        </w:rPr>
        <w:t>2</w:t>
      </w:r>
      <w:r w:rsidR="00B92D20" w:rsidRPr="00615CB5">
        <w:rPr>
          <w:rFonts w:ascii="Times New Roman" w:hAnsi="Times New Roman"/>
          <w:sz w:val="28"/>
          <w:szCs w:val="28"/>
        </w:rPr>
        <w:t>.201</w:t>
      </w:r>
      <w:r w:rsidR="00E430E4">
        <w:rPr>
          <w:rFonts w:ascii="Times New Roman" w:hAnsi="Times New Roman"/>
          <w:sz w:val="28"/>
          <w:szCs w:val="28"/>
        </w:rPr>
        <w:t>5</w:t>
      </w:r>
      <w:r w:rsidR="00B92D20" w:rsidRPr="00615CB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2D20" w:rsidRPr="00615CB5">
        <w:rPr>
          <w:rFonts w:ascii="Times New Roman" w:hAnsi="Times New Roman"/>
          <w:sz w:val="28"/>
          <w:szCs w:val="28"/>
        </w:rPr>
        <w:tab/>
      </w:r>
      <w:r w:rsidR="00B92D20" w:rsidRPr="00615CB5">
        <w:rPr>
          <w:rFonts w:ascii="Times New Roman" w:hAnsi="Times New Roman"/>
          <w:sz w:val="28"/>
          <w:szCs w:val="28"/>
        </w:rPr>
        <w:tab/>
        <w:t xml:space="preserve">           </w:t>
      </w:r>
      <w:r w:rsidR="00577552">
        <w:rPr>
          <w:rFonts w:ascii="Times New Roman" w:hAnsi="Times New Roman"/>
          <w:sz w:val="28"/>
          <w:szCs w:val="28"/>
        </w:rPr>
        <w:t xml:space="preserve">                            № </w:t>
      </w:r>
      <w:r w:rsidR="00D605A3">
        <w:rPr>
          <w:rFonts w:ascii="Times New Roman" w:hAnsi="Times New Roman"/>
          <w:sz w:val="28"/>
          <w:szCs w:val="28"/>
        </w:rPr>
        <w:t>37</w:t>
      </w:r>
    </w:p>
    <w:p w:rsidR="00B92D20" w:rsidRPr="00615CB5" w:rsidRDefault="00B92D20" w:rsidP="00D605A3">
      <w:pPr>
        <w:pStyle w:val="a5"/>
        <w:jc w:val="left"/>
        <w:rPr>
          <w:rFonts w:ascii="Times New Roman" w:hAnsi="Times New Roman"/>
          <w:b/>
          <w:sz w:val="24"/>
          <w:szCs w:val="24"/>
        </w:rPr>
      </w:pPr>
      <w:r w:rsidRPr="00615CB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92D20" w:rsidRDefault="00B92D2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46E3" w:rsidRPr="00577552" w:rsidRDefault="002F46E3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577552" w:rsidRDefault="00DE377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О мерах по реализации решения</w:t>
      </w:r>
    </w:p>
    <w:p w:rsidR="00DE3770" w:rsidRPr="00577552" w:rsidRDefault="00DE377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605A3" w:rsidRDefault="00D605A3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декабря 2014 года № 407</w:t>
      </w:r>
    </w:p>
    <w:p w:rsidR="00971582" w:rsidRDefault="00971582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7552">
        <w:rPr>
          <w:rFonts w:ascii="Times New Roman" w:hAnsi="Times New Roman"/>
          <w:sz w:val="28"/>
          <w:szCs w:val="28"/>
        </w:rPr>
        <w:t>О бюджете Ханты-Мансийского</w:t>
      </w:r>
    </w:p>
    <w:p w:rsidR="00971582" w:rsidRDefault="00971582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55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577552">
        <w:rPr>
          <w:rFonts w:ascii="Times New Roman" w:hAnsi="Times New Roman"/>
          <w:sz w:val="28"/>
          <w:szCs w:val="28"/>
        </w:rPr>
        <w:t xml:space="preserve"> год и плановый</w:t>
      </w:r>
    </w:p>
    <w:p w:rsidR="00DE3770" w:rsidRPr="00577552" w:rsidRDefault="00971582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период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775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55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годов»</w:t>
      </w:r>
    </w:p>
    <w:p w:rsidR="00DE3770" w:rsidRPr="00577552" w:rsidRDefault="00DE377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577552" w:rsidRDefault="00DE377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577552" w:rsidRDefault="00D605A3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BC6" w:rsidRPr="00577552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10" w:history="1">
        <w:r w:rsidR="00205BC6" w:rsidRPr="00577552">
          <w:rPr>
            <w:rFonts w:ascii="Times New Roman" w:hAnsi="Times New Roman"/>
            <w:sz w:val="28"/>
            <w:szCs w:val="28"/>
          </w:rPr>
          <w:t>решения</w:t>
        </w:r>
      </w:hyperlink>
      <w:r w:rsidR="00205BC6" w:rsidRPr="00577552">
        <w:rPr>
          <w:rFonts w:ascii="Times New Roman" w:hAnsi="Times New Roman"/>
          <w:sz w:val="28"/>
          <w:szCs w:val="28"/>
        </w:rPr>
        <w:t xml:space="preserve"> Дум</w:t>
      </w:r>
      <w:r w:rsidR="00A066D5" w:rsidRPr="00577552">
        <w:rPr>
          <w:rFonts w:ascii="Times New Roman" w:hAnsi="Times New Roman"/>
          <w:sz w:val="28"/>
          <w:szCs w:val="28"/>
        </w:rPr>
        <w:t xml:space="preserve">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15E2D" w:rsidRPr="00577552">
        <w:rPr>
          <w:rFonts w:ascii="Times New Roman" w:hAnsi="Times New Roman"/>
          <w:sz w:val="28"/>
          <w:szCs w:val="28"/>
        </w:rPr>
        <w:t xml:space="preserve">от </w:t>
      </w:r>
      <w:r w:rsidR="004B3DCE">
        <w:rPr>
          <w:rFonts w:ascii="Times New Roman" w:hAnsi="Times New Roman"/>
          <w:sz w:val="28"/>
          <w:szCs w:val="28"/>
        </w:rPr>
        <w:t>18</w:t>
      </w:r>
      <w:r w:rsidR="00205BC6" w:rsidRPr="00577552">
        <w:rPr>
          <w:rFonts w:ascii="Times New Roman" w:hAnsi="Times New Roman"/>
          <w:sz w:val="28"/>
          <w:szCs w:val="28"/>
        </w:rPr>
        <w:t xml:space="preserve"> </w:t>
      </w:r>
      <w:r w:rsidR="00E15E2D" w:rsidRPr="00577552">
        <w:rPr>
          <w:rFonts w:ascii="Times New Roman" w:hAnsi="Times New Roman"/>
          <w:sz w:val="28"/>
          <w:szCs w:val="28"/>
        </w:rPr>
        <w:t>дека</w:t>
      </w:r>
      <w:r w:rsidR="00A066D5" w:rsidRPr="00577552">
        <w:rPr>
          <w:rFonts w:ascii="Times New Roman" w:hAnsi="Times New Roman"/>
          <w:sz w:val="28"/>
          <w:szCs w:val="28"/>
        </w:rPr>
        <w:t xml:space="preserve">бря </w:t>
      </w:r>
      <w:r w:rsidR="00205BC6" w:rsidRPr="00577552">
        <w:rPr>
          <w:rFonts w:ascii="Times New Roman" w:hAnsi="Times New Roman"/>
          <w:sz w:val="28"/>
          <w:szCs w:val="28"/>
        </w:rPr>
        <w:t>201</w:t>
      </w:r>
      <w:r w:rsidR="004B3DCE">
        <w:rPr>
          <w:rFonts w:ascii="Times New Roman" w:hAnsi="Times New Roman"/>
          <w:sz w:val="28"/>
          <w:szCs w:val="28"/>
        </w:rPr>
        <w:t>4</w:t>
      </w:r>
      <w:r w:rsidR="00205BC6" w:rsidRPr="00577552">
        <w:rPr>
          <w:rFonts w:ascii="Times New Roman" w:hAnsi="Times New Roman"/>
          <w:sz w:val="28"/>
          <w:szCs w:val="28"/>
        </w:rPr>
        <w:t xml:space="preserve"> года </w:t>
      </w:r>
      <w:r w:rsidR="00A066D5" w:rsidRPr="00577552">
        <w:rPr>
          <w:rFonts w:ascii="Times New Roman" w:hAnsi="Times New Roman"/>
          <w:sz w:val="28"/>
          <w:szCs w:val="28"/>
        </w:rPr>
        <w:t>№</w:t>
      </w:r>
      <w:r w:rsidR="00035112" w:rsidRPr="00577552">
        <w:rPr>
          <w:rFonts w:ascii="Times New Roman" w:hAnsi="Times New Roman"/>
          <w:sz w:val="28"/>
          <w:szCs w:val="28"/>
        </w:rPr>
        <w:t xml:space="preserve"> </w:t>
      </w:r>
      <w:r w:rsidR="004B3DCE">
        <w:rPr>
          <w:rFonts w:ascii="Times New Roman" w:hAnsi="Times New Roman"/>
          <w:sz w:val="28"/>
          <w:szCs w:val="28"/>
        </w:rPr>
        <w:t>407</w:t>
      </w:r>
      <w:r w:rsidR="00A066D5" w:rsidRPr="00577552">
        <w:rPr>
          <w:rFonts w:ascii="Times New Roman" w:hAnsi="Times New Roman"/>
          <w:sz w:val="28"/>
          <w:szCs w:val="28"/>
        </w:rPr>
        <w:t xml:space="preserve"> </w:t>
      </w:r>
      <w:r w:rsidR="00577552">
        <w:rPr>
          <w:rFonts w:ascii="Times New Roman" w:hAnsi="Times New Roman"/>
          <w:sz w:val="28"/>
          <w:szCs w:val="28"/>
        </w:rPr>
        <w:t>«</w:t>
      </w:r>
      <w:r w:rsidR="00205BC6" w:rsidRPr="00577552">
        <w:rPr>
          <w:rFonts w:ascii="Times New Roman" w:hAnsi="Times New Roman"/>
          <w:sz w:val="28"/>
          <w:szCs w:val="28"/>
        </w:rPr>
        <w:t xml:space="preserve">О бюджете </w:t>
      </w:r>
      <w:r w:rsidR="00A066D5" w:rsidRPr="00577552">
        <w:rPr>
          <w:rFonts w:ascii="Times New Roman" w:hAnsi="Times New Roman"/>
          <w:sz w:val="28"/>
          <w:szCs w:val="28"/>
        </w:rPr>
        <w:t>Ханты-Мансийского района</w:t>
      </w:r>
      <w:r w:rsidR="00DE3770" w:rsidRPr="0057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66D5" w:rsidRPr="00577552">
        <w:rPr>
          <w:rFonts w:ascii="Times New Roman" w:hAnsi="Times New Roman"/>
          <w:sz w:val="28"/>
          <w:szCs w:val="28"/>
        </w:rPr>
        <w:t>на 201</w:t>
      </w:r>
      <w:r w:rsidR="004B3DCE">
        <w:rPr>
          <w:rFonts w:ascii="Times New Roman" w:hAnsi="Times New Roman"/>
          <w:sz w:val="28"/>
          <w:szCs w:val="28"/>
        </w:rPr>
        <w:t>5</w:t>
      </w:r>
      <w:r w:rsidR="00205BC6" w:rsidRPr="00577552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4B3DCE">
        <w:rPr>
          <w:rFonts w:ascii="Times New Roman" w:hAnsi="Times New Roman"/>
          <w:sz w:val="28"/>
          <w:szCs w:val="28"/>
        </w:rPr>
        <w:t>6</w:t>
      </w:r>
      <w:r w:rsidR="00205BC6" w:rsidRPr="00577552">
        <w:rPr>
          <w:rFonts w:ascii="Times New Roman" w:hAnsi="Times New Roman"/>
          <w:sz w:val="28"/>
          <w:szCs w:val="28"/>
        </w:rPr>
        <w:t xml:space="preserve"> и 201</w:t>
      </w:r>
      <w:r w:rsidR="004B3DCE">
        <w:rPr>
          <w:rFonts w:ascii="Times New Roman" w:hAnsi="Times New Roman"/>
          <w:sz w:val="28"/>
          <w:szCs w:val="28"/>
        </w:rPr>
        <w:t>7</w:t>
      </w:r>
      <w:r w:rsidR="00577552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(далее – решение Думы района от 18 декабря 2014 года № 407):</w:t>
      </w:r>
    </w:p>
    <w:p w:rsidR="00DE3770" w:rsidRPr="00577552" w:rsidRDefault="00DE3770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703A" w:rsidRDefault="00D605A3" w:rsidP="00D605A3">
      <w:pPr>
        <w:pStyle w:val="a5"/>
        <w:ind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05BC6" w:rsidRPr="00577552">
        <w:rPr>
          <w:rFonts w:ascii="Times New Roman" w:hAnsi="Times New Roman"/>
          <w:sz w:val="28"/>
          <w:szCs w:val="28"/>
        </w:rPr>
        <w:t>Принять</w:t>
      </w:r>
      <w:r w:rsidR="00DE3770" w:rsidRPr="0057755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>к</w:t>
      </w:r>
      <w:r w:rsidR="00DE3770" w:rsidRPr="0057755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 xml:space="preserve">исполнению </w:t>
      </w:r>
      <w:hyperlink r:id="rId11" w:history="1">
        <w:r w:rsidR="00205BC6" w:rsidRPr="00577552">
          <w:rPr>
            <w:rFonts w:ascii="Times New Roman" w:hAnsi="Times New Roman"/>
            <w:sz w:val="28"/>
            <w:szCs w:val="28"/>
          </w:rPr>
          <w:t>бюджет</w:t>
        </w:r>
      </w:hyperlink>
      <w:r w:rsidR="00205BC6" w:rsidRPr="00577552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DE3770" w:rsidRPr="0057755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 xml:space="preserve">района </w:t>
      </w:r>
      <w:r w:rsidR="009E0BBD">
        <w:rPr>
          <w:rFonts w:ascii="Times New Roman" w:hAnsi="Times New Roman"/>
          <w:sz w:val="28"/>
          <w:szCs w:val="28"/>
        </w:rPr>
        <w:t xml:space="preserve">                 </w:t>
      </w:r>
      <w:r w:rsidR="00205BC6" w:rsidRPr="00577552">
        <w:rPr>
          <w:rFonts w:ascii="Times New Roman" w:hAnsi="Times New Roman"/>
          <w:sz w:val="28"/>
          <w:szCs w:val="28"/>
        </w:rPr>
        <w:t>на 201</w:t>
      </w:r>
      <w:r w:rsidR="004B3DCE">
        <w:rPr>
          <w:rFonts w:ascii="Times New Roman" w:hAnsi="Times New Roman"/>
          <w:sz w:val="28"/>
          <w:szCs w:val="28"/>
        </w:rPr>
        <w:t>5</w:t>
      </w:r>
      <w:r w:rsidR="00205BC6" w:rsidRPr="00577552">
        <w:rPr>
          <w:rFonts w:ascii="Times New Roman" w:hAnsi="Times New Roman"/>
          <w:sz w:val="28"/>
          <w:szCs w:val="28"/>
        </w:rPr>
        <w:t xml:space="preserve"> год </w:t>
      </w:r>
      <w:r w:rsidR="00205BC6" w:rsidRPr="00646E90">
        <w:rPr>
          <w:rFonts w:ascii="Times New Roman" w:hAnsi="Times New Roman"/>
          <w:sz w:val="28"/>
          <w:szCs w:val="28"/>
        </w:rPr>
        <w:t>и на плановый период 201</w:t>
      </w:r>
      <w:r w:rsidR="004B3DCE" w:rsidRPr="00646E90">
        <w:rPr>
          <w:rFonts w:ascii="Times New Roman" w:hAnsi="Times New Roman"/>
          <w:sz w:val="28"/>
          <w:szCs w:val="28"/>
        </w:rPr>
        <w:t>6</w:t>
      </w:r>
      <w:r w:rsidR="00205BC6" w:rsidRPr="00646E90">
        <w:rPr>
          <w:rFonts w:ascii="Times New Roman" w:hAnsi="Times New Roman"/>
          <w:sz w:val="28"/>
          <w:szCs w:val="28"/>
        </w:rPr>
        <w:t xml:space="preserve"> и 201</w:t>
      </w:r>
      <w:r w:rsidR="004B3DCE" w:rsidRPr="00646E90">
        <w:rPr>
          <w:rFonts w:ascii="Times New Roman" w:hAnsi="Times New Roman"/>
          <w:sz w:val="28"/>
          <w:szCs w:val="28"/>
        </w:rPr>
        <w:t>7</w:t>
      </w:r>
      <w:r w:rsidR="00205BC6" w:rsidRPr="00646E90">
        <w:rPr>
          <w:rFonts w:ascii="Times New Roman" w:hAnsi="Times New Roman"/>
          <w:sz w:val="28"/>
          <w:szCs w:val="28"/>
        </w:rPr>
        <w:t xml:space="preserve"> годов (далее </w:t>
      </w:r>
      <w:r w:rsidR="00DE3770" w:rsidRPr="00646E90">
        <w:rPr>
          <w:rFonts w:ascii="Times New Roman" w:hAnsi="Times New Roman"/>
          <w:sz w:val="28"/>
          <w:szCs w:val="28"/>
        </w:rPr>
        <w:t>–</w:t>
      </w:r>
      <w:r w:rsidR="00205BC6" w:rsidRPr="00646E90">
        <w:rPr>
          <w:rFonts w:ascii="Times New Roman" w:hAnsi="Times New Roman"/>
          <w:sz w:val="28"/>
          <w:szCs w:val="28"/>
        </w:rPr>
        <w:t xml:space="preserve"> бюджет района).</w:t>
      </w:r>
    </w:p>
    <w:p w:rsidR="007A703A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7E9E" w:rsidRPr="007A703A">
        <w:rPr>
          <w:rFonts w:ascii="Times New Roman" w:hAnsi="Times New Roman"/>
          <w:sz w:val="28"/>
          <w:szCs w:val="28"/>
        </w:rPr>
        <w:t>Утвердить план мероприятий по росту доходов</w:t>
      </w:r>
      <w:r w:rsidR="00A21A0E" w:rsidRPr="007A703A">
        <w:rPr>
          <w:rFonts w:ascii="Times New Roman" w:hAnsi="Times New Roman"/>
          <w:sz w:val="28"/>
          <w:szCs w:val="28"/>
        </w:rPr>
        <w:t>,</w:t>
      </w:r>
      <w:r w:rsidR="00107E9E" w:rsidRPr="007A703A">
        <w:rPr>
          <w:rFonts w:ascii="Times New Roman" w:hAnsi="Times New Roman"/>
          <w:sz w:val="28"/>
          <w:szCs w:val="28"/>
        </w:rPr>
        <w:t xml:space="preserve"> оптимизации расходов бюджета </w:t>
      </w:r>
      <w:r w:rsidR="00A21A0E" w:rsidRPr="007A703A">
        <w:rPr>
          <w:rFonts w:ascii="Times New Roman" w:hAnsi="Times New Roman"/>
          <w:sz w:val="28"/>
          <w:szCs w:val="28"/>
        </w:rPr>
        <w:t xml:space="preserve">и сокращению </w:t>
      </w:r>
      <w:r w:rsidR="00952AB5" w:rsidRPr="007A703A">
        <w:rPr>
          <w:rFonts w:ascii="Times New Roman" w:hAnsi="Times New Roman"/>
          <w:sz w:val="28"/>
          <w:szCs w:val="28"/>
        </w:rPr>
        <w:t>муниципального</w:t>
      </w:r>
      <w:r w:rsidR="00A21A0E" w:rsidRPr="007A703A">
        <w:rPr>
          <w:rFonts w:ascii="Times New Roman" w:hAnsi="Times New Roman"/>
          <w:sz w:val="28"/>
          <w:szCs w:val="28"/>
        </w:rPr>
        <w:t xml:space="preserve"> долга </w:t>
      </w:r>
      <w:r w:rsidR="00107E9E" w:rsidRPr="007A703A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EF2C34" w:rsidRPr="007A703A">
        <w:rPr>
          <w:rFonts w:ascii="Times New Roman" w:hAnsi="Times New Roman"/>
          <w:sz w:val="28"/>
          <w:szCs w:val="28"/>
        </w:rPr>
        <w:t>района</w:t>
      </w:r>
      <w:r w:rsidR="00577552" w:rsidRPr="007A703A">
        <w:rPr>
          <w:rFonts w:ascii="Times New Roman" w:hAnsi="Times New Roman"/>
          <w:sz w:val="28"/>
          <w:szCs w:val="28"/>
        </w:rPr>
        <w:t xml:space="preserve"> (далее также</w:t>
      </w:r>
      <w:r w:rsidR="00EF2C34" w:rsidRPr="007A703A">
        <w:rPr>
          <w:rFonts w:ascii="Times New Roman" w:hAnsi="Times New Roman"/>
          <w:sz w:val="28"/>
          <w:szCs w:val="28"/>
        </w:rPr>
        <w:t xml:space="preserve"> </w:t>
      </w:r>
      <w:r w:rsidR="00577552" w:rsidRPr="007A703A">
        <w:rPr>
          <w:rFonts w:ascii="Times New Roman" w:hAnsi="Times New Roman"/>
          <w:sz w:val="28"/>
          <w:szCs w:val="28"/>
        </w:rPr>
        <w:t>–</w:t>
      </w:r>
      <w:r w:rsidR="00EF2C34" w:rsidRPr="007A703A">
        <w:rPr>
          <w:rFonts w:ascii="Times New Roman" w:hAnsi="Times New Roman"/>
          <w:sz w:val="28"/>
          <w:szCs w:val="28"/>
        </w:rPr>
        <w:t xml:space="preserve"> район</w:t>
      </w:r>
      <w:r w:rsidR="00107E9E" w:rsidRPr="007A703A">
        <w:rPr>
          <w:rFonts w:ascii="Times New Roman" w:hAnsi="Times New Roman"/>
          <w:sz w:val="28"/>
          <w:szCs w:val="28"/>
        </w:rPr>
        <w:t>)</w:t>
      </w:r>
      <w:r w:rsidR="00577552" w:rsidRPr="007A703A">
        <w:rPr>
          <w:rFonts w:ascii="Times New Roman" w:hAnsi="Times New Roman"/>
          <w:sz w:val="28"/>
          <w:szCs w:val="28"/>
        </w:rPr>
        <w:t xml:space="preserve"> </w:t>
      </w:r>
      <w:r w:rsidR="00107E9E" w:rsidRPr="007A703A">
        <w:rPr>
          <w:rFonts w:ascii="Times New Roman" w:hAnsi="Times New Roman"/>
          <w:sz w:val="28"/>
          <w:szCs w:val="28"/>
        </w:rPr>
        <w:t>на 201</w:t>
      </w:r>
      <w:r w:rsidR="004B3DCE" w:rsidRPr="007A703A">
        <w:rPr>
          <w:rFonts w:ascii="Times New Roman" w:hAnsi="Times New Roman"/>
          <w:sz w:val="28"/>
          <w:szCs w:val="28"/>
        </w:rPr>
        <w:t>5</w:t>
      </w:r>
      <w:r w:rsidR="00107E9E" w:rsidRPr="007A703A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4B3DCE" w:rsidRPr="007A703A">
        <w:rPr>
          <w:rFonts w:ascii="Times New Roman" w:hAnsi="Times New Roman"/>
          <w:sz w:val="28"/>
          <w:szCs w:val="28"/>
        </w:rPr>
        <w:t xml:space="preserve"> 2016 и 2017</w:t>
      </w:r>
      <w:r>
        <w:rPr>
          <w:rFonts w:ascii="Times New Roman" w:hAnsi="Times New Roman"/>
          <w:sz w:val="28"/>
          <w:szCs w:val="28"/>
        </w:rPr>
        <w:t xml:space="preserve"> годов (далее – План мероприятий</w:t>
      </w:r>
      <w:r w:rsidR="001C54C4" w:rsidRPr="007A7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A214A" w:rsidRPr="007A703A">
        <w:rPr>
          <w:rFonts w:ascii="Times New Roman" w:hAnsi="Times New Roman"/>
          <w:sz w:val="28"/>
          <w:szCs w:val="28"/>
        </w:rPr>
        <w:t>.</w:t>
      </w:r>
    </w:p>
    <w:p w:rsidR="00426CDB" w:rsidRPr="00521541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F0B1A">
        <w:rPr>
          <w:rFonts w:ascii="Times New Roman" w:hAnsi="Times New Roman"/>
          <w:sz w:val="28"/>
          <w:szCs w:val="28"/>
        </w:rPr>
        <w:t>Органам местного самоуправления Ханты-Мансийского района ежеквартально, до 5 числа месяца, следующего за отчётным кварталом, предоставлять в комитет по финансам</w:t>
      </w:r>
      <w:r w:rsidR="00DD7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D7E65">
        <w:rPr>
          <w:rFonts w:ascii="Times New Roman" w:hAnsi="Times New Roman"/>
          <w:sz w:val="28"/>
          <w:szCs w:val="28"/>
        </w:rPr>
        <w:t>Ханты-</w:t>
      </w:r>
      <w:r w:rsidR="009B19FB">
        <w:rPr>
          <w:rFonts w:ascii="Times New Roman" w:hAnsi="Times New Roman"/>
          <w:sz w:val="28"/>
          <w:szCs w:val="28"/>
        </w:rPr>
        <w:t>М</w:t>
      </w:r>
      <w:r w:rsidR="00DD7E65">
        <w:rPr>
          <w:rFonts w:ascii="Times New Roman" w:hAnsi="Times New Roman"/>
          <w:sz w:val="28"/>
          <w:szCs w:val="28"/>
        </w:rPr>
        <w:t>ансийского района</w:t>
      </w:r>
      <w:r w:rsidR="00A40F80">
        <w:rPr>
          <w:rFonts w:ascii="Times New Roman" w:hAnsi="Times New Roman"/>
          <w:sz w:val="28"/>
          <w:szCs w:val="28"/>
        </w:rPr>
        <w:t xml:space="preserve"> информацию о выполнении </w:t>
      </w:r>
      <w:r>
        <w:rPr>
          <w:rFonts w:ascii="Times New Roman" w:hAnsi="Times New Roman"/>
          <w:sz w:val="28"/>
          <w:szCs w:val="28"/>
        </w:rPr>
        <w:t>П</w:t>
      </w:r>
      <w:r w:rsidR="00A40F80">
        <w:rPr>
          <w:rFonts w:ascii="Times New Roman" w:hAnsi="Times New Roman"/>
          <w:sz w:val="28"/>
          <w:szCs w:val="28"/>
        </w:rPr>
        <w:t xml:space="preserve">лана </w:t>
      </w:r>
      <w:r w:rsidR="00A40F80" w:rsidRPr="00521541">
        <w:rPr>
          <w:rFonts w:ascii="Times New Roman" w:hAnsi="Times New Roman"/>
          <w:sz w:val="28"/>
          <w:szCs w:val="28"/>
        </w:rPr>
        <w:t xml:space="preserve">мероприятий </w:t>
      </w:r>
      <w:r w:rsidR="0052154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21541">
        <w:rPr>
          <w:rFonts w:ascii="Times New Roman" w:hAnsi="Times New Roman"/>
          <w:sz w:val="28"/>
          <w:szCs w:val="28"/>
        </w:rPr>
        <w:t>с приложением к настоящему постановлению.</w:t>
      </w:r>
    </w:p>
    <w:p w:rsidR="00DE3770" w:rsidRPr="007A703A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</w:t>
      </w:r>
      <w:r w:rsidRPr="007A703A">
        <w:rPr>
          <w:rFonts w:ascii="Times New Roman" w:hAnsi="Times New Roman"/>
          <w:sz w:val="28"/>
          <w:szCs w:val="28"/>
        </w:rPr>
        <w:t xml:space="preserve">лавным администраторам доходов бюджета </w:t>
      </w:r>
      <w:r>
        <w:rPr>
          <w:rFonts w:ascii="Times New Roman" w:hAnsi="Times New Roman"/>
          <w:sz w:val="28"/>
          <w:szCs w:val="28"/>
        </w:rPr>
        <w:t>района в</w:t>
      </w:r>
      <w:r w:rsidR="00DE3770" w:rsidRPr="007A703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целях повышения уровня</w:t>
      </w:r>
      <w:r w:rsidR="00DE3770" w:rsidRPr="007A703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администрирования</w:t>
      </w:r>
      <w:r w:rsidR="00DE3770" w:rsidRPr="007A703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доходов</w:t>
      </w:r>
      <w:r w:rsidR="00D51B57" w:rsidRPr="007A703A">
        <w:rPr>
          <w:rFonts w:ascii="Times New Roman" w:hAnsi="Times New Roman"/>
          <w:sz w:val="28"/>
          <w:szCs w:val="28"/>
        </w:rPr>
        <w:t xml:space="preserve"> при исполнении бюджета района</w:t>
      </w:r>
      <w:r w:rsidR="00162B04" w:rsidRPr="007A703A">
        <w:rPr>
          <w:rFonts w:ascii="Times New Roman" w:hAnsi="Times New Roman"/>
          <w:sz w:val="28"/>
          <w:szCs w:val="28"/>
        </w:rPr>
        <w:t>, а также в целях оперативного формирования ожидаемой оценки поступления доходов в бюджет</w:t>
      </w:r>
      <w:r w:rsidR="00577552" w:rsidRPr="007A703A">
        <w:rPr>
          <w:rFonts w:ascii="Times New Roman" w:hAnsi="Times New Roman"/>
          <w:sz w:val="28"/>
          <w:szCs w:val="28"/>
        </w:rPr>
        <w:t xml:space="preserve"> района</w:t>
      </w:r>
      <w:r w:rsidR="002B755C" w:rsidRPr="007A703A">
        <w:rPr>
          <w:rFonts w:ascii="Times New Roman" w:hAnsi="Times New Roman"/>
          <w:sz w:val="28"/>
          <w:szCs w:val="28"/>
        </w:rPr>
        <w:t xml:space="preserve"> </w:t>
      </w:r>
      <w:r w:rsidR="00024239" w:rsidRPr="007A703A">
        <w:rPr>
          <w:rFonts w:ascii="Times New Roman" w:hAnsi="Times New Roman"/>
          <w:sz w:val="28"/>
          <w:szCs w:val="28"/>
        </w:rPr>
        <w:t>представлять в к</w:t>
      </w:r>
      <w:r w:rsidR="000D06D3" w:rsidRPr="007A703A">
        <w:rPr>
          <w:rFonts w:ascii="Times New Roman" w:hAnsi="Times New Roman"/>
          <w:sz w:val="28"/>
          <w:szCs w:val="28"/>
        </w:rPr>
        <w:t xml:space="preserve">омитет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D06D3" w:rsidRPr="007A703A">
        <w:rPr>
          <w:rFonts w:ascii="Times New Roman" w:hAnsi="Times New Roman"/>
          <w:sz w:val="28"/>
          <w:szCs w:val="28"/>
        </w:rPr>
        <w:t>по финансам администрации Ханты-Мансийского района</w:t>
      </w:r>
      <w:r w:rsidR="00205BC6" w:rsidRPr="007A703A">
        <w:rPr>
          <w:rFonts w:ascii="Times New Roman" w:hAnsi="Times New Roman"/>
          <w:sz w:val="28"/>
          <w:szCs w:val="28"/>
        </w:rPr>
        <w:t>:</w:t>
      </w:r>
    </w:p>
    <w:p w:rsidR="00706F57" w:rsidRDefault="00D605A3" w:rsidP="00D605A3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1728BE" w:rsidRPr="00360124">
        <w:rPr>
          <w:rFonts w:ascii="Times New Roman" w:hAnsi="Times New Roman"/>
          <w:sz w:val="28"/>
          <w:szCs w:val="28"/>
        </w:rPr>
        <w:t>Е</w:t>
      </w:r>
      <w:r w:rsidR="00EA3FD5" w:rsidRPr="00360124">
        <w:rPr>
          <w:rFonts w:ascii="Times New Roman" w:hAnsi="Times New Roman"/>
          <w:sz w:val="28"/>
          <w:szCs w:val="28"/>
        </w:rPr>
        <w:t>жемесячно, до 15-го числа месяца, следующего за отчетным месяцем, ожидаемую оценку поступлений доходов в 201</w:t>
      </w:r>
      <w:r w:rsidR="00A21A0E" w:rsidRPr="00360124">
        <w:rPr>
          <w:rFonts w:ascii="Times New Roman" w:hAnsi="Times New Roman"/>
          <w:sz w:val="28"/>
          <w:szCs w:val="28"/>
        </w:rPr>
        <w:t>5</w:t>
      </w:r>
      <w:r w:rsidR="00EA3FD5" w:rsidRPr="00360124">
        <w:rPr>
          <w:rFonts w:ascii="Times New Roman" w:hAnsi="Times New Roman"/>
          <w:sz w:val="28"/>
          <w:szCs w:val="28"/>
        </w:rPr>
        <w:t xml:space="preserve"> году с разбивкой по месяцам с учетом фактического </w:t>
      </w:r>
      <w:r w:rsidR="001728BE" w:rsidRPr="00360124">
        <w:rPr>
          <w:rFonts w:ascii="Times New Roman" w:hAnsi="Times New Roman"/>
          <w:sz w:val="28"/>
          <w:szCs w:val="28"/>
        </w:rPr>
        <w:t>поступления за истекший период.</w:t>
      </w:r>
    </w:p>
    <w:p w:rsidR="00FC00A3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1728BE" w:rsidRPr="00706F57">
        <w:rPr>
          <w:rFonts w:ascii="Times New Roman" w:hAnsi="Times New Roman"/>
          <w:sz w:val="28"/>
          <w:szCs w:val="28"/>
        </w:rPr>
        <w:t>Е</w:t>
      </w:r>
      <w:r w:rsidR="00EA3FD5" w:rsidRPr="00706F57">
        <w:rPr>
          <w:rFonts w:ascii="Times New Roman" w:hAnsi="Times New Roman"/>
          <w:sz w:val="28"/>
          <w:szCs w:val="28"/>
        </w:rPr>
        <w:t>жеквартально, до 15-го числа месяца, следующего за отчетным кварталом, информацию</w:t>
      </w:r>
      <w:r w:rsidR="00FC00A3">
        <w:rPr>
          <w:rFonts w:ascii="Times New Roman" w:hAnsi="Times New Roman"/>
          <w:sz w:val="28"/>
          <w:szCs w:val="28"/>
        </w:rPr>
        <w:t xml:space="preserve"> </w:t>
      </w:r>
      <w:r w:rsidR="00EA3FD5" w:rsidRPr="00FC00A3">
        <w:rPr>
          <w:rFonts w:ascii="Times New Roman" w:hAnsi="Times New Roman"/>
          <w:sz w:val="28"/>
          <w:szCs w:val="28"/>
        </w:rPr>
        <w:t xml:space="preserve">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доходов, закрепленных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A3FD5" w:rsidRPr="00FC00A3">
        <w:rPr>
          <w:rFonts w:ascii="Times New Roman" w:hAnsi="Times New Roman"/>
          <w:sz w:val="28"/>
          <w:szCs w:val="28"/>
        </w:rPr>
        <w:t xml:space="preserve">за соответствующим администратором доходов бюджета </w:t>
      </w:r>
      <w:r w:rsidR="003177D7" w:rsidRPr="00FC00A3">
        <w:rPr>
          <w:rFonts w:ascii="Times New Roman" w:hAnsi="Times New Roman"/>
          <w:sz w:val="28"/>
          <w:szCs w:val="28"/>
        </w:rPr>
        <w:t>района решением Думы района</w:t>
      </w:r>
      <w:r w:rsidR="001C54C4" w:rsidRPr="00FC00A3">
        <w:rPr>
          <w:rFonts w:ascii="Times New Roman" w:hAnsi="Times New Roman"/>
          <w:sz w:val="28"/>
          <w:szCs w:val="28"/>
        </w:rPr>
        <w:t xml:space="preserve"> </w:t>
      </w:r>
      <w:r w:rsidR="003177D7" w:rsidRPr="00FC00A3">
        <w:rPr>
          <w:rFonts w:ascii="Times New Roman" w:hAnsi="Times New Roman"/>
          <w:sz w:val="28"/>
          <w:szCs w:val="28"/>
        </w:rPr>
        <w:t xml:space="preserve">от </w:t>
      </w:r>
      <w:r w:rsidR="00A21A0E" w:rsidRPr="00FC00A3">
        <w:rPr>
          <w:rFonts w:ascii="Times New Roman" w:hAnsi="Times New Roman"/>
          <w:sz w:val="28"/>
          <w:szCs w:val="28"/>
        </w:rPr>
        <w:t>18 декабря 2014 года № 407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16387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1728BE" w:rsidRPr="00FC00A3">
        <w:rPr>
          <w:rFonts w:ascii="Times New Roman" w:hAnsi="Times New Roman"/>
          <w:sz w:val="28"/>
          <w:szCs w:val="28"/>
        </w:rPr>
        <w:t>Е</w:t>
      </w:r>
      <w:r w:rsidR="00EA3FD5" w:rsidRPr="00FC00A3">
        <w:rPr>
          <w:rFonts w:ascii="Times New Roman" w:hAnsi="Times New Roman"/>
          <w:sz w:val="28"/>
          <w:szCs w:val="28"/>
        </w:rPr>
        <w:t>жегодно, до 20-го числа месяца, следующего за отчетным финансовым годом, аналитическую информацию:</w:t>
      </w:r>
    </w:p>
    <w:p w:rsidR="00216387" w:rsidRDefault="00EA3FD5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AE676D">
        <w:rPr>
          <w:rFonts w:ascii="Times New Roman" w:hAnsi="Times New Roman"/>
          <w:sz w:val="28"/>
          <w:szCs w:val="28"/>
        </w:rPr>
        <w:t>об исполнении годовых плановых назначений по кодам бюджетной классификации доходов, закрепленных за соответствующим администратором</w:t>
      </w:r>
      <w:r w:rsidR="00595429" w:rsidRPr="00AE676D">
        <w:rPr>
          <w:rFonts w:ascii="Times New Roman" w:hAnsi="Times New Roman"/>
          <w:sz w:val="28"/>
          <w:szCs w:val="28"/>
        </w:rPr>
        <w:t xml:space="preserve"> решением</w:t>
      </w:r>
      <w:r w:rsidR="009E0BBD" w:rsidRPr="009E0BBD">
        <w:rPr>
          <w:rFonts w:ascii="Times New Roman" w:hAnsi="Times New Roman"/>
          <w:sz w:val="28"/>
          <w:szCs w:val="28"/>
        </w:rPr>
        <w:t xml:space="preserve"> </w:t>
      </w:r>
      <w:r w:rsidR="009E0BBD" w:rsidRPr="00FC00A3">
        <w:rPr>
          <w:rFonts w:ascii="Times New Roman" w:hAnsi="Times New Roman"/>
          <w:sz w:val="28"/>
          <w:szCs w:val="28"/>
        </w:rPr>
        <w:t>Думы района от 18 декабря 2014 года № 407</w:t>
      </w:r>
      <w:r w:rsidR="00D229F5">
        <w:rPr>
          <w:rFonts w:ascii="Times New Roman" w:hAnsi="Times New Roman"/>
          <w:sz w:val="28"/>
          <w:szCs w:val="28"/>
        </w:rPr>
        <w:t>,</w:t>
      </w:r>
      <w:r w:rsidR="009E0BBD">
        <w:rPr>
          <w:rFonts w:ascii="Times New Roman" w:hAnsi="Times New Roman"/>
          <w:sz w:val="28"/>
          <w:szCs w:val="28"/>
        </w:rPr>
        <w:t xml:space="preserve">  </w:t>
      </w:r>
      <w:r w:rsidRPr="00AE676D">
        <w:rPr>
          <w:rFonts w:ascii="Times New Roman" w:hAnsi="Times New Roman"/>
          <w:sz w:val="28"/>
          <w:szCs w:val="28"/>
        </w:rPr>
        <w:t>с обоснованием причин возникших отклонений фактических поступлений от уточненного плана;</w:t>
      </w:r>
    </w:p>
    <w:p w:rsidR="00AA79E8" w:rsidRPr="0046319F" w:rsidRDefault="00EA3FD5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46319F">
        <w:rPr>
          <w:rFonts w:ascii="Times New Roman" w:hAnsi="Times New Roman"/>
          <w:sz w:val="28"/>
          <w:szCs w:val="28"/>
        </w:rPr>
        <w:t>о причинах отклонений фактического поступления доходов</w:t>
      </w:r>
      <w:r w:rsidR="00AE676D" w:rsidRPr="0046319F">
        <w:rPr>
          <w:rFonts w:ascii="Times New Roman" w:hAnsi="Times New Roman"/>
          <w:sz w:val="28"/>
          <w:szCs w:val="28"/>
        </w:rPr>
        <w:t xml:space="preserve"> </w:t>
      </w:r>
      <w:r w:rsidR="009E0BBD">
        <w:rPr>
          <w:rFonts w:ascii="Times New Roman" w:hAnsi="Times New Roman"/>
          <w:sz w:val="28"/>
          <w:szCs w:val="28"/>
        </w:rPr>
        <w:t xml:space="preserve">                        </w:t>
      </w:r>
      <w:r w:rsidRPr="0046319F">
        <w:rPr>
          <w:rFonts w:ascii="Times New Roman" w:hAnsi="Times New Roman"/>
          <w:sz w:val="28"/>
          <w:szCs w:val="28"/>
        </w:rPr>
        <w:t xml:space="preserve">в отчетном финансовом году от фактического поступления доходов </w:t>
      </w:r>
      <w:r w:rsidR="009E0BBD">
        <w:rPr>
          <w:rFonts w:ascii="Times New Roman" w:hAnsi="Times New Roman"/>
          <w:sz w:val="28"/>
          <w:szCs w:val="28"/>
        </w:rPr>
        <w:t xml:space="preserve">                    </w:t>
      </w:r>
      <w:r w:rsidRPr="0046319F">
        <w:rPr>
          <w:rFonts w:ascii="Times New Roman" w:hAnsi="Times New Roman"/>
          <w:sz w:val="28"/>
          <w:szCs w:val="28"/>
        </w:rPr>
        <w:t>в прошедшем финансовом году.</w:t>
      </w:r>
    </w:p>
    <w:p w:rsidR="00DE3770" w:rsidRPr="00FB0AEA" w:rsidRDefault="00216387" w:rsidP="002163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05BC6" w:rsidRPr="00FB0AEA">
        <w:rPr>
          <w:rFonts w:ascii="Times New Roman" w:hAnsi="Times New Roman"/>
          <w:sz w:val="28"/>
          <w:szCs w:val="28"/>
        </w:rPr>
        <w:t>Главным распорядителям средств бюджета Ханты-Мансийского района:</w:t>
      </w:r>
    </w:p>
    <w:p w:rsidR="004E416E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="00205BC6" w:rsidRPr="00FB0AEA">
        <w:rPr>
          <w:rFonts w:ascii="Times New Roman" w:hAnsi="Times New Roman"/>
          <w:sz w:val="28"/>
          <w:szCs w:val="28"/>
        </w:rPr>
        <w:t xml:space="preserve">беспечить </w:t>
      </w:r>
      <w:r w:rsidR="00205BC6" w:rsidRPr="004B3DCE">
        <w:rPr>
          <w:rFonts w:ascii="Times New Roman" w:hAnsi="Times New Roman"/>
          <w:sz w:val="28"/>
          <w:szCs w:val="28"/>
        </w:rPr>
        <w:t xml:space="preserve">исполнение бюджета района с учетом основных направлений налоговой и бюджетной политики </w:t>
      </w:r>
      <w:r w:rsidR="00733812" w:rsidRPr="004B3DCE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4B3DCE" w:rsidRPr="004B3DCE">
        <w:rPr>
          <w:rFonts w:ascii="Times New Roman" w:hAnsi="Times New Roman"/>
          <w:sz w:val="28"/>
          <w:szCs w:val="28"/>
        </w:rPr>
        <w:t xml:space="preserve">5 </w:t>
      </w:r>
      <w:r w:rsidR="00205BC6" w:rsidRPr="004B3DCE">
        <w:rPr>
          <w:rFonts w:ascii="Times New Roman" w:hAnsi="Times New Roman"/>
          <w:sz w:val="28"/>
          <w:szCs w:val="28"/>
        </w:rPr>
        <w:t>год и плановый период 201</w:t>
      </w:r>
      <w:r w:rsidR="004B3DCE" w:rsidRPr="004B3DCE">
        <w:rPr>
          <w:rFonts w:ascii="Times New Roman" w:hAnsi="Times New Roman"/>
          <w:sz w:val="28"/>
          <w:szCs w:val="28"/>
        </w:rPr>
        <w:t>6</w:t>
      </w:r>
      <w:r w:rsidR="00205BC6" w:rsidRPr="004B3DCE">
        <w:rPr>
          <w:rFonts w:ascii="Times New Roman" w:hAnsi="Times New Roman"/>
          <w:sz w:val="28"/>
          <w:szCs w:val="28"/>
        </w:rPr>
        <w:t xml:space="preserve"> и 201</w:t>
      </w:r>
      <w:r w:rsidR="004B3DCE" w:rsidRPr="004B3DCE">
        <w:rPr>
          <w:rFonts w:ascii="Times New Roman" w:hAnsi="Times New Roman"/>
          <w:sz w:val="28"/>
          <w:szCs w:val="28"/>
        </w:rPr>
        <w:t>7</w:t>
      </w:r>
      <w:r w:rsidR="00DE3770" w:rsidRPr="004B3DC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DE3770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</w:t>
      </w:r>
      <w:r w:rsidR="00205BC6" w:rsidRPr="004E416E">
        <w:rPr>
          <w:rFonts w:ascii="Times New Roman" w:hAnsi="Times New Roman"/>
          <w:sz w:val="28"/>
          <w:szCs w:val="28"/>
        </w:rPr>
        <w:t>беспечить</w:t>
      </w:r>
      <w:r w:rsidR="00DE3770" w:rsidRPr="004E416E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в пределах</w:t>
      </w:r>
      <w:r w:rsidR="00DE3770" w:rsidRPr="004E416E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доведенных</w:t>
      </w:r>
      <w:r w:rsidR="00DE3770" w:rsidRPr="004E416E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лимитов</w:t>
      </w:r>
      <w:r w:rsidR="00DE3770" w:rsidRPr="004E416E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бюджетных обязатель</w:t>
      </w:r>
      <w:proofErr w:type="gramStart"/>
      <w:r w:rsidR="00205BC6" w:rsidRPr="004E416E">
        <w:rPr>
          <w:rFonts w:ascii="Times New Roman" w:hAnsi="Times New Roman"/>
          <w:sz w:val="28"/>
          <w:szCs w:val="28"/>
        </w:rPr>
        <w:t>ств</w:t>
      </w:r>
      <w:r w:rsidR="007F34DC">
        <w:rPr>
          <w:rFonts w:ascii="Times New Roman" w:hAnsi="Times New Roman"/>
          <w:sz w:val="28"/>
          <w:szCs w:val="28"/>
        </w:rPr>
        <w:t xml:space="preserve"> св</w:t>
      </w:r>
      <w:proofErr w:type="gramEnd"/>
      <w:r w:rsidR="007F34DC">
        <w:rPr>
          <w:rFonts w:ascii="Times New Roman" w:hAnsi="Times New Roman"/>
          <w:sz w:val="28"/>
          <w:szCs w:val="28"/>
        </w:rPr>
        <w:t xml:space="preserve">оевременное </w:t>
      </w:r>
      <w:r w:rsidR="00205BC6" w:rsidRPr="004E416E">
        <w:rPr>
          <w:rFonts w:ascii="Times New Roman" w:hAnsi="Times New Roman"/>
          <w:sz w:val="28"/>
          <w:szCs w:val="28"/>
        </w:rPr>
        <w:t xml:space="preserve">исполнение </w:t>
      </w:r>
      <w:r w:rsidR="007F34DC">
        <w:rPr>
          <w:rFonts w:ascii="Times New Roman" w:hAnsi="Times New Roman"/>
          <w:sz w:val="28"/>
          <w:szCs w:val="28"/>
        </w:rPr>
        <w:t>расходных</w:t>
      </w:r>
      <w:r w:rsidR="00205BC6" w:rsidRPr="004E416E">
        <w:rPr>
          <w:rFonts w:ascii="Times New Roman" w:hAnsi="Times New Roman"/>
          <w:sz w:val="28"/>
          <w:szCs w:val="28"/>
        </w:rPr>
        <w:t xml:space="preserve"> обязательств бюджета района, а также недопущение возникновения просроче</w:t>
      </w:r>
      <w:r w:rsidR="00DE3770" w:rsidRPr="004E416E">
        <w:rPr>
          <w:rFonts w:ascii="Times New Roman" w:hAnsi="Times New Roman"/>
          <w:sz w:val="28"/>
          <w:szCs w:val="28"/>
        </w:rPr>
        <w:t>нной кредиторской задолженности</w:t>
      </w:r>
      <w:r>
        <w:rPr>
          <w:rFonts w:ascii="Times New Roman" w:hAnsi="Times New Roman"/>
          <w:sz w:val="28"/>
          <w:szCs w:val="28"/>
        </w:rPr>
        <w:t>.</w:t>
      </w:r>
    </w:p>
    <w:p w:rsidR="00B71FE1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</w:t>
      </w:r>
      <w:r w:rsidR="00B71FE1">
        <w:rPr>
          <w:rFonts w:ascii="Times New Roman" w:hAnsi="Times New Roman"/>
          <w:sz w:val="28"/>
          <w:szCs w:val="28"/>
        </w:rPr>
        <w:t>беспечить утверждение муниципальных заданий на оказание муниципальных услуг</w:t>
      </w:r>
      <w:r w:rsidR="00EA7921">
        <w:rPr>
          <w:rFonts w:ascii="Times New Roman" w:hAnsi="Times New Roman"/>
          <w:sz w:val="28"/>
          <w:szCs w:val="28"/>
        </w:rPr>
        <w:t xml:space="preserve"> (выполне</w:t>
      </w:r>
      <w:r w:rsidR="009E0BBD">
        <w:rPr>
          <w:rFonts w:ascii="Times New Roman" w:hAnsi="Times New Roman"/>
          <w:sz w:val="28"/>
          <w:szCs w:val="28"/>
        </w:rPr>
        <w:t>ние работ) в соответствии с доведе</w:t>
      </w:r>
      <w:r w:rsidR="00EA7921">
        <w:rPr>
          <w:rFonts w:ascii="Times New Roman" w:hAnsi="Times New Roman"/>
          <w:sz w:val="28"/>
          <w:szCs w:val="28"/>
        </w:rPr>
        <w:t>нны</w:t>
      </w:r>
      <w:r w:rsidR="009E0BBD">
        <w:rPr>
          <w:rFonts w:ascii="Times New Roman" w:hAnsi="Times New Roman"/>
          <w:sz w:val="28"/>
          <w:szCs w:val="28"/>
        </w:rPr>
        <w:t>ми</w:t>
      </w:r>
      <w:r w:rsidR="00EA7921">
        <w:rPr>
          <w:rFonts w:ascii="Times New Roman" w:hAnsi="Times New Roman"/>
          <w:sz w:val="28"/>
          <w:szCs w:val="28"/>
        </w:rPr>
        <w:t xml:space="preserve"> лимит</w:t>
      </w:r>
      <w:r w:rsidR="009E0BBD">
        <w:rPr>
          <w:rFonts w:ascii="Times New Roman" w:hAnsi="Times New Roman"/>
          <w:sz w:val="28"/>
          <w:szCs w:val="28"/>
        </w:rPr>
        <w:t>ами</w:t>
      </w:r>
      <w:r w:rsidR="00EA7921">
        <w:rPr>
          <w:rFonts w:ascii="Times New Roman" w:hAnsi="Times New Roman"/>
          <w:sz w:val="28"/>
          <w:szCs w:val="28"/>
        </w:rPr>
        <w:t xml:space="preserve"> бюджетных обязательств</w:t>
      </w:r>
      <w:r w:rsidR="000F1E5B">
        <w:rPr>
          <w:rFonts w:ascii="Times New Roman" w:hAnsi="Times New Roman"/>
          <w:sz w:val="28"/>
          <w:szCs w:val="28"/>
        </w:rPr>
        <w:t xml:space="preserve">. Обеспечить осуществление </w:t>
      </w:r>
      <w:proofErr w:type="gramStart"/>
      <w:r w:rsidR="000F1E5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F1E5B">
        <w:rPr>
          <w:rFonts w:ascii="Times New Roman" w:hAnsi="Times New Roman"/>
          <w:sz w:val="28"/>
          <w:szCs w:val="28"/>
        </w:rPr>
        <w:t xml:space="preserve"> исполнением муниципальных заданий </w:t>
      </w:r>
      <w:r w:rsidR="00971036">
        <w:rPr>
          <w:rFonts w:ascii="Times New Roman" w:hAnsi="Times New Roman"/>
          <w:sz w:val="28"/>
          <w:szCs w:val="28"/>
        </w:rPr>
        <w:t>и своевременным размещением муниципальных заданий</w:t>
      </w:r>
      <w:r w:rsidR="009E0BBD">
        <w:rPr>
          <w:rFonts w:ascii="Times New Roman" w:hAnsi="Times New Roman"/>
          <w:sz w:val="28"/>
          <w:szCs w:val="28"/>
        </w:rPr>
        <w:t xml:space="preserve"> в информационно-</w:t>
      </w:r>
      <w:r w:rsidR="00237728">
        <w:rPr>
          <w:rFonts w:ascii="Times New Roman" w:hAnsi="Times New Roman"/>
          <w:sz w:val="28"/>
          <w:szCs w:val="28"/>
        </w:rPr>
        <w:t>телек</w:t>
      </w:r>
      <w:r w:rsidR="009E0BBD">
        <w:rPr>
          <w:rFonts w:ascii="Times New Roman" w:hAnsi="Times New Roman"/>
          <w:sz w:val="28"/>
          <w:szCs w:val="28"/>
        </w:rPr>
        <w:t>оммуникационной сети Интернет.</w:t>
      </w:r>
    </w:p>
    <w:p w:rsidR="00F43DBB" w:rsidRPr="00F528C4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</w:t>
      </w:r>
      <w:r w:rsidR="005D165B">
        <w:rPr>
          <w:rFonts w:ascii="Times New Roman" w:hAnsi="Times New Roman"/>
          <w:sz w:val="28"/>
          <w:szCs w:val="28"/>
        </w:rPr>
        <w:t xml:space="preserve">беспечить внесение </w:t>
      </w:r>
      <w:r w:rsidR="005D165B" w:rsidRPr="00F528C4">
        <w:rPr>
          <w:rFonts w:ascii="Times New Roman" w:hAnsi="Times New Roman"/>
          <w:sz w:val="28"/>
          <w:szCs w:val="28"/>
        </w:rPr>
        <w:t xml:space="preserve">изменений </w:t>
      </w:r>
      <w:r w:rsidR="00424910">
        <w:rPr>
          <w:rFonts w:ascii="Times New Roman" w:hAnsi="Times New Roman"/>
          <w:sz w:val="28"/>
          <w:szCs w:val="28"/>
        </w:rPr>
        <w:t>и</w:t>
      </w:r>
      <w:r w:rsidR="005D165B" w:rsidRPr="00F528C4">
        <w:rPr>
          <w:rFonts w:ascii="Times New Roman" w:hAnsi="Times New Roman"/>
          <w:sz w:val="28"/>
          <w:szCs w:val="28"/>
        </w:rPr>
        <w:t xml:space="preserve"> уточнений в ведомственные перечни</w:t>
      </w:r>
      <w:r w:rsidR="000228BC" w:rsidRPr="00F528C4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2E1B03" w:rsidRPr="00F528C4">
        <w:rPr>
          <w:rFonts w:ascii="Times New Roman" w:hAnsi="Times New Roman"/>
          <w:sz w:val="28"/>
          <w:szCs w:val="28"/>
        </w:rPr>
        <w:t xml:space="preserve"> по результатам принятия на федеральном уровне базовых (отраслевых) перечней </w:t>
      </w:r>
      <w:r w:rsidR="00124597" w:rsidRPr="00F528C4">
        <w:rPr>
          <w:rFonts w:ascii="Times New Roman" w:hAnsi="Times New Roman"/>
          <w:sz w:val="28"/>
          <w:szCs w:val="28"/>
        </w:rPr>
        <w:t>государственных (муниципальных) услуг</w:t>
      </w:r>
      <w:r w:rsidR="009E0BBD">
        <w:rPr>
          <w:rFonts w:ascii="Times New Roman" w:hAnsi="Times New Roman"/>
          <w:sz w:val="28"/>
          <w:szCs w:val="28"/>
        </w:rPr>
        <w:t>.</w:t>
      </w:r>
    </w:p>
    <w:p w:rsidR="00B25A95" w:rsidRPr="006F1A48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F43DBB" w:rsidRPr="006F1A48">
        <w:rPr>
          <w:rFonts w:ascii="Times New Roman" w:hAnsi="Times New Roman"/>
          <w:sz w:val="28"/>
          <w:szCs w:val="28"/>
        </w:rPr>
        <w:t>беспечит</w:t>
      </w:r>
      <w:r w:rsidR="00BC19C9">
        <w:rPr>
          <w:rFonts w:ascii="Times New Roman" w:hAnsi="Times New Roman"/>
          <w:sz w:val="28"/>
          <w:szCs w:val="28"/>
        </w:rPr>
        <w:t>ь реализацию Соглашений, заключе</w:t>
      </w:r>
      <w:r w:rsidR="00F43DBB" w:rsidRPr="006F1A48">
        <w:rPr>
          <w:rFonts w:ascii="Times New Roman" w:hAnsi="Times New Roman"/>
          <w:sz w:val="28"/>
          <w:szCs w:val="28"/>
        </w:rPr>
        <w:t xml:space="preserve">нных </w:t>
      </w:r>
      <w:r w:rsidR="00BC19C9">
        <w:rPr>
          <w:rFonts w:ascii="Times New Roman" w:hAnsi="Times New Roman"/>
          <w:sz w:val="28"/>
          <w:szCs w:val="28"/>
        </w:rPr>
        <w:t xml:space="preserve">                          </w:t>
      </w:r>
      <w:r w:rsidR="00F43DBB" w:rsidRPr="006F1A48">
        <w:rPr>
          <w:rFonts w:ascii="Times New Roman" w:hAnsi="Times New Roman"/>
          <w:sz w:val="28"/>
          <w:szCs w:val="28"/>
        </w:rPr>
        <w:t xml:space="preserve">с региональными органами государственной власти </w:t>
      </w:r>
      <w:r w:rsidR="0091220B" w:rsidRPr="006F1A48">
        <w:rPr>
          <w:rFonts w:ascii="Times New Roman" w:hAnsi="Times New Roman"/>
          <w:sz w:val="28"/>
          <w:szCs w:val="28"/>
        </w:rPr>
        <w:t xml:space="preserve">по обеспечению достижения </w:t>
      </w:r>
      <w:r w:rsidR="00D229F5">
        <w:rPr>
          <w:rFonts w:ascii="Times New Roman" w:hAnsi="Times New Roman"/>
          <w:sz w:val="28"/>
          <w:szCs w:val="28"/>
        </w:rPr>
        <w:t xml:space="preserve">в 2014 – </w:t>
      </w:r>
      <w:r w:rsidR="00F43DBB" w:rsidRPr="006F1A48">
        <w:rPr>
          <w:rFonts w:ascii="Times New Roman" w:hAnsi="Times New Roman"/>
          <w:sz w:val="28"/>
          <w:szCs w:val="28"/>
        </w:rPr>
        <w:t xml:space="preserve">2018 годах целевых показателей (нормативов) оптимизации сети муниципальных организаций (учреждений), а также выполнение целевых показателей по оплате труда отдельных категорий работников муниципальных организаций (учреждений), </w:t>
      </w:r>
      <w:r w:rsidR="0091220B" w:rsidRPr="006F1A48">
        <w:rPr>
          <w:rFonts w:ascii="Times New Roman" w:hAnsi="Times New Roman"/>
          <w:sz w:val="28"/>
          <w:szCs w:val="28"/>
        </w:rPr>
        <w:t xml:space="preserve">в соответствии </w:t>
      </w:r>
      <w:r w:rsidR="00D229F5">
        <w:rPr>
          <w:rFonts w:ascii="Times New Roman" w:hAnsi="Times New Roman"/>
          <w:sz w:val="28"/>
          <w:szCs w:val="28"/>
        </w:rPr>
        <w:t xml:space="preserve">             </w:t>
      </w:r>
      <w:r w:rsidR="0091220B" w:rsidRPr="006F1A48">
        <w:rPr>
          <w:rFonts w:ascii="Times New Roman" w:hAnsi="Times New Roman"/>
          <w:sz w:val="28"/>
          <w:szCs w:val="28"/>
        </w:rPr>
        <w:lastRenderedPageBreak/>
        <w:t>с муниципальными планами мероприятий («дорожными картами») изменений в отраслях социальной сферы, направленными на повышение эффективности сферы образования и культуры в</w:t>
      </w:r>
      <w:proofErr w:type="gramEnd"/>
      <w:r w:rsidR="0091220B" w:rsidRPr="006F1A48">
        <w:rPr>
          <w:rFonts w:ascii="Times New Roman" w:hAnsi="Times New Roman"/>
          <w:sz w:val="28"/>
          <w:szCs w:val="28"/>
        </w:rPr>
        <w:t xml:space="preserve"> Ханты-Мансийском </w:t>
      </w:r>
      <w:proofErr w:type="gramStart"/>
      <w:r w:rsidR="0091220B" w:rsidRPr="006F1A48">
        <w:rPr>
          <w:rFonts w:ascii="Times New Roman" w:hAnsi="Times New Roman"/>
          <w:sz w:val="28"/>
          <w:szCs w:val="28"/>
        </w:rPr>
        <w:t>районе</w:t>
      </w:r>
      <w:proofErr w:type="gramEnd"/>
      <w:r w:rsidR="009E0BBD">
        <w:rPr>
          <w:rFonts w:ascii="Times New Roman" w:hAnsi="Times New Roman"/>
          <w:sz w:val="28"/>
          <w:szCs w:val="28"/>
        </w:rPr>
        <w:t>.</w:t>
      </w:r>
    </w:p>
    <w:p w:rsidR="00855FB8" w:rsidRPr="00387104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О</w:t>
      </w:r>
      <w:r w:rsidR="00B25A95" w:rsidRPr="00387104">
        <w:rPr>
          <w:rFonts w:ascii="Times New Roman" w:hAnsi="Times New Roman"/>
          <w:sz w:val="28"/>
          <w:szCs w:val="28"/>
        </w:rPr>
        <w:t xml:space="preserve">беспечить эффективное использование межбюджетных трансфертов, полученных в форме субсидий, субвенций и иных межбюджетных трансфертов из федерального </w:t>
      </w:r>
      <w:r w:rsidR="00855FB8" w:rsidRPr="00387104">
        <w:rPr>
          <w:rFonts w:ascii="Times New Roman" w:hAnsi="Times New Roman"/>
          <w:sz w:val="28"/>
          <w:szCs w:val="28"/>
        </w:rPr>
        <w:t xml:space="preserve">и регионального </w:t>
      </w:r>
      <w:r w:rsidR="00B25A95" w:rsidRPr="0038710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.</w:t>
      </w:r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B72BB3" w:rsidRPr="00387104">
        <w:rPr>
          <w:rFonts w:ascii="Times New Roman" w:hAnsi="Times New Roman"/>
          <w:sz w:val="28"/>
          <w:szCs w:val="28"/>
        </w:rPr>
        <w:t xml:space="preserve">е принимать решения, приводящие к увеличению численности работников бюджетной сферы и органов местного самоуправления, </w:t>
      </w:r>
      <w:r w:rsidR="009E0BBD">
        <w:rPr>
          <w:rFonts w:ascii="Times New Roman" w:hAnsi="Times New Roman"/>
          <w:sz w:val="28"/>
          <w:szCs w:val="28"/>
        </w:rPr>
        <w:t xml:space="preserve">                     </w:t>
      </w:r>
      <w:r w:rsidR="00B72BB3" w:rsidRPr="00387104">
        <w:rPr>
          <w:rFonts w:ascii="Times New Roman" w:hAnsi="Times New Roman"/>
          <w:sz w:val="28"/>
          <w:szCs w:val="28"/>
        </w:rPr>
        <w:t xml:space="preserve">за исключением случаев, когда увеличение численности работников бюджетной сферы и органов местного самоуправления необходимо </w:t>
      </w:r>
      <w:r w:rsidR="009E0BBD">
        <w:rPr>
          <w:rFonts w:ascii="Times New Roman" w:hAnsi="Times New Roman"/>
          <w:sz w:val="28"/>
          <w:szCs w:val="28"/>
        </w:rPr>
        <w:t xml:space="preserve">                     </w:t>
      </w:r>
      <w:r w:rsidR="00B72BB3" w:rsidRPr="00387104">
        <w:rPr>
          <w:rFonts w:ascii="Times New Roman" w:hAnsi="Times New Roman"/>
          <w:sz w:val="28"/>
          <w:szCs w:val="28"/>
        </w:rPr>
        <w:t>для реализации переданных государственных полномочий и федеральных законов, предусматривающих расширение полномочий органов местного самоуправления, а также связано с необходимостью создания дополнительных рабочих мест в детских дошкольных учреждениях, вводом новых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строительства.</w:t>
      </w:r>
      <w:proofErr w:type="gramEnd"/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Н</w:t>
      </w:r>
      <w:r w:rsidR="00855239" w:rsidRPr="00390343">
        <w:rPr>
          <w:rFonts w:ascii="Times New Roman" w:hAnsi="Times New Roman"/>
          <w:sz w:val="28"/>
          <w:szCs w:val="28"/>
        </w:rPr>
        <w:t xml:space="preserve">е </w:t>
      </w:r>
      <w:r w:rsidR="006C6F27" w:rsidRPr="00390343">
        <w:rPr>
          <w:rFonts w:ascii="Times New Roman" w:hAnsi="Times New Roman"/>
          <w:sz w:val="28"/>
          <w:szCs w:val="28"/>
        </w:rPr>
        <w:t>допускать превышение нормативов расходов на содержание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5.9. О</w:t>
      </w:r>
      <w:r w:rsidR="00A71225">
        <w:rPr>
          <w:rFonts w:ascii="Times New Roman" w:hAnsi="Times New Roman"/>
          <w:sz w:val="28"/>
          <w:szCs w:val="28"/>
        </w:rPr>
        <w:t xml:space="preserve">беспечить повышение эффективности бюджетных расходов, </w:t>
      </w:r>
      <w:r w:rsidR="009E0BBD">
        <w:rPr>
          <w:rFonts w:ascii="Times New Roman" w:hAnsi="Times New Roman"/>
          <w:sz w:val="28"/>
          <w:szCs w:val="28"/>
        </w:rPr>
        <w:t xml:space="preserve">                 </w:t>
      </w:r>
      <w:r w:rsidR="00A71225">
        <w:rPr>
          <w:rFonts w:ascii="Times New Roman" w:hAnsi="Times New Roman"/>
          <w:sz w:val="28"/>
          <w:szCs w:val="28"/>
        </w:rPr>
        <w:t>в том числе не допускать необоснованного увеличения количества</w:t>
      </w:r>
      <w:r w:rsidR="00FB7D77">
        <w:rPr>
          <w:rFonts w:ascii="Times New Roman" w:hAnsi="Times New Roman"/>
          <w:sz w:val="28"/>
          <w:szCs w:val="28"/>
        </w:rPr>
        <w:t xml:space="preserve"> принимаемых расходных обязательств, принять меры по оптимизации действующих расходных обязательств.</w:t>
      </w:r>
    </w:p>
    <w:p w:rsidR="00B60D47" w:rsidRPr="002B686E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CD674F" w:rsidRPr="00151AF0">
        <w:rPr>
          <w:rFonts w:ascii="Times New Roman" w:hAnsi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r w:rsidR="00D87A28" w:rsidRPr="00151AF0">
        <w:rPr>
          <w:rFonts w:ascii="Times New Roman" w:hAnsi="Times New Roman"/>
          <w:sz w:val="28"/>
          <w:szCs w:val="28"/>
        </w:rPr>
        <w:t>района</w:t>
      </w:r>
      <w:r w:rsidR="00CD674F" w:rsidRPr="00151AF0">
        <w:rPr>
          <w:rFonts w:ascii="Times New Roman" w:hAnsi="Times New Roman"/>
          <w:sz w:val="28"/>
          <w:szCs w:val="28"/>
        </w:rPr>
        <w:t xml:space="preserve"> </w:t>
      </w:r>
      <w:r w:rsidR="00D87A28" w:rsidRPr="00151AF0">
        <w:rPr>
          <w:rFonts w:ascii="Times New Roman" w:hAnsi="Times New Roman"/>
          <w:sz w:val="28"/>
          <w:szCs w:val="28"/>
        </w:rPr>
        <w:t>муниципальных</w:t>
      </w:r>
      <w:r w:rsidR="00CD674F" w:rsidRPr="00151AF0">
        <w:rPr>
          <w:rFonts w:ascii="Times New Roman" w:hAnsi="Times New Roman"/>
          <w:sz w:val="28"/>
          <w:szCs w:val="28"/>
        </w:rPr>
        <w:t xml:space="preserve"> контрактов и иных обязательств, исполнение которых осуществляется за счет ср</w:t>
      </w:r>
      <w:r w:rsidR="00D87A28" w:rsidRPr="00151AF0">
        <w:rPr>
          <w:rFonts w:ascii="Times New Roman" w:hAnsi="Times New Roman"/>
          <w:sz w:val="28"/>
          <w:szCs w:val="28"/>
        </w:rPr>
        <w:t>едств бюджета района</w:t>
      </w:r>
      <w:r w:rsidR="00CD674F" w:rsidRPr="00151AF0">
        <w:rPr>
          <w:rFonts w:ascii="Times New Roman" w:hAnsi="Times New Roman"/>
          <w:sz w:val="28"/>
          <w:szCs w:val="28"/>
        </w:rPr>
        <w:t xml:space="preserve"> </w:t>
      </w:r>
      <w:r w:rsidR="009E0BBD">
        <w:rPr>
          <w:rFonts w:ascii="Times New Roman" w:hAnsi="Times New Roman"/>
          <w:sz w:val="28"/>
          <w:szCs w:val="28"/>
        </w:rPr>
        <w:t xml:space="preserve">                  </w:t>
      </w:r>
      <w:r w:rsidR="00CD674F" w:rsidRPr="00151AF0">
        <w:rPr>
          <w:rFonts w:ascii="Times New Roman" w:hAnsi="Times New Roman"/>
          <w:sz w:val="28"/>
          <w:szCs w:val="28"/>
        </w:rPr>
        <w:t>в 201</w:t>
      </w:r>
      <w:r w:rsidR="001B731A" w:rsidRPr="00151AF0">
        <w:rPr>
          <w:rFonts w:ascii="Times New Roman" w:hAnsi="Times New Roman"/>
          <w:sz w:val="28"/>
          <w:szCs w:val="28"/>
        </w:rPr>
        <w:t>5</w:t>
      </w:r>
      <w:r w:rsidR="00CD674F" w:rsidRPr="00151AF0">
        <w:rPr>
          <w:rFonts w:ascii="Times New Roman" w:hAnsi="Times New Roman"/>
          <w:sz w:val="28"/>
          <w:szCs w:val="28"/>
        </w:rPr>
        <w:t xml:space="preserve"> году, осуществляются в </w:t>
      </w:r>
      <w:proofErr w:type="gramStart"/>
      <w:r w:rsidR="00CD674F" w:rsidRPr="00151AF0">
        <w:rPr>
          <w:rFonts w:ascii="Times New Roman" w:hAnsi="Times New Roman"/>
          <w:sz w:val="28"/>
          <w:szCs w:val="28"/>
        </w:rPr>
        <w:t>пределах</w:t>
      </w:r>
      <w:proofErr w:type="gramEnd"/>
      <w:r w:rsidR="00CD674F" w:rsidRPr="00151AF0">
        <w:rPr>
          <w:rFonts w:ascii="Times New Roman" w:hAnsi="Times New Roman"/>
          <w:sz w:val="28"/>
          <w:szCs w:val="28"/>
        </w:rPr>
        <w:t xml:space="preserve">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</w:t>
      </w:r>
      <w:r w:rsidR="00402C8A" w:rsidRPr="00151AF0">
        <w:rPr>
          <w:rFonts w:ascii="Times New Roman" w:hAnsi="Times New Roman"/>
          <w:sz w:val="28"/>
          <w:szCs w:val="28"/>
        </w:rPr>
        <w:t xml:space="preserve">ствам осуществляется в </w:t>
      </w:r>
      <w:proofErr w:type="gramStart"/>
      <w:r w:rsidR="00402C8A" w:rsidRPr="00151AF0">
        <w:rPr>
          <w:rFonts w:ascii="Times New Roman" w:hAnsi="Times New Roman"/>
          <w:sz w:val="28"/>
          <w:szCs w:val="28"/>
        </w:rPr>
        <w:t>пределах</w:t>
      </w:r>
      <w:proofErr w:type="gramEnd"/>
      <w:r w:rsidR="00CD674F" w:rsidRPr="00151AF0">
        <w:rPr>
          <w:rFonts w:ascii="Times New Roman" w:hAnsi="Times New Roman"/>
          <w:sz w:val="28"/>
          <w:szCs w:val="28"/>
        </w:rPr>
        <w:t xml:space="preserve"> доведенных до получателя бюджетных </w:t>
      </w:r>
      <w:r w:rsidR="00CD674F" w:rsidRPr="002B686E">
        <w:rPr>
          <w:rFonts w:ascii="Times New Roman" w:hAnsi="Times New Roman"/>
          <w:sz w:val="28"/>
          <w:szCs w:val="28"/>
        </w:rPr>
        <w:t>ассигнований.</w:t>
      </w:r>
    </w:p>
    <w:p w:rsidR="00BC19C9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D674F" w:rsidRPr="002B686E">
        <w:rPr>
          <w:rFonts w:ascii="Times New Roman" w:hAnsi="Times New Roman"/>
          <w:sz w:val="28"/>
          <w:szCs w:val="28"/>
        </w:rPr>
        <w:t xml:space="preserve">Установить, что получатели средств бюджета </w:t>
      </w:r>
      <w:r w:rsidR="0059664C" w:rsidRPr="002B686E">
        <w:rPr>
          <w:rFonts w:ascii="Times New Roman" w:hAnsi="Times New Roman"/>
          <w:sz w:val="28"/>
          <w:szCs w:val="28"/>
        </w:rPr>
        <w:t>района</w:t>
      </w:r>
      <w:r w:rsidR="00CD674F" w:rsidRPr="002B686E">
        <w:rPr>
          <w:rFonts w:ascii="Times New Roman" w:hAnsi="Times New Roman"/>
          <w:sz w:val="28"/>
          <w:szCs w:val="28"/>
        </w:rPr>
        <w:t xml:space="preserve"> </w:t>
      </w:r>
      <w:r w:rsidR="009E0BBD">
        <w:rPr>
          <w:rFonts w:ascii="Times New Roman" w:hAnsi="Times New Roman"/>
          <w:sz w:val="28"/>
          <w:szCs w:val="28"/>
        </w:rPr>
        <w:t xml:space="preserve">                            </w:t>
      </w:r>
      <w:r w:rsidR="00CD674F" w:rsidRPr="002B686E">
        <w:rPr>
          <w:rFonts w:ascii="Times New Roman" w:hAnsi="Times New Roman"/>
          <w:sz w:val="28"/>
          <w:szCs w:val="28"/>
        </w:rPr>
        <w:t xml:space="preserve">при заключении подлежащих к оплате за счет средств бюджета </w:t>
      </w:r>
      <w:r w:rsidR="0059664C" w:rsidRPr="002B686E">
        <w:rPr>
          <w:rFonts w:ascii="Times New Roman" w:hAnsi="Times New Roman"/>
          <w:sz w:val="28"/>
          <w:szCs w:val="28"/>
        </w:rPr>
        <w:t xml:space="preserve">района </w:t>
      </w:r>
      <w:r w:rsidR="00CD674F" w:rsidRPr="002B686E">
        <w:rPr>
          <w:rFonts w:ascii="Times New Roman" w:hAnsi="Times New Roman"/>
          <w:sz w:val="28"/>
          <w:szCs w:val="28"/>
        </w:rPr>
        <w:t>договоров (контрактов) на поставку товаров, выполнение работ, оказа</w:t>
      </w:r>
      <w:r w:rsidR="0059664C" w:rsidRPr="002B686E">
        <w:rPr>
          <w:rFonts w:ascii="Times New Roman" w:hAnsi="Times New Roman"/>
          <w:sz w:val="28"/>
          <w:szCs w:val="28"/>
        </w:rPr>
        <w:t>ние услуг для муниципаль</w:t>
      </w:r>
      <w:r w:rsidR="00CD674F" w:rsidRPr="002B686E">
        <w:rPr>
          <w:rFonts w:ascii="Times New Roman" w:hAnsi="Times New Roman"/>
          <w:sz w:val="28"/>
          <w:szCs w:val="28"/>
        </w:rPr>
        <w:t>ных ну</w:t>
      </w:r>
      <w:proofErr w:type="gramStart"/>
      <w:r w:rsidR="00CD674F" w:rsidRPr="002B686E">
        <w:rPr>
          <w:rFonts w:ascii="Times New Roman" w:hAnsi="Times New Roman"/>
          <w:sz w:val="28"/>
          <w:szCs w:val="28"/>
        </w:rPr>
        <w:t>жд</w:t>
      </w:r>
      <w:r w:rsidR="00402C8A" w:rsidRPr="002B686E">
        <w:rPr>
          <w:rFonts w:ascii="Times New Roman" w:hAnsi="Times New Roman"/>
          <w:sz w:val="28"/>
          <w:szCs w:val="28"/>
        </w:rPr>
        <w:t xml:space="preserve"> </w:t>
      </w:r>
      <w:r w:rsidR="00CD674F" w:rsidRPr="002B686E">
        <w:rPr>
          <w:rFonts w:ascii="Times New Roman" w:hAnsi="Times New Roman"/>
          <w:sz w:val="28"/>
          <w:szCs w:val="28"/>
        </w:rPr>
        <w:t>впр</w:t>
      </w:r>
      <w:proofErr w:type="gramEnd"/>
      <w:r w:rsidR="00CD674F" w:rsidRPr="002B686E">
        <w:rPr>
          <w:rFonts w:ascii="Times New Roman" w:hAnsi="Times New Roman"/>
          <w:sz w:val="28"/>
          <w:szCs w:val="28"/>
        </w:rPr>
        <w:t>аве предусматривать авансовые платежи:</w:t>
      </w:r>
    </w:p>
    <w:p w:rsidR="00BC19C9" w:rsidRDefault="00BC19C9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C19C9">
        <w:rPr>
          <w:rFonts w:ascii="Times New Roman" w:hAnsi="Times New Roman"/>
          <w:sz w:val="28"/>
          <w:szCs w:val="28"/>
        </w:rPr>
        <w:t>В</w:t>
      </w:r>
      <w:r w:rsidR="00CD674F" w:rsidRPr="00BC19C9">
        <w:rPr>
          <w:rFonts w:ascii="Times New Roman" w:hAnsi="Times New Roman"/>
          <w:sz w:val="28"/>
          <w:szCs w:val="28"/>
        </w:rPr>
        <w:t xml:space="preserve"> размере до 100 процентов от суммы договора (контракта) – </w:t>
      </w:r>
      <w:r w:rsidR="009E0BBD">
        <w:rPr>
          <w:rFonts w:ascii="Times New Roman" w:hAnsi="Times New Roman"/>
          <w:sz w:val="28"/>
          <w:szCs w:val="28"/>
        </w:rPr>
        <w:t xml:space="preserve">             </w:t>
      </w:r>
      <w:r w:rsidR="00CD674F" w:rsidRPr="00BC19C9">
        <w:rPr>
          <w:rFonts w:ascii="Times New Roman" w:hAnsi="Times New Roman"/>
          <w:sz w:val="28"/>
          <w:szCs w:val="28"/>
        </w:rPr>
        <w:t>о</w:t>
      </w:r>
      <w:r w:rsidR="008F58F6" w:rsidRPr="00BC19C9">
        <w:rPr>
          <w:rFonts w:ascii="Times New Roman" w:hAnsi="Times New Roman"/>
          <w:sz w:val="28"/>
          <w:szCs w:val="28"/>
        </w:rPr>
        <w:t xml:space="preserve"> </w:t>
      </w:r>
      <w:r w:rsidR="00CD674F" w:rsidRPr="00BC19C9">
        <w:rPr>
          <w:rFonts w:ascii="Times New Roman" w:hAnsi="Times New Roman"/>
          <w:sz w:val="28"/>
          <w:szCs w:val="28"/>
        </w:rPr>
        <w:t>предоставлении услуг связи; об обучении на курсах повышения квалификации; об участии в семинарах, совещаниях; на приобретение ави</w:t>
      </w:r>
      <w:proofErr w:type="gramStart"/>
      <w:r w:rsidR="00CD674F" w:rsidRPr="00BC19C9">
        <w:rPr>
          <w:rFonts w:ascii="Times New Roman" w:hAnsi="Times New Roman"/>
          <w:sz w:val="28"/>
          <w:szCs w:val="28"/>
        </w:rPr>
        <w:t>а-</w:t>
      </w:r>
      <w:proofErr w:type="gramEnd"/>
      <w:r w:rsidR="00CD674F" w:rsidRPr="00BC19C9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</w:t>
      </w:r>
      <w:r w:rsidR="00402C8A" w:rsidRPr="00BC19C9">
        <w:rPr>
          <w:rFonts w:ascii="Times New Roman" w:hAnsi="Times New Roman"/>
          <w:sz w:val="28"/>
          <w:szCs w:val="28"/>
        </w:rPr>
        <w:t xml:space="preserve"> </w:t>
      </w:r>
      <w:r w:rsidR="009E0BBD">
        <w:rPr>
          <w:rFonts w:ascii="Times New Roman" w:hAnsi="Times New Roman"/>
          <w:sz w:val="28"/>
          <w:szCs w:val="28"/>
        </w:rPr>
        <w:t xml:space="preserve">                     </w:t>
      </w:r>
      <w:r w:rsidR="00CD674F" w:rsidRPr="00BC19C9">
        <w:rPr>
          <w:rFonts w:ascii="Times New Roman" w:hAnsi="Times New Roman"/>
          <w:sz w:val="28"/>
          <w:szCs w:val="28"/>
        </w:rPr>
        <w:t>и пригородным</w:t>
      </w:r>
      <w:r w:rsidR="001C54C4" w:rsidRPr="00BC19C9">
        <w:rPr>
          <w:rFonts w:ascii="Times New Roman" w:hAnsi="Times New Roman"/>
          <w:sz w:val="28"/>
          <w:szCs w:val="28"/>
        </w:rPr>
        <w:t xml:space="preserve"> транспортом; печатных изданий;</w:t>
      </w:r>
      <w:r w:rsidR="00CD674F" w:rsidRPr="00BC1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540" w:rsidRPr="00BC19C9">
        <w:rPr>
          <w:rFonts w:ascii="Times New Roman" w:hAnsi="Times New Roman"/>
          <w:sz w:val="28"/>
          <w:szCs w:val="28"/>
        </w:rPr>
        <w:t>о приобретении продукции (товаров) для обеспечения поставки в районы и населённые</w:t>
      </w:r>
      <w:r w:rsidR="00F261AF" w:rsidRPr="00BC19C9">
        <w:rPr>
          <w:rFonts w:ascii="Times New Roman" w:hAnsi="Times New Roman"/>
          <w:sz w:val="28"/>
          <w:szCs w:val="28"/>
        </w:rPr>
        <w:t xml:space="preserve"> пункты на территории </w:t>
      </w:r>
      <w:r w:rsidR="00E8307E" w:rsidRPr="00BC19C9">
        <w:rPr>
          <w:rFonts w:ascii="Times New Roman" w:hAnsi="Times New Roman"/>
          <w:sz w:val="28"/>
          <w:szCs w:val="28"/>
        </w:rPr>
        <w:t>автономного округа</w:t>
      </w:r>
      <w:r w:rsidR="00F261AF" w:rsidRPr="00BC19C9">
        <w:rPr>
          <w:rFonts w:ascii="Times New Roman" w:hAnsi="Times New Roman"/>
          <w:sz w:val="28"/>
          <w:szCs w:val="28"/>
        </w:rPr>
        <w:t xml:space="preserve"> с ограниченными сроками завоза грузов; </w:t>
      </w:r>
      <w:r w:rsidR="00CD674F" w:rsidRPr="00BC19C9">
        <w:rPr>
          <w:rFonts w:ascii="Times New Roman" w:hAnsi="Times New Roman"/>
          <w:sz w:val="28"/>
          <w:szCs w:val="28"/>
        </w:rPr>
        <w:t>о предоставлении грантов, присужденных по ито</w:t>
      </w:r>
      <w:r w:rsidR="00011BA7" w:rsidRPr="00BC19C9">
        <w:rPr>
          <w:rFonts w:ascii="Times New Roman" w:hAnsi="Times New Roman"/>
          <w:sz w:val="28"/>
          <w:szCs w:val="28"/>
        </w:rPr>
        <w:t xml:space="preserve">гам конкурсов </w:t>
      </w:r>
      <w:r w:rsidR="00C31861" w:rsidRPr="00BC19C9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C19C9">
        <w:rPr>
          <w:rFonts w:ascii="Times New Roman" w:hAnsi="Times New Roman"/>
          <w:sz w:val="28"/>
          <w:szCs w:val="28"/>
        </w:rPr>
        <w:t xml:space="preserve">; по обязательному страхованию лиц, замещающих </w:t>
      </w:r>
      <w:r w:rsidR="00C31861" w:rsidRPr="00BC19C9">
        <w:rPr>
          <w:rFonts w:ascii="Times New Roman" w:hAnsi="Times New Roman"/>
          <w:sz w:val="28"/>
          <w:szCs w:val="28"/>
        </w:rPr>
        <w:t>муниципальные</w:t>
      </w:r>
      <w:r w:rsidR="00CD674F" w:rsidRPr="00BC19C9">
        <w:rPr>
          <w:rFonts w:ascii="Times New Roman" w:hAnsi="Times New Roman"/>
          <w:sz w:val="28"/>
          <w:szCs w:val="28"/>
        </w:rPr>
        <w:t xml:space="preserve"> должности </w:t>
      </w:r>
      <w:r w:rsidR="00C31861" w:rsidRPr="00BC19C9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C19C9">
        <w:rPr>
          <w:rFonts w:ascii="Times New Roman" w:hAnsi="Times New Roman"/>
          <w:sz w:val="28"/>
          <w:szCs w:val="28"/>
        </w:rPr>
        <w:t xml:space="preserve">, лиц, замещающих должности </w:t>
      </w:r>
      <w:r w:rsidR="004B4F33" w:rsidRPr="00BC19C9">
        <w:rPr>
          <w:rFonts w:ascii="Times New Roman" w:hAnsi="Times New Roman"/>
          <w:sz w:val="28"/>
          <w:szCs w:val="28"/>
        </w:rPr>
        <w:t>муниципальной</w:t>
      </w:r>
      <w:r w:rsidR="00CD674F" w:rsidRPr="00BC19C9">
        <w:rPr>
          <w:rFonts w:ascii="Times New Roman" w:hAnsi="Times New Roman"/>
          <w:sz w:val="28"/>
          <w:szCs w:val="28"/>
        </w:rPr>
        <w:t xml:space="preserve"> службы </w:t>
      </w:r>
      <w:r w:rsidR="004B4F33" w:rsidRPr="00BC19C9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C19C9">
        <w:rPr>
          <w:rFonts w:ascii="Times New Roman" w:hAnsi="Times New Roman"/>
          <w:sz w:val="28"/>
          <w:szCs w:val="28"/>
        </w:rPr>
        <w:t>;</w:t>
      </w:r>
      <w:r w:rsidR="00CD674F" w:rsidRPr="00BC19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674F" w:rsidRPr="00BC19C9">
        <w:rPr>
          <w:rFonts w:ascii="Times New Roman" w:hAnsi="Times New Roman"/>
          <w:sz w:val="28"/>
          <w:szCs w:val="28"/>
        </w:rPr>
        <w:t>по обязательному страхованию гражданской ответственности владельцев транспортных средств</w:t>
      </w:r>
      <w:r w:rsidR="004B3DCE" w:rsidRPr="00BC19C9">
        <w:rPr>
          <w:rFonts w:ascii="Times New Roman" w:hAnsi="Times New Roman"/>
          <w:sz w:val="28"/>
          <w:szCs w:val="28"/>
        </w:rPr>
        <w:t>;</w:t>
      </w:r>
      <w:proofErr w:type="gramEnd"/>
      <w:r w:rsidR="00E0318D" w:rsidRPr="00BC19C9">
        <w:rPr>
          <w:rFonts w:ascii="Times New Roman" w:hAnsi="Times New Roman"/>
          <w:sz w:val="28"/>
          <w:szCs w:val="28"/>
        </w:rPr>
        <w:t xml:space="preserve"> аренды нежилых помещений для нужд органов администрации Ханты-Мансийского района, созданных в целях обеспечения исполнения полномочий администрации Ханты-Мансийского района</w:t>
      </w:r>
      <w:r w:rsidR="009E0BBD">
        <w:rPr>
          <w:rFonts w:ascii="Times New Roman" w:hAnsi="Times New Roman"/>
          <w:sz w:val="28"/>
          <w:szCs w:val="28"/>
        </w:rPr>
        <w:t>.</w:t>
      </w:r>
    </w:p>
    <w:p w:rsidR="00375096" w:rsidRPr="00657978" w:rsidRDefault="00BC19C9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В </w:t>
      </w:r>
      <w:r w:rsidR="00CD674F" w:rsidRPr="00AA7AAE">
        <w:rPr>
          <w:rFonts w:ascii="Times New Roman" w:hAnsi="Times New Roman"/>
          <w:sz w:val="28"/>
          <w:szCs w:val="28"/>
        </w:rPr>
        <w:t>размере не более 30 процентов</w:t>
      </w:r>
      <w:r w:rsidR="004B4F33" w:rsidRPr="00AA7AAE">
        <w:rPr>
          <w:rFonts w:ascii="Times New Roman" w:hAnsi="Times New Roman"/>
          <w:sz w:val="28"/>
          <w:szCs w:val="28"/>
        </w:rPr>
        <w:t xml:space="preserve"> от суммы договора (контракта)</w:t>
      </w:r>
      <w:r w:rsidR="008C0BCB" w:rsidRPr="00AA7AAE">
        <w:rPr>
          <w:rFonts w:ascii="Times New Roman" w:hAnsi="Times New Roman"/>
          <w:sz w:val="28"/>
          <w:szCs w:val="28"/>
        </w:rPr>
        <w:t>,</w:t>
      </w:r>
      <w:r w:rsidR="004B4F33" w:rsidRPr="00AA7AAE">
        <w:rPr>
          <w:rFonts w:ascii="Times New Roman" w:hAnsi="Times New Roman"/>
          <w:sz w:val="28"/>
          <w:szCs w:val="28"/>
        </w:rPr>
        <w:t xml:space="preserve"> </w:t>
      </w:r>
      <w:r w:rsidR="007A6BAB" w:rsidRPr="00AA7AAE">
        <w:rPr>
          <w:rFonts w:ascii="Times New Roman" w:hAnsi="Times New Roman"/>
          <w:sz w:val="28"/>
          <w:szCs w:val="28"/>
        </w:rPr>
        <w:t xml:space="preserve">если иные размеры авансовых платежей не установлены </w:t>
      </w:r>
      <w:r w:rsidR="007A6BAB" w:rsidRPr="00657978">
        <w:rPr>
          <w:rFonts w:ascii="Times New Roman" w:hAnsi="Times New Roman"/>
          <w:sz w:val="28"/>
          <w:szCs w:val="28"/>
        </w:rPr>
        <w:t>администрацией Ханты-Мансийского района</w:t>
      </w:r>
      <w:r w:rsidR="00CD674F" w:rsidRPr="00657978">
        <w:rPr>
          <w:rFonts w:ascii="Times New Roman" w:hAnsi="Times New Roman"/>
          <w:sz w:val="28"/>
          <w:szCs w:val="28"/>
        </w:rPr>
        <w:t xml:space="preserve"> – по ос</w:t>
      </w:r>
      <w:r w:rsidR="00F04FB6" w:rsidRPr="00657978">
        <w:rPr>
          <w:rFonts w:ascii="Times New Roman" w:hAnsi="Times New Roman"/>
          <w:sz w:val="28"/>
          <w:szCs w:val="28"/>
        </w:rPr>
        <w:t>тальным договорам (контрактам).</w:t>
      </w:r>
    </w:p>
    <w:p w:rsidR="00BC19C9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05BC6" w:rsidRPr="00657978">
        <w:rPr>
          <w:rFonts w:ascii="Times New Roman" w:hAnsi="Times New Roman"/>
          <w:sz w:val="28"/>
          <w:szCs w:val="28"/>
        </w:rPr>
        <w:t xml:space="preserve">В целях обеспечения правомерного, целевого и эффективного использования бюджетных средств, передаваемых из бюджета района </w:t>
      </w:r>
      <w:r w:rsidR="009E0BBD">
        <w:rPr>
          <w:rFonts w:ascii="Times New Roman" w:hAnsi="Times New Roman"/>
          <w:sz w:val="28"/>
          <w:szCs w:val="28"/>
        </w:rPr>
        <w:t xml:space="preserve">                </w:t>
      </w:r>
      <w:r w:rsidR="00205BC6" w:rsidRPr="00657978">
        <w:rPr>
          <w:rFonts w:ascii="Times New Roman" w:hAnsi="Times New Roman"/>
          <w:sz w:val="28"/>
          <w:szCs w:val="28"/>
        </w:rPr>
        <w:t>в виде иных межбюджетных трансфертов сельским поселениям района:</w:t>
      </w:r>
    </w:p>
    <w:p w:rsidR="002C2AC5" w:rsidRPr="00657978" w:rsidRDefault="00BC19C9" w:rsidP="00BC19C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</w:t>
      </w:r>
      <w:r w:rsidR="002C2AC5" w:rsidRPr="00657978">
        <w:rPr>
          <w:rFonts w:ascii="Times New Roman" w:hAnsi="Times New Roman"/>
          <w:sz w:val="28"/>
          <w:szCs w:val="28"/>
        </w:rPr>
        <w:t>рганам администрации Ханты-Мансийского района:</w:t>
      </w:r>
    </w:p>
    <w:p w:rsidR="00516201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 xml:space="preserve">своевременно осуществлять </w:t>
      </w:r>
      <w:proofErr w:type="gramStart"/>
      <w:r w:rsidRPr="006579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978">
        <w:rPr>
          <w:rFonts w:ascii="Times New Roman" w:hAnsi="Times New Roman"/>
          <w:sz w:val="28"/>
          <w:szCs w:val="28"/>
        </w:rPr>
        <w:t xml:space="preserve"> использованием иных межбюджетных трансфертов их получателями в соответствии с условиями и целями, определенными при предоставлении указ</w:t>
      </w:r>
      <w:r w:rsidR="009E0BBD">
        <w:rPr>
          <w:rFonts w:ascii="Times New Roman" w:hAnsi="Times New Roman"/>
          <w:sz w:val="28"/>
          <w:szCs w:val="28"/>
        </w:rPr>
        <w:t>анных средств                      из бюджета района.</w:t>
      </w:r>
    </w:p>
    <w:p w:rsidR="00E0318D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 xml:space="preserve">своевременно вносить предложения в комитет по финансам администрации района по корректировке и перераспределению объема иных межбюджетных трансфертов между сельскими поселениями </w:t>
      </w:r>
      <w:r w:rsidR="009E0BBD">
        <w:rPr>
          <w:rFonts w:ascii="Times New Roman" w:hAnsi="Times New Roman"/>
          <w:sz w:val="28"/>
          <w:szCs w:val="28"/>
        </w:rPr>
        <w:t xml:space="preserve">                      </w:t>
      </w:r>
      <w:r w:rsidRPr="00657978">
        <w:rPr>
          <w:rFonts w:ascii="Times New Roman" w:hAnsi="Times New Roman"/>
          <w:sz w:val="28"/>
          <w:szCs w:val="28"/>
        </w:rPr>
        <w:t>в пределах утвержденного решением Думы</w:t>
      </w:r>
      <w:r w:rsidR="00003E99">
        <w:rPr>
          <w:rFonts w:ascii="Times New Roman" w:hAnsi="Times New Roman"/>
          <w:sz w:val="28"/>
          <w:szCs w:val="28"/>
        </w:rPr>
        <w:t xml:space="preserve"> Ханты-Мансийского</w:t>
      </w:r>
      <w:r w:rsidRPr="00657978">
        <w:rPr>
          <w:rFonts w:ascii="Times New Roman" w:hAnsi="Times New Roman"/>
          <w:sz w:val="28"/>
          <w:szCs w:val="28"/>
        </w:rPr>
        <w:t xml:space="preserve"> района объема, если в ходе исполнения бюджета произошло изменение показателей, учтенных при его утверждении.</w:t>
      </w:r>
    </w:p>
    <w:p w:rsidR="00E0318D" w:rsidRPr="00657978" w:rsidRDefault="00BC19C9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Ор</w:t>
      </w:r>
      <w:r w:rsidR="00E0318D" w:rsidRPr="00657978">
        <w:rPr>
          <w:rFonts w:ascii="Times New Roman" w:hAnsi="Times New Roman"/>
          <w:sz w:val="28"/>
          <w:szCs w:val="28"/>
        </w:rPr>
        <w:t>ганам местного самоуправления сельских поселений Ханты-Мансийского района:</w:t>
      </w:r>
    </w:p>
    <w:p w:rsidR="00E06F2C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>расходы, осуществляемые за счет иных межбюджетных трансфертов, производить строго с целевым назначением;</w:t>
      </w:r>
    </w:p>
    <w:p w:rsidR="00657978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>своевременно представлять в уполномоченные органы администрации района отчеты о расходовании средств;</w:t>
      </w:r>
    </w:p>
    <w:p w:rsidR="00E0318D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>в случае принятия на уровне сельского поселения дополнительных обязательств по полномочиям муниципального район</w:t>
      </w:r>
      <w:r w:rsidR="009E0BBD">
        <w:rPr>
          <w:rFonts w:ascii="Times New Roman" w:hAnsi="Times New Roman"/>
          <w:sz w:val="28"/>
          <w:szCs w:val="28"/>
        </w:rPr>
        <w:t>а сверх утвержденных нормативов</w:t>
      </w:r>
      <w:r w:rsidRPr="00657978">
        <w:rPr>
          <w:rFonts w:ascii="Times New Roman" w:hAnsi="Times New Roman"/>
          <w:sz w:val="28"/>
          <w:szCs w:val="28"/>
        </w:rPr>
        <w:t xml:space="preserve"> их финансовое обеспечение осуществлять самостоятельно, за счет собственных доходов бюджета сельского поселения.</w:t>
      </w:r>
    </w:p>
    <w:p w:rsidR="00C554C0" w:rsidRPr="006919EC" w:rsidRDefault="00BC19C9" w:rsidP="00BC19C9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proofErr w:type="gramStart"/>
      <w:r w:rsidR="00224240" w:rsidRPr="006919EC">
        <w:rPr>
          <w:sz w:val="28"/>
          <w:szCs w:val="28"/>
        </w:rPr>
        <w:t xml:space="preserve">Установить, что лимиты бюджетных обязательств на повышение оплаты труда работников муниципальных учреждений </w:t>
      </w:r>
      <w:r w:rsidR="00984464" w:rsidRPr="006919EC">
        <w:rPr>
          <w:sz w:val="28"/>
          <w:szCs w:val="28"/>
        </w:rPr>
        <w:t>сельских поселений</w:t>
      </w:r>
      <w:r w:rsidR="00224240" w:rsidRPr="006919EC">
        <w:rPr>
          <w:sz w:val="28"/>
          <w:szCs w:val="28"/>
        </w:rPr>
        <w:t xml:space="preserve"> в 2015 – 2017 годах, передаваемых в рамках </w:t>
      </w:r>
      <w:r w:rsidR="00984464" w:rsidRPr="006919EC">
        <w:rPr>
          <w:sz w:val="28"/>
          <w:szCs w:val="28"/>
        </w:rPr>
        <w:t xml:space="preserve">иных межбюджетных трансфертов </w:t>
      </w:r>
      <w:r w:rsidR="00224240" w:rsidRPr="006919EC">
        <w:rPr>
          <w:sz w:val="28"/>
          <w:szCs w:val="28"/>
        </w:rPr>
        <w:t xml:space="preserve">из бюджета </w:t>
      </w:r>
      <w:r w:rsidR="00984464" w:rsidRPr="006919EC">
        <w:rPr>
          <w:sz w:val="28"/>
          <w:szCs w:val="28"/>
        </w:rPr>
        <w:t>района</w:t>
      </w:r>
      <w:r w:rsidR="00224240" w:rsidRPr="006919EC">
        <w:rPr>
          <w:sz w:val="28"/>
          <w:szCs w:val="28"/>
        </w:rPr>
        <w:t xml:space="preserve">, принятых в соответствии с указами Президента Российской Федерации </w:t>
      </w:r>
      <w:r w:rsidR="00224240" w:rsidRPr="006919EC">
        <w:rPr>
          <w:bCs/>
          <w:sz w:val="28"/>
          <w:szCs w:val="28"/>
        </w:rPr>
        <w:t xml:space="preserve">от 7 мая 2012 года </w:t>
      </w:r>
      <w:hyperlink r:id="rId12" w:history="1">
        <w:r w:rsidR="00224240" w:rsidRPr="006919EC">
          <w:rPr>
            <w:bCs/>
            <w:sz w:val="28"/>
            <w:szCs w:val="28"/>
          </w:rPr>
          <w:t>№ 597</w:t>
        </w:r>
      </w:hyperlink>
      <w:r w:rsidR="00224240" w:rsidRPr="006919EC">
        <w:rPr>
          <w:bCs/>
          <w:sz w:val="28"/>
          <w:szCs w:val="28"/>
        </w:rPr>
        <w:t xml:space="preserve"> </w:t>
      </w:r>
      <w:r w:rsidR="00193437">
        <w:rPr>
          <w:bCs/>
          <w:sz w:val="28"/>
          <w:szCs w:val="28"/>
        </w:rPr>
        <w:t xml:space="preserve">                           </w:t>
      </w:r>
      <w:r w:rsidR="00224240" w:rsidRPr="006919EC">
        <w:rPr>
          <w:bCs/>
          <w:sz w:val="28"/>
          <w:szCs w:val="28"/>
        </w:rPr>
        <w:t xml:space="preserve">«О мероприятиях по реализации государственной социальной политики», 1 июня 2012 года </w:t>
      </w:r>
      <w:hyperlink r:id="rId13" w:history="1">
        <w:r w:rsidR="00224240" w:rsidRPr="006919EC">
          <w:rPr>
            <w:bCs/>
            <w:sz w:val="28"/>
            <w:szCs w:val="28"/>
          </w:rPr>
          <w:t>№ 761</w:t>
        </w:r>
      </w:hyperlink>
      <w:r w:rsidR="00224240" w:rsidRPr="006919EC">
        <w:rPr>
          <w:bCs/>
          <w:sz w:val="28"/>
          <w:szCs w:val="28"/>
        </w:rPr>
        <w:t xml:space="preserve"> «О национальной стратегии дейст</w:t>
      </w:r>
      <w:r w:rsidR="00193437">
        <w:rPr>
          <w:bCs/>
          <w:sz w:val="28"/>
          <w:szCs w:val="28"/>
        </w:rPr>
        <w:t>вий в интересах детей</w:t>
      </w:r>
      <w:proofErr w:type="gramEnd"/>
      <w:r w:rsidR="00193437">
        <w:rPr>
          <w:bCs/>
          <w:sz w:val="28"/>
          <w:szCs w:val="28"/>
        </w:rPr>
        <w:t xml:space="preserve"> на 2012 – </w:t>
      </w:r>
      <w:r w:rsidR="00224240" w:rsidRPr="006919EC">
        <w:rPr>
          <w:bCs/>
          <w:sz w:val="28"/>
          <w:szCs w:val="28"/>
        </w:rPr>
        <w:t xml:space="preserve">2017 годы», </w:t>
      </w:r>
      <w:r w:rsidR="00224240" w:rsidRPr="006919EC">
        <w:rPr>
          <w:sz w:val="28"/>
          <w:szCs w:val="28"/>
        </w:rPr>
        <w:t xml:space="preserve">утверждаются и доводятся до </w:t>
      </w:r>
      <w:r w:rsidR="00F03D2A" w:rsidRPr="006919EC">
        <w:rPr>
          <w:sz w:val="28"/>
          <w:szCs w:val="28"/>
        </w:rPr>
        <w:t>сельских поселений</w:t>
      </w:r>
      <w:r w:rsidR="00224240" w:rsidRPr="006919EC">
        <w:rPr>
          <w:sz w:val="28"/>
          <w:szCs w:val="28"/>
        </w:rPr>
        <w:t xml:space="preserve"> после уточнения расчетов по результатам выполнения установленных региональными планами мероприятий по повышению эффективности отраслей социальной сферы («дорожными картами») целевых показателей соотношения средней заработной платы отдель</w:t>
      </w:r>
      <w:r w:rsidR="00193437">
        <w:rPr>
          <w:sz w:val="28"/>
          <w:szCs w:val="28"/>
        </w:rPr>
        <w:t>ных категорий работников за отче</w:t>
      </w:r>
      <w:r w:rsidR="00224240" w:rsidRPr="006919EC">
        <w:rPr>
          <w:sz w:val="28"/>
          <w:szCs w:val="28"/>
        </w:rPr>
        <w:t>тный 2014 год, с учётом данных статистического наблюдения за 2014 год</w:t>
      </w:r>
      <w:r w:rsidR="006919EC" w:rsidRPr="006919EC">
        <w:rPr>
          <w:sz w:val="28"/>
          <w:szCs w:val="28"/>
        </w:rPr>
        <w:t>.</w:t>
      </w:r>
    </w:p>
    <w:p w:rsidR="00224240" w:rsidRPr="00C554C0" w:rsidRDefault="00BC19C9" w:rsidP="00BC19C9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0193437">
        <w:rPr>
          <w:rFonts w:eastAsia="Calibri"/>
          <w:sz w:val="28"/>
          <w:szCs w:val="28"/>
          <w:lang w:eastAsia="en-US"/>
        </w:rPr>
        <w:t>Установить, что в 2015 году</w:t>
      </w:r>
      <w:r w:rsidR="00224240" w:rsidRPr="00C554C0">
        <w:rPr>
          <w:rFonts w:eastAsia="Calibri"/>
          <w:sz w:val="28"/>
          <w:szCs w:val="28"/>
          <w:lang w:eastAsia="en-US"/>
        </w:rPr>
        <w:t xml:space="preserve"> при предоставлении главными распорядителями средств бюджета </w:t>
      </w:r>
      <w:r w:rsidR="00C554C0" w:rsidRPr="00C554C0">
        <w:rPr>
          <w:rFonts w:eastAsia="Calibri"/>
          <w:sz w:val="28"/>
          <w:szCs w:val="28"/>
          <w:lang w:eastAsia="en-US"/>
        </w:rPr>
        <w:t>района</w:t>
      </w:r>
      <w:r w:rsidR="00224240" w:rsidRPr="00C554C0">
        <w:rPr>
          <w:rFonts w:eastAsia="Calibri"/>
          <w:sz w:val="28"/>
          <w:szCs w:val="28"/>
          <w:lang w:eastAsia="en-US"/>
        </w:rPr>
        <w:t xml:space="preserve"> предложений по внесению изменений в сводную бюджетную роспись </w:t>
      </w:r>
      <w:r w:rsidR="00C554C0" w:rsidRPr="00C554C0">
        <w:rPr>
          <w:rFonts w:eastAsia="Calibri"/>
          <w:sz w:val="28"/>
          <w:szCs w:val="28"/>
          <w:lang w:eastAsia="en-US"/>
        </w:rPr>
        <w:t>Ханты-Мансийского района</w:t>
      </w:r>
      <w:r w:rsidR="00224240" w:rsidRPr="00C554C0">
        <w:rPr>
          <w:rFonts w:eastAsia="Calibri"/>
          <w:sz w:val="28"/>
          <w:szCs w:val="28"/>
          <w:lang w:eastAsia="en-US"/>
        </w:rPr>
        <w:t xml:space="preserve"> </w:t>
      </w:r>
      <w:r w:rsidR="00193437">
        <w:rPr>
          <w:rFonts w:eastAsia="Calibri"/>
          <w:sz w:val="28"/>
          <w:szCs w:val="28"/>
          <w:lang w:eastAsia="en-US"/>
        </w:rPr>
        <w:t xml:space="preserve">           </w:t>
      </w:r>
      <w:r w:rsidR="00224240" w:rsidRPr="00C554C0">
        <w:rPr>
          <w:rFonts w:eastAsia="Calibri"/>
          <w:sz w:val="28"/>
          <w:szCs w:val="28"/>
          <w:lang w:eastAsia="en-US"/>
        </w:rPr>
        <w:t>не допускается перераспределение на иные цели бюджетных ассигнований:</w:t>
      </w:r>
    </w:p>
    <w:p w:rsidR="009457DB" w:rsidRDefault="00224240" w:rsidP="00BC19C9">
      <w:pPr>
        <w:pStyle w:val="ab"/>
        <w:widowControl w:val="0"/>
        <w:autoSpaceDE w:val="0"/>
        <w:autoSpaceDN w:val="0"/>
        <w:adjustRightInd w:val="0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9457DB">
        <w:rPr>
          <w:rFonts w:eastAsia="Calibri"/>
          <w:sz w:val="28"/>
          <w:szCs w:val="28"/>
          <w:lang w:eastAsia="en-US"/>
        </w:rPr>
        <w:t>предусмотренных на уплату налога на имущество организаций;</w:t>
      </w:r>
    </w:p>
    <w:p w:rsidR="009457DB" w:rsidRDefault="00224240" w:rsidP="00BC19C9">
      <w:pPr>
        <w:pStyle w:val="ab"/>
        <w:widowControl w:val="0"/>
        <w:autoSpaceDE w:val="0"/>
        <w:autoSpaceDN w:val="0"/>
        <w:adjustRightInd w:val="0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9457DB">
        <w:rPr>
          <w:rFonts w:eastAsia="Calibri"/>
          <w:sz w:val="28"/>
          <w:szCs w:val="28"/>
          <w:lang w:eastAsia="en-US"/>
        </w:rPr>
        <w:t xml:space="preserve">предусмотренных на реализацию указов Президента Российской Федерации по повышению </w:t>
      </w:r>
      <w:proofErr w:type="gramStart"/>
      <w:r w:rsidRPr="009457DB">
        <w:rPr>
          <w:rFonts w:eastAsia="Calibri"/>
          <w:sz w:val="28"/>
          <w:szCs w:val="28"/>
          <w:lang w:eastAsia="en-US"/>
        </w:rPr>
        <w:t>оплаты труда отдельных категорий работников бюджетной сферы</w:t>
      </w:r>
      <w:proofErr w:type="gramEnd"/>
      <w:r w:rsidRPr="009457DB">
        <w:rPr>
          <w:rFonts w:eastAsia="Calibri"/>
          <w:sz w:val="28"/>
          <w:szCs w:val="28"/>
          <w:lang w:eastAsia="en-US"/>
        </w:rPr>
        <w:t>;</w:t>
      </w:r>
      <w:r w:rsidR="00193437">
        <w:rPr>
          <w:rFonts w:eastAsia="Calibri"/>
          <w:sz w:val="28"/>
          <w:szCs w:val="28"/>
          <w:lang w:eastAsia="en-US"/>
        </w:rPr>
        <w:t xml:space="preserve">  </w:t>
      </w:r>
    </w:p>
    <w:p w:rsidR="00224240" w:rsidRPr="009457DB" w:rsidRDefault="00224240" w:rsidP="00BC19C9">
      <w:pPr>
        <w:pStyle w:val="ab"/>
        <w:widowControl w:val="0"/>
        <w:autoSpaceDE w:val="0"/>
        <w:autoSpaceDN w:val="0"/>
        <w:adjustRightInd w:val="0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9457DB">
        <w:rPr>
          <w:rFonts w:eastAsia="Calibri"/>
          <w:sz w:val="28"/>
          <w:szCs w:val="28"/>
          <w:lang w:eastAsia="en-US"/>
        </w:rPr>
        <w:t xml:space="preserve">предусмотренных на оплату труда и начисления на выплаты </w:t>
      </w:r>
      <w:r w:rsidR="00193437">
        <w:rPr>
          <w:rFonts w:eastAsia="Calibri"/>
          <w:sz w:val="28"/>
          <w:szCs w:val="28"/>
          <w:lang w:eastAsia="en-US"/>
        </w:rPr>
        <w:t xml:space="preserve">                    </w:t>
      </w:r>
      <w:r w:rsidRPr="009457DB">
        <w:rPr>
          <w:rFonts w:eastAsia="Calibri"/>
          <w:sz w:val="28"/>
          <w:szCs w:val="28"/>
          <w:lang w:eastAsia="en-US"/>
        </w:rPr>
        <w:t xml:space="preserve">по оплате труда, за исключением исполнения требований </w:t>
      </w:r>
      <w:r w:rsidR="00193437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9457DB">
        <w:rPr>
          <w:rFonts w:eastAsia="Calibri"/>
          <w:sz w:val="28"/>
          <w:szCs w:val="28"/>
          <w:lang w:eastAsia="en-US"/>
        </w:rPr>
        <w:t>по исполнительным листам.</w:t>
      </w:r>
    </w:p>
    <w:p w:rsidR="00BC19C9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205BC6" w:rsidRPr="005149F7">
        <w:rPr>
          <w:rFonts w:ascii="Times New Roman" w:hAnsi="Times New Roman"/>
          <w:sz w:val="28"/>
          <w:szCs w:val="28"/>
        </w:rPr>
        <w:t>Рекомендовать органам местного самоуправления сельских поселений Ханты-Мансийского района: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12D5C">
        <w:rPr>
          <w:rFonts w:ascii="Times New Roman" w:hAnsi="Times New Roman"/>
          <w:sz w:val="28"/>
          <w:szCs w:val="28"/>
        </w:rPr>
        <w:t xml:space="preserve">принять аналогичные планы мероприятий по росту доходов, оптимизации расходов местных бюджетов и сокращению </w:t>
      </w:r>
      <w:r w:rsidRPr="00091B98">
        <w:rPr>
          <w:rFonts w:ascii="Times New Roman" w:hAnsi="Times New Roman"/>
          <w:sz w:val="28"/>
          <w:szCs w:val="28"/>
        </w:rPr>
        <w:t xml:space="preserve">муниципального долга на 2015 год и на плановый период 2016 и 2017 годов в соответствии с пунктом 2 настоящего постановления. Представлять в </w:t>
      </w:r>
      <w:r w:rsidR="009B7DB3" w:rsidRPr="00091B98">
        <w:rPr>
          <w:rFonts w:ascii="Times New Roman" w:hAnsi="Times New Roman"/>
          <w:sz w:val="28"/>
          <w:szCs w:val="28"/>
        </w:rPr>
        <w:t xml:space="preserve">комитет </w:t>
      </w:r>
      <w:r w:rsidR="00193437">
        <w:rPr>
          <w:rFonts w:ascii="Times New Roman" w:hAnsi="Times New Roman"/>
          <w:sz w:val="28"/>
          <w:szCs w:val="28"/>
        </w:rPr>
        <w:t xml:space="preserve">                        </w:t>
      </w:r>
      <w:r w:rsidR="009B7DB3" w:rsidRPr="00091B98">
        <w:rPr>
          <w:rFonts w:ascii="Times New Roman" w:hAnsi="Times New Roman"/>
          <w:sz w:val="28"/>
          <w:szCs w:val="28"/>
        </w:rPr>
        <w:t xml:space="preserve">по финансам </w:t>
      </w:r>
      <w:r w:rsidR="00712D5C" w:rsidRPr="00091B9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091B98">
        <w:rPr>
          <w:rFonts w:ascii="Times New Roman" w:hAnsi="Times New Roman"/>
          <w:sz w:val="28"/>
          <w:szCs w:val="28"/>
        </w:rPr>
        <w:t xml:space="preserve"> сводную информацию о выполнении плана мероприятий по росту доходов, оптимизации расходов местных бюджетов и сокращению муниципального долга на 2015 год и на плановый период 2016 и 2017 годов по форме </w:t>
      </w:r>
      <w:r w:rsidR="00193437">
        <w:rPr>
          <w:rFonts w:ascii="Times New Roman" w:hAnsi="Times New Roman"/>
          <w:sz w:val="28"/>
          <w:szCs w:val="28"/>
        </w:rPr>
        <w:t xml:space="preserve">                    </w:t>
      </w:r>
      <w:r w:rsidRPr="00091B98">
        <w:rPr>
          <w:rFonts w:ascii="Times New Roman" w:hAnsi="Times New Roman"/>
          <w:sz w:val="28"/>
          <w:szCs w:val="28"/>
        </w:rPr>
        <w:t>и в сроки, установленные им;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91B98">
        <w:rPr>
          <w:rFonts w:ascii="Times New Roman" w:hAnsi="Times New Roman"/>
          <w:sz w:val="28"/>
          <w:szCs w:val="28"/>
        </w:rPr>
        <w:t>обеспечить сбалансированность местных бюджетов;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91B98">
        <w:rPr>
          <w:rFonts w:ascii="Times New Roman" w:hAnsi="Times New Roman"/>
          <w:sz w:val="28"/>
          <w:szCs w:val="28"/>
        </w:rPr>
        <w:t xml:space="preserve">обеспечить при формировании местных бюджетов полное финансовое обеспечение социально значимых расходных обязательств, </w:t>
      </w:r>
      <w:r w:rsidR="00193437">
        <w:rPr>
          <w:rFonts w:ascii="Times New Roman" w:hAnsi="Times New Roman"/>
          <w:sz w:val="28"/>
          <w:szCs w:val="28"/>
        </w:rPr>
        <w:t xml:space="preserve">             </w:t>
      </w:r>
      <w:r w:rsidRPr="00091B98">
        <w:rPr>
          <w:rFonts w:ascii="Times New Roman" w:hAnsi="Times New Roman"/>
          <w:sz w:val="28"/>
          <w:szCs w:val="28"/>
        </w:rPr>
        <w:t xml:space="preserve">в том числе предусмотреть бюджетные ассигнования на оплату труда работников муниципальных учреждений (организаций), финансируемых из местных бюджетов из расчета годового фонда оплаты труда </w:t>
      </w:r>
      <w:r w:rsidR="00193437">
        <w:rPr>
          <w:rFonts w:ascii="Times New Roman" w:hAnsi="Times New Roman"/>
          <w:sz w:val="28"/>
          <w:szCs w:val="28"/>
        </w:rPr>
        <w:t xml:space="preserve">                            </w:t>
      </w:r>
      <w:r w:rsidRPr="00091B98">
        <w:rPr>
          <w:rFonts w:ascii="Times New Roman" w:hAnsi="Times New Roman"/>
          <w:sz w:val="28"/>
          <w:szCs w:val="28"/>
        </w:rPr>
        <w:t xml:space="preserve">(на 12 месяцев) с учетом страховых 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>взносов во внебюджетные фонды;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D2876">
        <w:rPr>
          <w:rFonts w:ascii="Times New Roman" w:hAnsi="Times New Roman"/>
          <w:color w:val="000000" w:themeColor="text1"/>
          <w:sz w:val="28"/>
          <w:szCs w:val="28"/>
        </w:rPr>
        <w:t>обеспечить достижени</w:t>
      </w:r>
      <w:r w:rsidR="00FC7589" w:rsidRPr="008D287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93437">
        <w:rPr>
          <w:rFonts w:ascii="Times New Roman" w:hAnsi="Times New Roman"/>
          <w:color w:val="000000" w:themeColor="text1"/>
          <w:sz w:val="28"/>
          <w:szCs w:val="28"/>
        </w:rPr>
        <w:t xml:space="preserve"> в 2014 – 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>2018 годах целевых показателей (нормативов) оптимизации сети муниципальных организаций (учреждений), а также выполнени</w:t>
      </w:r>
      <w:r w:rsidR="0019343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установленных целевых показателей </w:t>
      </w:r>
      <w:r w:rsidR="0019343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>по оплате труда отдельных категорий работников муницип</w:t>
      </w:r>
      <w:r w:rsidR="00193437">
        <w:rPr>
          <w:rFonts w:ascii="Times New Roman" w:hAnsi="Times New Roman"/>
          <w:color w:val="000000" w:themeColor="text1"/>
          <w:sz w:val="28"/>
          <w:szCs w:val="28"/>
        </w:rPr>
        <w:t>альных организаций (учреждений)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муниципальными планами мероприятий («дорожными картами») изменений в отраслях социальной сферы, направленными на повышение эффективности сферы культуры;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D2876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повышение эффективности бюджетных расходов, </w:t>
      </w:r>
      <w:r w:rsidR="0019343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8D2876">
        <w:rPr>
          <w:rFonts w:ascii="Times New Roman" w:hAnsi="Times New Roman"/>
          <w:color w:val="000000" w:themeColor="text1"/>
          <w:sz w:val="28"/>
          <w:szCs w:val="28"/>
        </w:rPr>
        <w:t>в том числе не допускать необоснованного увеличения количества принимаемых расходных обязательств;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D2876">
        <w:rPr>
          <w:rFonts w:ascii="Times New Roman" w:hAnsi="Times New Roman"/>
          <w:color w:val="000000" w:themeColor="text1"/>
          <w:sz w:val="28"/>
          <w:szCs w:val="28"/>
        </w:rPr>
        <w:t>не допускать образования</w:t>
      </w:r>
      <w:r w:rsidRPr="008D2876">
        <w:rPr>
          <w:rFonts w:ascii="Times New Roman" w:hAnsi="Times New Roman"/>
          <w:sz w:val="28"/>
          <w:szCs w:val="28"/>
        </w:rPr>
        <w:t xml:space="preserve"> просроченной кредиторской</w:t>
      </w:r>
      <w:r w:rsidRPr="00AA50D0">
        <w:rPr>
          <w:rFonts w:ascii="Times New Roman" w:hAnsi="Times New Roman"/>
          <w:sz w:val="28"/>
          <w:szCs w:val="28"/>
        </w:rPr>
        <w:t xml:space="preserve"> задолженности;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50D0">
        <w:rPr>
          <w:rFonts w:ascii="Times New Roman" w:hAnsi="Times New Roman"/>
          <w:sz w:val="28"/>
          <w:szCs w:val="28"/>
        </w:rPr>
        <w:t xml:space="preserve">не принимать решения, приводящие к увеличению численности работников бюджетной сферы и органов местного самоуправления, </w:t>
      </w:r>
      <w:r w:rsidR="00193437">
        <w:rPr>
          <w:rFonts w:ascii="Times New Roman" w:hAnsi="Times New Roman"/>
          <w:sz w:val="28"/>
          <w:szCs w:val="28"/>
        </w:rPr>
        <w:t xml:space="preserve">                    </w:t>
      </w:r>
      <w:r w:rsidRPr="00AA50D0">
        <w:rPr>
          <w:rFonts w:ascii="Times New Roman" w:hAnsi="Times New Roman"/>
          <w:sz w:val="28"/>
          <w:szCs w:val="28"/>
        </w:rPr>
        <w:t xml:space="preserve">за исключением случаев, когда увеличение численности работников бюджетной сферы и органов местного самоуправления необходимо </w:t>
      </w:r>
      <w:r w:rsidR="00193437">
        <w:rPr>
          <w:rFonts w:ascii="Times New Roman" w:hAnsi="Times New Roman"/>
          <w:sz w:val="28"/>
          <w:szCs w:val="28"/>
        </w:rPr>
        <w:t xml:space="preserve">                </w:t>
      </w:r>
      <w:r w:rsidRPr="00AA50D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AA50D0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AA50D0">
        <w:rPr>
          <w:rFonts w:ascii="Times New Roman" w:hAnsi="Times New Roman"/>
          <w:sz w:val="28"/>
          <w:szCs w:val="28"/>
        </w:rPr>
        <w:t xml:space="preserve"> переданных государственных</w:t>
      </w:r>
      <w:r w:rsidR="00105975" w:rsidRPr="00AA50D0">
        <w:rPr>
          <w:rFonts w:ascii="Times New Roman" w:hAnsi="Times New Roman"/>
          <w:sz w:val="28"/>
          <w:szCs w:val="28"/>
        </w:rPr>
        <w:t xml:space="preserve"> и муниципа</w:t>
      </w:r>
      <w:r w:rsidR="00544D81" w:rsidRPr="00AA50D0">
        <w:rPr>
          <w:rFonts w:ascii="Times New Roman" w:hAnsi="Times New Roman"/>
          <w:sz w:val="28"/>
          <w:szCs w:val="28"/>
        </w:rPr>
        <w:t>льных</w:t>
      </w:r>
      <w:r w:rsidRPr="00AA50D0">
        <w:rPr>
          <w:rFonts w:ascii="Times New Roman" w:hAnsi="Times New Roman"/>
          <w:sz w:val="28"/>
          <w:szCs w:val="28"/>
        </w:rPr>
        <w:t xml:space="preserve"> полномочий и федеральных законов, предусматривающих расширение полномочий органов местного самоуправления, а также связано с вводом новых объектов капитального строительства;</w:t>
      </w:r>
    </w:p>
    <w:p w:rsidR="00BC19C9" w:rsidRDefault="003C3C97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50D0">
        <w:rPr>
          <w:rFonts w:ascii="Times New Roman" w:hAnsi="Times New Roman"/>
          <w:sz w:val="28"/>
          <w:szCs w:val="28"/>
        </w:rPr>
        <w:t>не допускать превышение нормативов расходов на содержание органов местного самоуправления</w:t>
      </w:r>
      <w:r w:rsidR="00AA50D0" w:rsidRPr="00AA50D0">
        <w:rPr>
          <w:rFonts w:ascii="Times New Roman" w:hAnsi="Times New Roman"/>
          <w:sz w:val="28"/>
          <w:szCs w:val="28"/>
        </w:rPr>
        <w:t>;</w:t>
      </w:r>
    </w:p>
    <w:p w:rsidR="00BC19C9" w:rsidRDefault="00AA50D0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50D0">
        <w:rPr>
          <w:rFonts w:ascii="Times New Roman" w:hAnsi="Times New Roman"/>
          <w:sz w:val="28"/>
          <w:szCs w:val="28"/>
        </w:rPr>
        <w:t>п</w:t>
      </w:r>
      <w:r w:rsidR="00205BC6" w:rsidRPr="00AA50D0">
        <w:rPr>
          <w:rFonts w:ascii="Times New Roman" w:hAnsi="Times New Roman"/>
          <w:sz w:val="28"/>
          <w:szCs w:val="28"/>
        </w:rPr>
        <w:t xml:space="preserve">редставлять </w:t>
      </w:r>
      <w:proofErr w:type="gramStart"/>
      <w:r w:rsidR="00205BC6" w:rsidRPr="00AA50D0">
        <w:rPr>
          <w:rFonts w:ascii="Times New Roman" w:hAnsi="Times New Roman"/>
          <w:sz w:val="28"/>
          <w:szCs w:val="28"/>
        </w:rPr>
        <w:t>в комитет по финансам администрации района сведения о внесенных в решения о бюджетах</w:t>
      </w:r>
      <w:proofErr w:type="gramEnd"/>
      <w:r w:rsidR="00205BC6" w:rsidRPr="00AA50D0">
        <w:rPr>
          <w:rFonts w:ascii="Times New Roman" w:hAnsi="Times New Roman"/>
          <w:sz w:val="28"/>
          <w:szCs w:val="28"/>
        </w:rPr>
        <w:t xml:space="preserve"> на 201</w:t>
      </w:r>
      <w:r w:rsidR="00E24164" w:rsidRPr="00AA50D0">
        <w:rPr>
          <w:rFonts w:ascii="Times New Roman" w:hAnsi="Times New Roman"/>
          <w:sz w:val="28"/>
          <w:szCs w:val="28"/>
        </w:rPr>
        <w:t>5</w:t>
      </w:r>
      <w:r w:rsidR="00205BC6" w:rsidRPr="00AA50D0">
        <w:rPr>
          <w:rFonts w:ascii="Times New Roman" w:hAnsi="Times New Roman"/>
          <w:sz w:val="28"/>
          <w:szCs w:val="28"/>
        </w:rPr>
        <w:t xml:space="preserve"> год </w:t>
      </w:r>
      <w:r w:rsidR="000F4049" w:rsidRPr="00AA50D0">
        <w:rPr>
          <w:rFonts w:ascii="Times New Roman" w:hAnsi="Times New Roman"/>
          <w:sz w:val="28"/>
          <w:szCs w:val="28"/>
        </w:rPr>
        <w:t xml:space="preserve">и на </w:t>
      </w:r>
      <w:r w:rsidR="00205BC6" w:rsidRPr="00AA50D0">
        <w:rPr>
          <w:rFonts w:ascii="Times New Roman" w:hAnsi="Times New Roman"/>
          <w:sz w:val="28"/>
          <w:szCs w:val="28"/>
        </w:rPr>
        <w:t>плановый период 201</w:t>
      </w:r>
      <w:r w:rsidR="00E24164" w:rsidRPr="00AA50D0">
        <w:rPr>
          <w:rFonts w:ascii="Times New Roman" w:hAnsi="Times New Roman"/>
          <w:sz w:val="28"/>
          <w:szCs w:val="28"/>
        </w:rPr>
        <w:t>6</w:t>
      </w:r>
      <w:r w:rsidR="00205BC6" w:rsidRPr="00AA50D0">
        <w:rPr>
          <w:rFonts w:ascii="Times New Roman" w:hAnsi="Times New Roman"/>
          <w:sz w:val="28"/>
          <w:szCs w:val="28"/>
        </w:rPr>
        <w:t xml:space="preserve"> и 201</w:t>
      </w:r>
      <w:r w:rsidR="00E24164" w:rsidRPr="00AA50D0">
        <w:rPr>
          <w:rFonts w:ascii="Times New Roman" w:hAnsi="Times New Roman"/>
          <w:sz w:val="28"/>
          <w:szCs w:val="28"/>
        </w:rPr>
        <w:t>7</w:t>
      </w:r>
      <w:r w:rsidR="00205BC6" w:rsidRPr="00AA50D0">
        <w:rPr>
          <w:rFonts w:ascii="Times New Roman" w:hAnsi="Times New Roman"/>
          <w:sz w:val="28"/>
          <w:szCs w:val="28"/>
        </w:rPr>
        <w:t xml:space="preserve"> годов изменениях в недельный срок после принятия</w:t>
      </w:r>
      <w:r w:rsidR="00193437">
        <w:rPr>
          <w:rFonts w:ascii="Times New Roman" w:hAnsi="Times New Roman"/>
          <w:sz w:val="28"/>
          <w:szCs w:val="28"/>
        </w:rPr>
        <w:t xml:space="preserve">   </w:t>
      </w:r>
      <w:r w:rsidR="00205BC6" w:rsidRPr="00AA50D0">
        <w:rPr>
          <w:rFonts w:ascii="Times New Roman" w:hAnsi="Times New Roman"/>
          <w:sz w:val="28"/>
          <w:szCs w:val="28"/>
        </w:rPr>
        <w:t xml:space="preserve"> их представительными органами </w:t>
      </w:r>
      <w:r w:rsidR="00205BC6" w:rsidRPr="00441D96">
        <w:rPr>
          <w:rFonts w:ascii="Times New Roman" w:hAnsi="Times New Roman"/>
          <w:sz w:val="28"/>
          <w:szCs w:val="28"/>
        </w:rPr>
        <w:t>муниципальных образований.</w:t>
      </w:r>
    </w:p>
    <w:p w:rsidR="00BC19C9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05BC6" w:rsidRPr="00F002E4">
        <w:rPr>
          <w:rFonts w:ascii="Times New Roman" w:hAnsi="Times New Roman"/>
          <w:sz w:val="28"/>
          <w:szCs w:val="28"/>
        </w:rPr>
        <w:t>Главным распорядителям бюджетных средств Ханты-Мансийского района в срок до 25-го числа месяца, следующего</w:t>
      </w:r>
      <w:r w:rsidR="00193437">
        <w:rPr>
          <w:rFonts w:ascii="Times New Roman" w:hAnsi="Times New Roman"/>
          <w:sz w:val="28"/>
          <w:szCs w:val="28"/>
        </w:rPr>
        <w:t xml:space="preserve">                          </w:t>
      </w:r>
      <w:r w:rsidR="00205BC6" w:rsidRPr="00F002E4">
        <w:rPr>
          <w:rFonts w:ascii="Times New Roman" w:hAnsi="Times New Roman"/>
          <w:sz w:val="28"/>
          <w:szCs w:val="28"/>
        </w:rPr>
        <w:t xml:space="preserve"> за отчетным кварталом, представлять в комитет по финансам администрации района информацию о выполнении данного постановления по соответствующим пунктам.</w:t>
      </w:r>
    </w:p>
    <w:p w:rsidR="008938C1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F4049" w:rsidRPr="00F002E4">
        <w:rPr>
          <w:rFonts w:ascii="Times New Roman" w:hAnsi="Times New Roman"/>
          <w:sz w:val="28"/>
          <w:szCs w:val="28"/>
        </w:rPr>
        <w:t>Комитету</w:t>
      </w:r>
      <w:r w:rsidR="003F4080" w:rsidRPr="00F002E4">
        <w:rPr>
          <w:rFonts w:ascii="Times New Roman" w:hAnsi="Times New Roman"/>
          <w:sz w:val="28"/>
          <w:szCs w:val="28"/>
        </w:rPr>
        <w:t xml:space="preserve"> </w:t>
      </w:r>
      <w:r w:rsidR="00205BC6" w:rsidRPr="00F002E4">
        <w:rPr>
          <w:rFonts w:ascii="Times New Roman" w:hAnsi="Times New Roman"/>
          <w:sz w:val="28"/>
          <w:szCs w:val="28"/>
        </w:rPr>
        <w:t>по</w:t>
      </w:r>
      <w:r w:rsidR="000F4049" w:rsidRPr="00F002E4">
        <w:rPr>
          <w:rFonts w:ascii="Times New Roman" w:hAnsi="Times New Roman"/>
          <w:sz w:val="28"/>
          <w:szCs w:val="28"/>
        </w:rPr>
        <w:t xml:space="preserve"> финансам</w:t>
      </w:r>
      <w:r w:rsidR="003F4080" w:rsidRPr="00F002E4">
        <w:rPr>
          <w:rFonts w:ascii="Times New Roman" w:hAnsi="Times New Roman"/>
          <w:sz w:val="28"/>
          <w:szCs w:val="28"/>
        </w:rPr>
        <w:t xml:space="preserve"> </w:t>
      </w:r>
      <w:r w:rsidR="00205BC6" w:rsidRPr="00F002E4">
        <w:rPr>
          <w:rFonts w:ascii="Times New Roman" w:hAnsi="Times New Roman"/>
          <w:sz w:val="28"/>
          <w:szCs w:val="28"/>
        </w:rPr>
        <w:t>администрации</w:t>
      </w:r>
      <w:r w:rsidR="000F4049" w:rsidRPr="00F002E4">
        <w:rPr>
          <w:rFonts w:ascii="Times New Roman" w:hAnsi="Times New Roman"/>
          <w:sz w:val="28"/>
          <w:szCs w:val="28"/>
        </w:rPr>
        <w:t xml:space="preserve"> </w:t>
      </w:r>
      <w:r w:rsidR="00205BC6" w:rsidRPr="00F002E4">
        <w:rPr>
          <w:rFonts w:ascii="Times New Roman" w:hAnsi="Times New Roman"/>
          <w:sz w:val="28"/>
          <w:szCs w:val="28"/>
        </w:rPr>
        <w:t>района</w:t>
      </w:r>
      <w:r w:rsidR="003F4080" w:rsidRPr="00F002E4">
        <w:rPr>
          <w:rFonts w:ascii="Times New Roman" w:hAnsi="Times New Roman"/>
          <w:sz w:val="28"/>
          <w:szCs w:val="28"/>
        </w:rPr>
        <w:t xml:space="preserve"> </w:t>
      </w:r>
      <w:r w:rsidR="00205BC6" w:rsidRPr="00F002E4">
        <w:rPr>
          <w:rFonts w:ascii="Times New Roman" w:hAnsi="Times New Roman"/>
          <w:sz w:val="28"/>
          <w:szCs w:val="28"/>
        </w:rPr>
        <w:t>(Горелик Т.Ю.)</w:t>
      </w:r>
      <w:r w:rsidR="008938C1">
        <w:rPr>
          <w:rFonts w:ascii="Times New Roman" w:hAnsi="Times New Roman"/>
          <w:sz w:val="28"/>
          <w:szCs w:val="28"/>
        </w:rPr>
        <w:t>:</w:t>
      </w:r>
    </w:p>
    <w:p w:rsidR="00BC19C9" w:rsidRDefault="008938C1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Н</w:t>
      </w:r>
      <w:r w:rsidR="00205BC6" w:rsidRPr="00F002E4">
        <w:rPr>
          <w:rFonts w:ascii="Times New Roman" w:hAnsi="Times New Roman"/>
          <w:sz w:val="28"/>
          <w:szCs w:val="28"/>
        </w:rPr>
        <w:t>а основе данных главных распорядителей бюджетных средств, главных администраторов поступлений Ханты-Мансийского района представлять</w:t>
      </w:r>
      <w:r w:rsidR="005035B2" w:rsidRPr="00F002E4">
        <w:rPr>
          <w:rFonts w:ascii="Times New Roman" w:hAnsi="Times New Roman"/>
          <w:sz w:val="28"/>
          <w:szCs w:val="28"/>
        </w:rPr>
        <w:t xml:space="preserve"> главе администрации района</w:t>
      </w:r>
      <w:r w:rsidR="00205BC6" w:rsidRPr="00F002E4">
        <w:rPr>
          <w:rFonts w:ascii="Times New Roman" w:hAnsi="Times New Roman"/>
          <w:sz w:val="28"/>
          <w:szCs w:val="28"/>
        </w:rPr>
        <w:t xml:space="preserve"> сводную информацию</w:t>
      </w:r>
      <w:r w:rsidR="00193437">
        <w:rPr>
          <w:rFonts w:ascii="Times New Roman" w:hAnsi="Times New Roman"/>
          <w:sz w:val="28"/>
          <w:szCs w:val="28"/>
        </w:rPr>
        <w:t xml:space="preserve">              </w:t>
      </w:r>
      <w:r w:rsidR="00205BC6" w:rsidRPr="00F002E4">
        <w:rPr>
          <w:rFonts w:ascii="Times New Roman" w:hAnsi="Times New Roman"/>
          <w:sz w:val="28"/>
          <w:szCs w:val="28"/>
        </w:rPr>
        <w:t xml:space="preserve"> о выполнении данного постановления </w:t>
      </w:r>
      <w:r w:rsidR="00CF70F6" w:rsidRPr="00F002E4">
        <w:rPr>
          <w:rFonts w:ascii="Times New Roman" w:hAnsi="Times New Roman"/>
          <w:sz w:val="28"/>
          <w:szCs w:val="28"/>
        </w:rPr>
        <w:t xml:space="preserve">по итогам года </w:t>
      </w:r>
      <w:r w:rsidR="003E432C" w:rsidRPr="00F002E4">
        <w:rPr>
          <w:rFonts w:ascii="Times New Roman" w:hAnsi="Times New Roman"/>
          <w:sz w:val="28"/>
          <w:szCs w:val="28"/>
        </w:rPr>
        <w:t>в срок</w:t>
      </w:r>
      <w:r w:rsidR="00193437">
        <w:rPr>
          <w:rFonts w:ascii="Times New Roman" w:hAnsi="Times New Roman"/>
          <w:sz w:val="28"/>
          <w:szCs w:val="28"/>
        </w:rPr>
        <w:t xml:space="preserve"> до 1 марта </w:t>
      </w:r>
      <w:r w:rsidR="003E432C" w:rsidRPr="00F002E4">
        <w:rPr>
          <w:rFonts w:ascii="Times New Roman" w:hAnsi="Times New Roman"/>
          <w:sz w:val="28"/>
          <w:szCs w:val="28"/>
        </w:rPr>
        <w:t>года</w:t>
      </w:r>
      <w:r w:rsidR="00193437">
        <w:rPr>
          <w:rFonts w:ascii="Times New Roman" w:hAnsi="Times New Roman"/>
          <w:sz w:val="28"/>
          <w:szCs w:val="28"/>
        </w:rPr>
        <w:t>,</w:t>
      </w:r>
      <w:r w:rsidR="003E432C" w:rsidRPr="00F002E4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="003E432C" w:rsidRPr="00F002E4">
        <w:rPr>
          <w:rFonts w:ascii="Times New Roman" w:hAnsi="Times New Roman"/>
          <w:sz w:val="28"/>
          <w:szCs w:val="28"/>
        </w:rPr>
        <w:t>за</w:t>
      </w:r>
      <w:proofErr w:type="gramEnd"/>
      <w:r w:rsidR="003E432C" w:rsidRPr="00F002E4">
        <w:rPr>
          <w:rFonts w:ascii="Times New Roman" w:hAnsi="Times New Roman"/>
          <w:sz w:val="28"/>
          <w:szCs w:val="28"/>
        </w:rPr>
        <w:t xml:space="preserve"> отчётным.</w:t>
      </w:r>
    </w:p>
    <w:p w:rsidR="008938C1" w:rsidRDefault="00BC19C9" w:rsidP="008938C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38C1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="00D229F5">
        <w:rPr>
          <w:rFonts w:ascii="Times New Roman" w:hAnsi="Times New Roman"/>
          <w:sz w:val="28"/>
          <w:szCs w:val="28"/>
        </w:rPr>
        <w:t>Д</w:t>
      </w:r>
      <w:r w:rsidR="00205BC6" w:rsidRPr="00023F4F">
        <w:rPr>
          <w:rFonts w:ascii="Times New Roman" w:hAnsi="Times New Roman"/>
          <w:sz w:val="28"/>
          <w:szCs w:val="28"/>
        </w:rPr>
        <w:t>овести настоящее постановление до главных администраторов доходов Ханты-Мансийского района.</w:t>
      </w:r>
    </w:p>
    <w:p w:rsidR="00A53461" w:rsidRPr="00023F4F" w:rsidRDefault="00D229F5" w:rsidP="008938C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="00205BC6" w:rsidRPr="00023F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5BC6" w:rsidRPr="00023F4F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193437">
        <w:rPr>
          <w:rFonts w:ascii="Times New Roman" w:hAnsi="Times New Roman"/>
          <w:sz w:val="28"/>
          <w:szCs w:val="28"/>
        </w:rPr>
        <w:t xml:space="preserve">                         </w:t>
      </w:r>
      <w:r w:rsidR="00205BC6" w:rsidRPr="00023F4F">
        <w:rPr>
          <w:rFonts w:ascii="Times New Roman" w:hAnsi="Times New Roman"/>
          <w:sz w:val="28"/>
          <w:szCs w:val="28"/>
        </w:rPr>
        <w:t>на заместителя главы</w:t>
      </w:r>
      <w:r w:rsidR="00EB35E0" w:rsidRPr="00023F4F">
        <w:rPr>
          <w:rFonts w:ascii="Times New Roman" w:hAnsi="Times New Roman"/>
          <w:sz w:val="28"/>
          <w:szCs w:val="28"/>
        </w:rPr>
        <w:t xml:space="preserve"> администрации</w:t>
      </w:r>
      <w:r w:rsidR="00205BC6" w:rsidRPr="00023F4F">
        <w:rPr>
          <w:rFonts w:ascii="Times New Roman" w:hAnsi="Times New Roman"/>
          <w:sz w:val="28"/>
          <w:szCs w:val="28"/>
        </w:rPr>
        <w:t xml:space="preserve"> района</w:t>
      </w:r>
      <w:r w:rsidR="00A53461" w:rsidRPr="00023F4F">
        <w:rPr>
          <w:rFonts w:ascii="Times New Roman" w:hAnsi="Times New Roman"/>
          <w:sz w:val="28"/>
          <w:szCs w:val="28"/>
        </w:rPr>
        <w:t xml:space="preserve"> по финансам, председателя комитета по финансам</w:t>
      </w:r>
      <w:r w:rsidR="00205BC6" w:rsidRPr="00023F4F">
        <w:rPr>
          <w:rFonts w:ascii="Times New Roman" w:hAnsi="Times New Roman"/>
          <w:sz w:val="28"/>
          <w:szCs w:val="28"/>
        </w:rPr>
        <w:t xml:space="preserve"> Горелик Т.Ю.</w:t>
      </w: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5BC6" w:rsidRPr="00577552" w:rsidRDefault="00193437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EB35E0" w:rsidRPr="00577552">
        <w:rPr>
          <w:rFonts w:ascii="Times New Roman" w:hAnsi="Times New Roman"/>
          <w:sz w:val="28"/>
          <w:szCs w:val="28"/>
        </w:rPr>
        <w:t>администрации</w:t>
      </w:r>
    </w:p>
    <w:p w:rsidR="006532BE" w:rsidRPr="00577552" w:rsidRDefault="00205BC6" w:rsidP="00D605A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>Ханты-Мансийского района</w:t>
      </w:r>
      <w:r w:rsidR="000F4049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EB35E0" w:rsidRPr="00577552">
        <w:rPr>
          <w:rFonts w:ascii="Times New Roman" w:hAnsi="Times New Roman"/>
          <w:sz w:val="28"/>
          <w:szCs w:val="28"/>
        </w:rPr>
        <w:tab/>
      </w:r>
      <w:r w:rsidR="00A53461" w:rsidRPr="00577552">
        <w:rPr>
          <w:rFonts w:ascii="Times New Roman" w:hAnsi="Times New Roman"/>
          <w:sz w:val="28"/>
          <w:szCs w:val="28"/>
        </w:rPr>
        <w:t xml:space="preserve">          </w:t>
      </w:r>
      <w:r w:rsidR="00193437">
        <w:rPr>
          <w:rFonts w:ascii="Times New Roman" w:hAnsi="Times New Roman"/>
          <w:sz w:val="28"/>
          <w:szCs w:val="28"/>
        </w:rPr>
        <w:t xml:space="preserve">         </w:t>
      </w:r>
      <w:r w:rsidR="000F404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93437">
        <w:rPr>
          <w:rFonts w:ascii="Times New Roman" w:hAnsi="Times New Roman"/>
          <w:sz w:val="28"/>
          <w:szCs w:val="28"/>
        </w:rPr>
        <w:t>Т</w:t>
      </w:r>
      <w:r w:rsidR="002C3A44" w:rsidRPr="00577552">
        <w:rPr>
          <w:rFonts w:ascii="Times New Roman" w:hAnsi="Times New Roman"/>
          <w:sz w:val="28"/>
          <w:szCs w:val="28"/>
        </w:rPr>
        <w:t>.</w:t>
      </w:r>
      <w:r w:rsidR="00193437">
        <w:rPr>
          <w:rFonts w:ascii="Times New Roman" w:hAnsi="Times New Roman"/>
          <w:sz w:val="28"/>
          <w:szCs w:val="28"/>
        </w:rPr>
        <w:t>А</w:t>
      </w:r>
      <w:r w:rsidR="002C3A44" w:rsidRPr="00577552">
        <w:rPr>
          <w:rFonts w:ascii="Times New Roman" w:hAnsi="Times New Roman"/>
          <w:sz w:val="28"/>
          <w:szCs w:val="28"/>
        </w:rPr>
        <w:t>.</w:t>
      </w:r>
      <w:r w:rsidR="00193437">
        <w:rPr>
          <w:rFonts w:ascii="Times New Roman" w:hAnsi="Times New Roman"/>
          <w:sz w:val="28"/>
          <w:szCs w:val="28"/>
        </w:rPr>
        <w:t>Замятина</w:t>
      </w:r>
      <w:proofErr w:type="spellEnd"/>
    </w:p>
    <w:p w:rsidR="006532BE" w:rsidRPr="00577552" w:rsidRDefault="006532BE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Default="006532BE" w:rsidP="00D605A3"/>
    <w:p w:rsidR="005C3F76" w:rsidRDefault="005C3F76" w:rsidP="00D605A3">
      <w:pPr>
        <w:sectPr w:rsidR="005C3F76" w:rsidSect="00EB6A13">
          <w:headerReference w:type="default" r:id="rId14"/>
          <w:pgSz w:w="11906" w:h="16838"/>
          <w:pgMar w:top="1191" w:right="1276" w:bottom="1134" w:left="1559" w:header="709" w:footer="709" w:gutter="0"/>
          <w:cols w:space="708"/>
          <w:titlePg/>
          <w:docGrid w:linePitch="360"/>
        </w:sectPr>
      </w:pPr>
    </w:p>
    <w:p w:rsidR="008E339E" w:rsidRDefault="008E339E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3F76" w:rsidRPr="008E339E" w:rsidRDefault="005C3F76" w:rsidP="00D605A3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 w:rsidR="008E339E"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5C3F76" w:rsidRPr="008E339E" w:rsidRDefault="005C3F76" w:rsidP="00D605A3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5C3F76" w:rsidRPr="008E339E" w:rsidRDefault="00582CB1" w:rsidP="00D605A3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437">
        <w:rPr>
          <w:sz w:val="28"/>
          <w:szCs w:val="28"/>
        </w:rPr>
        <w:t>2</w:t>
      </w:r>
      <w:r w:rsidR="00EB6A1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C05D5">
        <w:rPr>
          <w:sz w:val="28"/>
          <w:szCs w:val="28"/>
        </w:rPr>
        <w:t>2</w:t>
      </w:r>
      <w:r>
        <w:rPr>
          <w:sz w:val="28"/>
          <w:szCs w:val="28"/>
        </w:rPr>
        <w:t xml:space="preserve">.2015 № </w:t>
      </w:r>
      <w:r w:rsidR="00193437">
        <w:rPr>
          <w:sz w:val="28"/>
          <w:szCs w:val="28"/>
        </w:rPr>
        <w:t>37</w:t>
      </w:r>
    </w:p>
    <w:p w:rsidR="005C3F76" w:rsidRDefault="005C3F76" w:rsidP="00D605A3">
      <w:pPr>
        <w:tabs>
          <w:tab w:val="left" w:pos="13325"/>
        </w:tabs>
        <w:jc w:val="right"/>
        <w:rPr>
          <w:sz w:val="28"/>
          <w:szCs w:val="28"/>
        </w:rPr>
      </w:pPr>
    </w:p>
    <w:p w:rsidR="005C3F76" w:rsidRDefault="005C3F76" w:rsidP="00D605A3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План мероприятий по росту доходов</w:t>
      </w:r>
      <w:r w:rsidR="00EE2AD3">
        <w:rPr>
          <w:b/>
          <w:sz w:val="28"/>
          <w:szCs w:val="28"/>
        </w:rPr>
        <w:t>,</w:t>
      </w:r>
      <w:r w:rsidRPr="00714A22">
        <w:rPr>
          <w:b/>
          <w:sz w:val="28"/>
          <w:szCs w:val="28"/>
        </w:rPr>
        <w:t xml:space="preserve"> оптимизации расходов бюджета</w:t>
      </w:r>
      <w:r w:rsidR="00EE2AD3">
        <w:rPr>
          <w:b/>
          <w:sz w:val="28"/>
          <w:szCs w:val="28"/>
        </w:rPr>
        <w:t xml:space="preserve"> и сокращению муниципального долга</w:t>
      </w:r>
      <w:r w:rsidRPr="00714A22">
        <w:rPr>
          <w:b/>
          <w:sz w:val="28"/>
          <w:szCs w:val="28"/>
        </w:rPr>
        <w:t xml:space="preserve"> Ханты-Мансийского </w:t>
      </w:r>
      <w:r>
        <w:rPr>
          <w:b/>
          <w:sz w:val="28"/>
          <w:szCs w:val="28"/>
        </w:rPr>
        <w:t>района</w:t>
      </w:r>
      <w:r w:rsidRPr="00714A22">
        <w:rPr>
          <w:b/>
          <w:sz w:val="28"/>
          <w:szCs w:val="28"/>
        </w:rPr>
        <w:t xml:space="preserve"> </w:t>
      </w:r>
      <w:r w:rsidR="00582CB1">
        <w:rPr>
          <w:b/>
          <w:sz w:val="28"/>
          <w:szCs w:val="28"/>
        </w:rPr>
        <w:t>на 2015 год и на плановый период 2016 и 2017</w:t>
      </w:r>
      <w:r w:rsidRPr="00714A22">
        <w:rPr>
          <w:b/>
          <w:sz w:val="28"/>
          <w:szCs w:val="28"/>
        </w:rPr>
        <w:t xml:space="preserve"> годов</w:t>
      </w:r>
    </w:p>
    <w:p w:rsidR="005C3F76" w:rsidRPr="003F14DC" w:rsidRDefault="005C3F76" w:rsidP="00D605A3">
      <w:pPr>
        <w:rPr>
          <w:vanish/>
          <w:sz w:val="24"/>
          <w:szCs w:val="24"/>
        </w:rPr>
      </w:pPr>
    </w:p>
    <w:p w:rsidR="005C3F76" w:rsidRPr="003F14DC" w:rsidRDefault="005C3F76" w:rsidP="00D605A3">
      <w:pPr>
        <w:jc w:val="both"/>
        <w:rPr>
          <w:sz w:val="24"/>
          <w:szCs w:val="24"/>
        </w:rPr>
      </w:pPr>
    </w:p>
    <w:tbl>
      <w:tblPr>
        <w:tblW w:w="13800" w:type="dxa"/>
        <w:tblCellSpacing w:w="5" w:type="nil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04"/>
        <w:gridCol w:w="1896"/>
        <w:gridCol w:w="360"/>
        <w:gridCol w:w="1340"/>
        <w:gridCol w:w="280"/>
        <w:gridCol w:w="920"/>
        <w:gridCol w:w="1580"/>
        <w:gridCol w:w="1520"/>
        <w:gridCol w:w="120"/>
        <w:gridCol w:w="780"/>
        <w:gridCol w:w="120"/>
        <w:gridCol w:w="780"/>
        <w:gridCol w:w="120"/>
        <w:gridCol w:w="780"/>
        <w:gridCol w:w="900"/>
        <w:gridCol w:w="900"/>
        <w:gridCol w:w="43"/>
        <w:gridCol w:w="757"/>
      </w:tblGrid>
      <w:tr w:rsidR="004B3DCE" w:rsidRPr="001B70DE" w:rsidTr="00A503F2">
        <w:trPr>
          <w:tblCellSpacing w:w="5" w:type="nil"/>
        </w:trPr>
        <w:tc>
          <w:tcPr>
            <w:tcW w:w="500" w:type="dxa"/>
            <w:vMerge w:val="restart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0" w:type="dxa"/>
            <w:gridSpan w:val="2"/>
            <w:vMerge w:val="restart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</w:t>
            </w:r>
            <w:r w:rsidRPr="001B70DE">
              <w:rPr>
                <w:rFonts w:ascii="Times New Roman" w:hAnsi="Times New Roman" w:cs="Times New Roman"/>
              </w:rPr>
              <w:t>ный исполнитель</w:t>
            </w:r>
          </w:p>
        </w:tc>
        <w:tc>
          <w:tcPr>
            <w:tcW w:w="1200" w:type="dxa"/>
            <w:gridSpan w:val="2"/>
            <w:vMerge w:val="restart"/>
          </w:tcPr>
          <w:p w:rsidR="00193437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Срок </w:t>
            </w:r>
          </w:p>
          <w:p w:rsidR="004B3DCE" w:rsidRPr="001B70DE" w:rsidRDefault="00193437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</w:t>
            </w:r>
            <w:r w:rsidR="004B3DCE" w:rsidRPr="001B70DE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80" w:type="dxa"/>
            <w:vMerge w:val="restart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520" w:type="dxa"/>
            <w:vMerge w:val="restart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00" w:type="dxa"/>
            <w:gridSpan w:val="6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600" w:type="dxa"/>
            <w:gridSpan w:val="4"/>
          </w:tcPr>
          <w:p w:rsidR="0013377B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Бюджетный эффект 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от реализации мероприятий, тыс. рублей</w:t>
            </w:r>
          </w:p>
        </w:tc>
      </w:tr>
      <w:tr w:rsidR="004B3DCE" w:rsidRPr="001B70DE" w:rsidTr="00A503F2">
        <w:trPr>
          <w:tblCellSpacing w:w="5" w:type="nil"/>
        </w:trPr>
        <w:tc>
          <w:tcPr>
            <w:tcW w:w="500" w:type="dxa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193437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</w:t>
            </w:r>
            <w:r w:rsidR="00582CB1">
              <w:rPr>
                <w:rFonts w:ascii="Times New Roman" w:hAnsi="Times New Roman" w:cs="Times New Roman"/>
              </w:rPr>
              <w:t>5</w:t>
            </w:r>
            <w:r w:rsidRPr="001B70DE">
              <w:rPr>
                <w:rFonts w:ascii="Times New Roman" w:hAnsi="Times New Roman" w:cs="Times New Roman"/>
              </w:rPr>
              <w:t xml:space="preserve"> 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  <w:gridSpan w:val="2"/>
          </w:tcPr>
          <w:p w:rsidR="00193437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</w:t>
            </w:r>
            <w:r w:rsidR="00582CB1">
              <w:rPr>
                <w:rFonts w:ascii="Times New Roman" w:hAnsi="Times New Roman" w:cs="Times New Roman"/>
              </w:rPr>
              <w:t>016</w:t>
            </w:r>
            <w:r w:rsidRPr="001B70DE">
              <w:rPr>
                <w:rFonts w:ascii="Times New Roman" w:hAnsi="Times New Roman" w:cs="Times New Roman"/>
              </w:rPr>
              <w:t xml:space="preserve"> 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  <w:gridSpan w:val="2"/>
          </w:tcPr>
          <w:p w:rsidR="00193437" w:rsidRDefault="00582CB1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4B3DCE" w:rsidRPr="001B70DE">
              <w:rPr>
                <w:rFonts w:ascii="Times New Roman" w:hAnsi="Times New Roman" w:cs="Times New Roman"/>
              </w:rPr>
              <w:t xml:space="preserve"> 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193437" w:rsidRDefault="00582CB1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0" w:type="dxa"/>
          </w:tcPr>
          <w:p w:rsidR="00193437" w:rsidRDefault="00582CB1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00" w:type="dxa"/>
            <w:gridSpan w:val="2"/>
          </w:tcPr>
          <w:p w:rsidR="004B3DCE" w:rsidRPr="001B70DE" w:rsidRDefault="00582CB1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4B3DCE" w:rsidRPr="001B70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B3DCE" w:rsidRPr="00ED4E2F" w:rsidTr="00A503F2">
        <w:trPr>
          <w:tblCellSpacing w:w="5" w:type="nil"/>
        </w:trPr>
        <w:tc>
          <w:tcPr>
            <w:tcW w:w="13800" w:type="dxa"/>
            <w:gridSpan w:val="19"/>
          </w:tcPr>
          <w:p w:rsidR="004B3DCE" w:rsidRPr="00ED4E2F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1. Мероприятия по росту доходов бюджета Ханты-Мансийского района</w:t>
            </w:r>
          </w:p>
        </w:tc>
      </w:tr>
      <w:tr w:rsidR="00E7128A" w:rsidRPr="00ED4E2F" w:rsidTr="00A503F2">
        <w:trPr>
          <w:tblCellSpacing w:w="5" w:type="nil"/>
        </w:trPr>
        <w:tc>
          <w:tcPr>
            <w:tcW w:w="500" w:type="dxa"/>
          </w:tcPr>
          <w:p w:rsidR="00E7128A" w:rsidRPr="00ED4E2F" w:rsidRDefault="00E7128A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13377B" w:rsidRDefault="00E7128A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7128A">
              <w:rPr>
                <w:rFonts w:ascii="Times New Roman" w:hAnsi="Times New Roman" w:cs="Times New Roman"/>
              </w:rPr>
              <w:t>Итого по доходам,</w:t>
            </w:r>
          </w:p>
          <w:p w:rsidR="00E7128A" w:rsidRPr="00ED4E2F" w:rsidRDefault="00E7128A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7128A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700" w:type="dxa"/>
            <w:gridSpan w:val="2"/>
          </w:tcPr>
          <w:p w:rsidR="00E7128A" w:rsidRPr="00ED4E2F" w:rsidRDefault="00E7128A" w:rsidP="00D605A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</w:tcPr>
          <w:p w:rsidR="00E7128A" w:rsidRPr="00ED4E2F" w:rsidRDefault="00E7128A" w:rsidP="00D605A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80" w:type="dxa"/>
          </w:tcPr>
          <w:p w:rsidR="00E7128A" w:rsidRPr="00ED4E2F" w:rsidRDefault="00E7128A" w:rsidP="00D60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E7128A" w:rsidRPr="00ED4E2F" w:rsidRDefault="00E7128A" w:rsidP="00D60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E7128A" w:rsidRDefault="00E7128A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E7128A" w:rsidRPr="00ED4E2F" w:rsidRDefault="00E7128A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E7128A" w:rsidRPr="00ED4E2F" w:rsidRDefault="00E7128A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7128A" w:rsidRPr="00ED4E2F" w:rsidRDefault="00B75436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43 412,3</w:t>
            </w:r>
          </w:p>
        </w:tc>
        <w:tc>
          <w:tcPr>
            <w:tcW w:w="943" w:type="dxa"/>
            <w:gridSpan w:val="2"/>
          </w:tcPr>
          <w:p w:rsidR="00E7128A" w:rsidRPr="00ED4E2F" w:rsidRDefault="00B75436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2 138,3</w:t>
            </w:r>
          </w:p>
        </w:tc>
        <w:tc>
          <w:tcPr>
            <w:tcW w:w="757" w:type="dxa"/>
          </w:tcPr>
          <w:p w:rsidR="00E7128A" w:rsidRPr="00ED4E2F" w:rsidRDefault="00B57188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2 116,2</w:t>
            </w:r>
          </w:p>
        </w:tc>
      </w:tr>
      <w:tr w:rsidR="00ED4E2F" w:rsidRPr="00ED4E2F" w:rsidTr="00A503F2">
        <w:trPr>
          <w:tblCellSpacing w:w="5" w:type="nil"/>
        </w:trPr>
        <w:tc>
          <w:tcPr>
            <w:tcW w:w="500" w:type="dxa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00" w:type="dxa"/>
            <w:gridSpan w:val="2"/>
          </w:tcPr>
          <w:p w:rsidR="0013377B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Изменение перечня муниципального имущества </w:t>
            </w:r>
          </w:p>
          <w:p w:rsidR="0013377B" w:rsidRDefault="0013377B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</w:t>
            </w:r>
            <w:r w:rsidR="00ED4E2F" w:rsidRPr="00ED4E2F">
              <w:rPr>
                <w:rFonts w:ascii="Times New Roman" w:hAnsi="Times New Roman" w:cs="Times New Roman"/>
              </w:rPr>
              <w:t>ансийского района, предназначенного</w:t>
            </w:r>
          </w:p>
          <w:p w:rsidR="0013377B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к приватизации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в 201</w:t>
            </w:r>
            <w:r w:rsidR="00550233">
              <w:rPr>
                <w:rFonts w:ascii="Times New Roman" w:hAnsi="Times New Roman" w:cs="Times New Roman"/>
              </w:rPr>
              <w:t xml:space="preserve">5 </w:t>
            </w:r>
            <w:r w:rsidRPr="00ED4E2F">
              <w:rPr>
                <w:rFonts w:ascii="Times New Roman" w:hAnsi="Times New Roman" w:cs="Times New Roman"/>
              </w:rPr>
              <w:t xml:space="preserve">году </w:t>
            </w:r>
          </w:p>
          <w:p w:rsidR="00ED4E2F" w:rsidRP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и плановом </w:t>
            </w:r>
            <w:proofErr w:type="gramStart"/>
            <w:r w:rsidRPr="00ED4E2F">
              <w:rPr>
                <w:rFonts w:ascii="Times New Roman" w:hAnsi="Times New Roman" w:cs="Times New Roman"/>
              </w:rPr>
              <w:t>периоде</w:t>
            </w:r>
            <w:proofErr w:type="gramEnd"/>
            <w:r w:rsidRPr="00ED4E2F">
              <w:rPr>
                <w:rFonts w:ascii="Times New Roman" w:hAnsi="Times New Roman" w:cs="Times New Roman"/>
              </w:rPr>
              <w:t xml:space="preserve">       201</w:t>
            </w:r>
            <w:r w:rsidR="00550233">
              <w:rPr>
                <w:rFonts w:ascii="Times New Roman" w:hAnsi="Times New Roman" w:cs="Times New Roman"/>
              </w:rPr>
              <w:t xml:space="preserve">6 – 2017 </w:t>
            </w:r>
            <w:r w:rsidRPr="00ED4E2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700" w:type="dxa"/>
            <w:gridSpan w:val="2"/>
          </w:tcPr>
          <w:p w:rsidR="00193437" w:rsidRDefault="00ED4E2F" w:rsidP="00D605A3">
            <w:pPr>
              <w:autoSpaceDE w:val="0"/>
              <w:autoSpaceDN w:val="0"/>
              <w:adjustRightInd w:val="0"/>
            </w:pPr>
            <w:r w:rsidRPr="00ED4E2F">
              <w:t xml:space="preserve">департамент </w:t>
            </w:r>
            <w:proofErr w:type="gramStart"/>
            <w:r w:rsidRPr="00ED4E2F">
              <w:t>имущественных</w:t>
            </w:r>
            <w:proofErr w:type="gramEnd"/>
            <w:r w:rsidRPr="00ED4E2F">
              <w:t xml:space="preserve">  </w:t>
            </w:r>
          </w:p>
          <w:p w:rsidR="00193437" w:rsidRDefault="00ED4E2F" w:rsidP="00D605A3">
            <w:pPr>
              <w:autoSpaceDE w:val="0"/>
              <w:autoSpaceDN w:val="0"/>
              <w:adjustRightInd w:val="0"/>
            </w:pPr>
            <w:proofErr w:type="gramStart"/>
            <w:r w:rsidRPr="00ED4E2F">
              <w:t xml:space="preserve">и земельных отношений администрации Ханты-Мансийского района (далее – департамент имущественных </w:t>
            </w:r>
            <w:proofErr w:type="gramEnd"/>
          </w:p>
          <w:p w:rsidR="00ED4E2F" w:rsidRPr="00ED4E2F" w:rsidRDefault="00ED4E2F" w:rsidP="00D605A3">
            <w:pPr>
              <w:autoSpaceDE w:val="0"/>
              <w:autoSpaceDN w:val="0"/>
              <w:adjustRightInd w:val="0"/>
            </w:pPr>
            <w:r w:rsidRPr="00ED4E2F">
              <w:t>и земельных отношений)</w:t>
            </w:r>
          </w:p>
        </w:tc>
        <w:tc>
          <w:tcPr>
            <w:tcW w:w="1200" w:type="dxa"/>
            <w:gridSpan w:val="2"/>
          </w:tcPr>
          <w:p w:rsidR="00193437" w:rsidRDefault="00ED4E2F" w:rsidP="00D605A3">
            <w:pPr>
              <w:tabs>
                <w:tab w:val="center" w:pos="4677"/>
                <w:tab w:val="right" w:pos="9355"/>
              </w:tabs>
              <w:jc w:val="center"/>
            </w:pPr>
            <w:r w:rsidRPr="00ED4E2F">
              <w:t>до</w:t>
            </w:r>
          </w:p>
          <w:p w:rsidR="00ED4E2F" w:rsidRPr="00ED4E2F" w:rsidRDefault="00193437" w:rsidP="00D605A3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31.03.</w:t>
            </w:r>
            <w:r w:rsidR="00ED4E2F" w:rsidRPr="00ED4E2F">
              <w:t xml:space="preserve">2015; </w:t>
            </w:r>
          </w:p>
          <w:p w:rsidR="00193437" w:rsidRDefault="00ED4E2F" w:rsidP="00D605A3">
            <w:pPr>
              <w:tabs>
                <w:tab w:val="center" w:pos="4677"/>
                <w:tab w:val="right" w:pos="9355"/>
              </w:tabs>
              <w:jc w:val="center"/>
            </w:pPr>
            <w:r w:rsidRPr="00ED4E2F">
              <w:t xml:space="preserve">до </w:t>
            </w:r>
          </w:p>
          <w:p w:rsidR="00ED4E2F" w:rsidRPr="00ED4E2F" w:rsidRDefault="00193437" w:rsidP="00D605A3">
            <w:pPr>
              <w:tabs>
                <w:tab w:val="center" w:pos="4677"/>
                <w:tab w:val="right" w:pos="9355"/>
              </w:tabs>
              <w:jc w:val="center"/>
            </w:pPr>
            <w:r>
              <w:t>01.01.</w:t>
            </w:r>
            <w:r w:rsidR="00ED4E2F" w:rsidRPr="00ED4E2F">
              <w:t>2016;</w:t>
            </w:r>
          </w:p>
          <w:p w:rsidR="00193437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до </w:t>
            </w:r>
          </w:p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01.01.2017;</w:t>
            </w:r>
          </w:p>
          <w:p w:rsidR="00193437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до </w:t>
            </w:r>
          </w:p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580" w:type="dxa"/>
          </w:tcPr>
          <w:p w:rsidR="00193437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ED4E2F">
              <w:rPr>
                <w:rFonts w:ascii="Times New Roman" w:hAnsi="Times New Roman" w:cs="Times New Roman"/>
              </w:rPr>
              <w:t>ы-</w:t>
            </w:r>
            <w:proofErr w:type="gramEnd"/>
            <w:r w:rsidRPr="00ED4E2F">
              <w:rPr>
                <w:rFonts w:ascii="Times New Roman" w:hAnsi="Times New Roman" w:cs="Times New Roman"/>
              </w:rPr>
              <w:t xml:space="preserve"> Мансийского района</w:t>
            </w:r>
          </w:p>
          <w:p w:rsidR="00193437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«О внесении изменений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в решение Думы Ханты-Мансийского района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от 18.12.2014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№ 410</w:t>
            </w:r>
          </w:p>
          <w:p w:rsidR="0013377B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«Об </w:t>
            </w:r>
            <w:proofErr w:type="spellStart"/>
            <w:proofErr w:type="gramStart"/>
            <w:r w:rsidRPr="00ED4E2F">
              <w:rPr>
                <w:rFonts w:ascii="Times New Roman" w:hAnsi="Times New Roman" w:cs="Times New Roman"/>
              </w:rPr>
              <w:t>утвержде</w:t>
            </w:r>
            <w:r w:rsidR="00A503F2">
              <w:rPr>
                <w:rFonts w:ascii="Times New Roman" w:hAnsi="Times New Roman" w:cs="Times New Roman"/>
              </w:rPr>
              <w:t>-</w:t>
            </w:r>
            <w:r w:rsidRPr="00ED4E2F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ED4E2F">
              <w:rPr>
                <w:rFonts w:ascii="Times New Roman" w:hAnsi="Times New Roman" w:cs="Times New Roman"/>
              </w:rPr>
              <w:t xml:space="preserve"> прогнозного плана приватизации </w:t>
            </w:r>
            <w:proofErr w:type="spellStart"/>
            <w:r w:rsidRPr="00ED4E2F">
              <w:rPr>
                <w:rFonts w:ascii="Times New Roman" w:hAnsi="Times New Roman" w:cs="Times New Roman"/>
              </w:rPr>
              <w:t>муниципаль</w:t>
            </w:r>
            <w:r w:rsidR="00A503F2">
              <w:rPr>
                <w:rFonts w:ascii="Times New Roman" w:hAnsi="Times New Roman" w:cs="Times New Roman"/>
              </w:rPr>
              <w:t>-</w:t>
            </w:r>
            <w:r w:rsidRPr="00ED4E2F">
              <w:rPr>
                <w:rFonts w:ascii="Times New Roman" w:hAnsi="Times New Roman" w:cs="Times New Roman"/>
              </w:rPr>
              <w:t>ного</w:t>
            </w:r>
            <w:proofErr w:type="spellEnd"/>
            <w:r w:rsidRPr="00ED4E2F">
              <w:rPr>
                <w:rFonts w:ascii="Times New Roman" w:hAnsi="Times New Roman" w:cs="Times New Roman"/>
              </w:rPr>
              <w:t xml:space="preserve"> имущества Ханты-Мансийского района на 2015 год и плановый период 2016</w:t>
            </w:r>
          </w:p>
          <w:p w:rsidR="00ED4E2F" w:rsidRP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и 2017 годов»</w:t>
            </w:r>
          </w:p>
        </w:tc>
        <w:tc>
          <w:tcPr>
            <w:tcW w:w="1520" w:type="dxa"/>
          </w:tcPr>
          <w:p w:rsidR="0013377B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отношение </w:t>
            </w:r>
            <w:r w:rsidR="008C4A7E">
              <w:rPr>
                <w:rFonts w:ascii="Times New Roman" w:hAnsi="Times New Roman" w:cs="Times New Roman"/>
              </w:rPr>
              <w:t>количества объектов имущества,</w:t>
            </w:r>
            <w:r w:rsidR="00D142D8">
              <w:rPr>
                <w:rFonts w:ascii="Times New Roman" w:hAnsi="Times New Roman" w:cs="Times New Roman"/>
              </w:rPr>
              <w:t xml:space="preserve"> </w:t>
            </w:r>
            <w:r w:rsidR="008C4A7E">
              <w:rPr>
                <w:rFonts w:ascii="Times New Roman" w:hAnsi="Times New Roman" w:cs="Times New Roman"/>
              </w:rPr>
              <w:t xml:space="preserve">фактически реализованного </w:t>
            </w:r>
          </w:p>
          <w:p w:rsidR="00A503F2" w:rsidRDefault="008C4A7E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общего количества объектов </w:t>
            </w:r>
            <w:r w:rsidR="00A503F2">
              <w:rPr>
                <w:rFonts w:ascii="Times New Roman" w:hAnsi="Times New Roman" w:cs="Times New Roman"/>
              </w:rPr>
              <w:t>имущества, дополнитель</w:t>
            </w:r>
            <w:r w:rsidR="00ED4E2F" w:rsidRPr="00ED4E2F">
              <w:rPr>
                <w:rFonts w:ascii="Times New Roman" w:hAnsi="Times New Roman" w:cs="Times New Roman"/>
              </w:rPr>
              <w:t xml:space="preserve">но включенного  </w:t>
            </w:r>
          </w:p>
          <w:p w:rsidR="00ED4E2F" w:rsidRP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 xml:space="preserve">в перечень,                в </w:t>
            </w:r>
            <w:r w:rsidR="008C4A7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0" w:type="dxa"/>
            <w:gridSpan w:val="2"/>
          </w:tcPr>
          <w:p w:rsidR="00ED4E2F" w:rsidRPr="00ED4E2F" w:rsidRDefault="008C4A7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</w:t>
            </w:r>
            <w:r w:rsidR="00B75436">
              <w:rPr>
                <w:rFonts w:ascii="Times New Roman" w:hAnsi="Times New Roman" w:cs="Times New Roman"/>
              </w:rPr>
              <w:t> </w:t>
            </w:r>
            <w:r w:rsidRPr="00ED4E2F">
              <w:rPr>
                <w:rFonts w:ascii="Times New Roman" w:hAnsi="Times New Roman" w:cs="Times New Roman"/>
              </w:rPr>
              <w:t>900</w:t>
            </w:r>
            <w:r w:rsidR="00B75436">
              <w:rPr>
                <w:rFonts w:ascii="Times New Roman" w:hAnsi="Times New Roman" w:cs="Times New Roman"/>
              </w:rPr>
              <w:t>,</w:t>
            </w:r>
            <w:r w:rsidRPr="00ED4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gridSpan w:val="2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</w:t>
            </w:r>
            <w:r w:rsidR="00B75436">
              <w:rPr>
                <w:rFonts w:ascii="Times New Roman" w:hAnsi="Times New Roman" w:cs="Times New Roman"/>
              </w:rPr>
              <w:t> </w:t>
            </w:r>
            <w:r w:rsidRPr="00ED4E2F">
              <w:rPr>
                <w:rFonts w:ascii="Times New Roman" w:hAnsi="Times New Roman" w:cs="Times New Roman"/>
              </w:rPr>
              <w:t>500</w:t>
            </w:r>
            <w:r w:rsidR="00B75436">
              <w:rPr>
                <w:rFonts w:ascii="Times New Roman" w:hAnsi="Times New Roman" w:cs="Times New Roman"/>
              </w:rPr>
              <w:t>,</w:t>
            </w:r>
            <w:r w:rsidRPr="00ED4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ED4E2F" w:rsidRP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E2F">
              <w:rPr>
                <w:rFonts w:ascii="Times New Roman" w:hAnsi="Times New Roman" w:cs="Times New Roman"/>
              </w:rPr>
              <w:t>1</w:t>
            </w:r>
            <w:r w:rsidR="00B75436">
              <w:rPr>
                <w:rFonts w:ascii="Times New Roman" w:hAnsi="Times New Roman" w:cs="Times New Roman"/>
              </w:rPr>
              <w:t> </w:t>
            </w:r>
            <w:r w:rsidRPr="00ED4E2F">
              <w:rPr>
                <w:rFonts w:ascii="Times New Roman" w:hAnsi="Times New Roman" w:cs="Times New Roman"/>
              </w:rPr>
              <w:t>500</w:t>
            </w:r>
            <w:r w:rsidR="00B75436">
              <w:rPr>
                <w:rFonts w:ascii="Times New Roman" w:hAnsi="Times New Roman" w:cs="Times New Roman"/>
              </w:rPr>
              <w:t>,</w:t>
            </w:r>
            <w:r w:rsidRPr="00ED4E2F">
              <w:rPr>
                <w:rFonts w:ascii="Times New Roman" w:hAnsi="Times New Roman" w:cs="Times New Roman"/>
              </w:rPr>
              <w:t>0</w:t>
            </w:r>
          </w:p>
        </w:tc>
      </w:tr>
      <w:tr w:rsidR="00ED4E2F" w:rsidRPr="001B70DE" w:rsidTr="00A503F2">
        <w:trPr>
          <w:tblCellSpacing w:w="5" w:type="nil"/>
        </w:trPr>
        <w:tc>
          <w:tcPr>
            <w:tcW w:w="500" w:type="dxa"/>
          </w:tcPr>
          <w:p w:rsidR="00ED4E2F" w:rsidRPr="001B70DE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0" w:type="dxa"/>
            <w:gridSpan w:val="2"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системы налогообложения в виде налога на имущество физических лиц в части исчисления налога от кадастровой стоимости </w:t>
            </w:r>
          </w:p>
        </w:tc>
        <w:tc>
          <w:tcPr>
            <w:tcW w:w="1700" w:type="dxa"/>
            <w:gridSpan w:val="2"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финансам администрации Ханты-Мансийского района (далее – комитет по финансам)</w:t>
            </w:r>
          </w:p>
        </w:tc>
        <w:tc>
          <w:tcPr>
            <w:tcW w:w="1200" w:type="dxa"/>
            <w:gridSpan w:val="2"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E2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квартал 2014 года </w:t>
            </w:r>
          </w:p>
        </w:tc>
        <w:tc>
          <w:tcPr>
            <w:tcW w:w="1580" w:type="dxa"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Думы Ханты-Мансийского  района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14.11.2014 №404 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9C1B89">
              <w:rPr>
                <w:rFonts w:ascii="Times New Roman" w:hAnsi="Times New Roman" w:cs="Times New Roman"/>
              </w:rPr>
              <w:t>«</w:t>
            </w:r>
            <w:r w:rsidRPr="009C1B89">
              <w:rPr>
                <w:rFonts w:ascii="Times New Roman" w:hAnsi="Times New Roman" w:cs="Times New Roman"/>
                <w:color w:val="052635"/>
              </w:rPr>
              <w:t xml:space="preserve">Об </w:t>
            </w:r>
            <w:proofErr w:type="spellStart"/>
            <w:proofErr w:type="gramStart"/>
            <w:r w:rsidRPr="009C1B89">
              <w:rPr>
                <w:rFonts w:ascii="Times New Roman" w:hAnsi="Times New Roman" w:cs="Times New Roman"/>
                <w:color w:val="052635"/>
              </w:rPr>
              <w:t>установле</w:t>
            </w:r>
            <w:r w:rsidR="00A503F2">
              <w:rPr>
                <w:rFonts w:ascii="Times New Roman" w:hAnsi="Times New Roman" w:cs="Times New Roman"/>
                <w:color w:val="052635"/>
              </w:rPr>
              <w:t>-</w:t>
            </w:r>
            <w:r w:rsidRPr="009C1B89">
              <w:rPr>
                <w:rFonts w:ascii="Times New Roman" w:hAnsi="Times New Roman" w:cs="Times New Roman"/>
                <w:color w:val="052635"/>
              </w:rPr>
              <w:t>нии</w:t>
            </w:r>
            <w:proofErr w:type="spellEnd"/>
            <w:proofErr w:type="gramEnd"/>
            <w:r w:rsidRPr="009C1B89">
              <w:rPr>
                <w:rFonts w:ascii="Times New Roman" w:hAnsi="Times New Roman" w:cs="Times New Roman"/>
                <w:color w:val="052635"/>
              </w:rPr>
              <w:t xml:space="preserve"> налога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9C1B89">
              <w:rPr>
                <w:rFonts w:ascii="Times New Roman" w:hAnsi="Times New Roman" w:cs="Times New Roman"/>
                <w:color w:val="052635"/>
              </w:rPr>
              <w:t>на имущество физических лиц</w:t>
            </w:r>
            <w:r w:rsidRPr="009C1B8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0" w:type="dxa"/>
          </w:tcPr>
          <w:p w:rsidR="00A503F2" w:rsidRDefault="00A503F2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 суммы  дополнитель</w:t>
            </w:r>
            <w:r w:rsidR="00ED4E2F">
              <w:rPr>
                <w:rFonts w:ascii="Times New Roman" w:hAnsi="Times New Roman" w:cs="Times New Roman"/>
              </w:rPr>
              <w:t>но полученных доходов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сумме исчисленного налога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предыдущем налоговом периоде </w:t>
            </w:r>
          </w:p>
        </w:tc>
        <w:tc>
          <w:tcPr>
            <w:tcW w:w="900" w:type="dxa"/>
            <w:gridSpan w:val="2"/>
          </w:tcPr>
          <w:p w:rsidR="00ED4E2F" w:rsidRPr="001B70DE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00" w:type="dxa"/>
            <w:gridSpan w:val="2"/>
          </w:tcPr>
          <w:p w:rsidR="00ED4E2F" w:rsidRPr="001B70DE" w:rsidRDefault="00ED4E2F" w:rsidP="00D605A3">
            <w:pPr>
              <w:jc w:val="center"/>
            </w:pPr>
            <w:r>
              <w:t>26,0</w:t>
            </w:r>
          </w:p>
        </w:tc>
        <w:tc>
          <w:tcPr>
            <w:tcW w:w="900" w:type="dxa"/>
            <w:gridSpan w:val="2"/>
          </w:tcPr>
          <w:p w:rsidR="00ED4E2F" w:rsidRPr="001B70DE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ED4E2F" w:rsidRPr="001B70DE" w:rsidRDefault="00ED4E2F" w:rsidP="00D605A3">
            <w:pPr>
              <w:jc w:val="center"/>
            </w:pPr>
            <w:r w:rsidRPr="001B70DE">
              <w:t>0,0</w:t>
            </w:r>
          </w:p>
        </w:tc>
        <w:tc>
          <w:tcPr>
            <w:tcW w:w="943" w:type="dxa"/>
            <w:gridSpan w:val="2"/>
          </w:tcPr>
          <w:p w:rsidR="00ED4E2F" w:rsidRPr="001B70DE" w:rsidRDefault="00ED4E2F" w:rsidP="00D605A3">
            <w:pPr>
              <w:jc w:val="center"/>
            </w:pPr>
            <w:r w:rsidRPr="001B70DE">
              <w:t>0,</w:t>
            </w:r>
            <w:r>
              <w:t>4</w:t>
            </w:r>
          </w:p>
        </w:tc>
        <w:tc>
          <w:tcPr>
            <w:tcW w:w="757" w:type="dxa"/>
          </w:tcPr>
          <w:p w:rsidR="00ED4E2F" w:rsidRPr="001B70DE" w:rsidRDefault="00ED4E2F" w:rsidP="00D605A3">
            <w:pPr>
              <w:jc w:val="center"/>
            </w:pPr>
            <w:r>
              <w:t>0,0</w:t>
            </w:r>
          </w:p>
        </w:tc>
      </w:tr>
      <w:tr w:rsidR="00ED4E2F" w:rsidRPr="00811A4E" w:rsidTr="00A503F2">
        <w:trPr>
          <w:tblCellSpacing w:w="5" w:type="nil"/>
        </w:trPr>
        <w:tc>
          <w:tcPr>
            <w:tcW w:w="500" w:type="dxa"/>
          </w:tcPr>
          <w:p w:rsidR="00ED4E2F" w:rsidRPr="00811A4E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00" w:type="dxa"/>
            <w:gridSpan w:val="2"/>
          </w:tcPr>
          <w:p w:rsidR="00ED4E2F" w:rsidRPr="00811A4E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>Изменение системы налогообложения в виде единого налога на вмененный доход для отдельных видов деятельности в части изменения корректирующего коэффициента К2</w:t>
            </w:r>
          </w:p>
        </w:tc>
        <w:tc>
          <w:tcPr>
            <w:tcW w:w="1700" w:type="dxa"/>
            <w:gridSpan w:val="2"/>
          </w:tcPr>
          <w:p w:rsidR="00ED4E2F" w:rsidRPr="00811A4E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 xml:space="preserve">комитет экономической политики администрации Ханты-Мансийского района </w:t>
            </w:r>
          </w:p>
          <w:p w:rsidR="00ED4E2F" w:rsidRPr="00811A4E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>(далее – комитет экономической политики);</w:t>
            </w:r>
          </w:p>
          <w:p w:rsidR="00ED4E2F" w:rsidRPr="00811A4E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 xml:space="preserve">комитет  по финансам </w:t>
            </w:r>
          </w:p>
        </w:tc>
        <w:tc>
          <w:tcPr>
            <w:tcW w:w="1200" w:type="dxa"/>
            <w:gridSpan w:val="2"/>
          </w:tcPr>
          <w:p w:rsidR="00ED4E2F" w:rsidRPr="00811A4E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  <w:lang w:val="en-US"/>
              </w:rPr>
              <w:t>IV</w:t>
            </w:r>
            <w:r w:rsidRPr="00811A4E">
              <w:rPr>
                <w:rFonts w:ascii="Times New Roman" w:hAnsi="Times New Roman" w:cs="Times New Roman"/>
              </w:rPr>
              <w:t xml:space="preserve"> квартал 2014 года </w:t>
            </w:r>
          </w:p>
        </w:tc>
        <w:tc>
          <w:tcPr>
            <w:tcW w:w="1580" w:type="dxa"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>решение  Думы Хант</w:t>
            </w:r>
            <w:proofErr w:type="gramStart"/>
            <w:r w:rsidRPr="00811A4E">
              <w:rPr>
                <w:rFonts w:ascii="Times New Roman" w:hAnsi="Times New Roman" w:cs="Times New Roman"/>
              </w:rPr>
              <w:t>ы-</w:t>
            </w:r>
            <w:proofErr w:type="gramEnd"/>
            <w:r w:rsidRPr="00811A4E">
              <w:rPr>
                <w:rFonts w:ascii="Times New Roman" w:hAnsi="Times New Roman" w:cs="Times New Roman"/>
              </w:rPr>
              <w:t xml:space="preserve"> Мансийского района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 xml:space="preserve">от 24.12.2014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 xml:space="preserve">№ 409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 xml:space="preserve">«О </w:t>
            </w:r>
            <w:proofErr w:type="gramStart"/>
            <w:r w:rsidRPr="00811A4E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811A4E">
              <w:rPr>
                <w:rFonts w:ascii="Times New Roman" w:hAnsi="Times New Roman" w:cs="Times New Roman"/>
              </w:rPr>
              <w:t xml:space="preserve"> о системе </w:t>
            </w:r>
            <w:proofErr w:type="spellStart"/>
            <w:r w:rsidRPr="00811A4E">
              <w:rPr>
                <w:rFonts w:ascii="Times New Roman" w:hAnsi="Times New Roman" w:cs="Times New Roman"/>
              </w:rPr>
              <w:t>налогообложе</w:t>
            </w:r>
            <w:r w:rsidR="00A503F2">
              <w:rPr>
                <w:rFonts w:ascii="Times New Roman" w:hAnsi="Times New Roman" w:cs="Times New Roman"/>
              </w:rPr>
              <w:t>-</w:t>
            </w:r>
            <w:r w:rsidRPr="00811A4E">
              <w:rPr>
                <w:rFonts w:ascii="Times New Roman" w:hAnsi="Times New Roman" w:cs="Times New Roman"/>
              </w:rPr>
              <w:t>ния</w:t>
            </w:r>
            <w:proofErr w:type="spellEnd"/>
            <w:r w:rsidRPr="00811A4E">
              <w:rPr>
                <w:rFonts w:ascii="Times New Roman" w:hAnsi="Times New Roman" w:cs="Times New Roman"/>
              </w:rPr>
              <w:t xml:space="preserve"> в виде единого налога на вмененный доход </w:t>
            </w:r>
          </w:p>
          <w:p w:rsidR="00ED4E2F" w:rsidRPr="00811A4E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11A4E">
              <w:rPr>
                <w:rFonts w:ascii="Times New Roman" w:hAnsi="Times New Roman" w:cs="Times New Roman"/>
              </w:rPr>
              <w:t>для отдельных видов деятельности»</w:t>
            </w:r>
          </w:p>
        </w:tc>
        <w:tc>
          <w:tcPr>
            <w:tcW w:w="1520" w:type="dxa"/>
          </w:tcPr>
          <w:p w:rsidR="00ED4E2F" w:rsidRPr="00811A4E" w:rsidRDefault="00A503F2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суммы дополнитель</w:t>
            </w:r>
            <w:r w:rsidR="00ED4E2F" w:rsidRPr="00811A4E">
              <w:rPr>
                <w:rFonts w:ascii="Times New Roman" w:hAnsi="Times New Roman" w:cs="Times New Roman"/>
              </w:rPr>
              <w:t>но полученных доходов за счет увеличения коэффициента К</w:t>
            </w:r>
            <w:proofErr w:type="gramStart"/>
            <w:r w:rsidR="00ED4E2F" w:rsidRPr="00811A4E">
              <w:rPr>
                <w:rFonts w:ascii="Times New Roman" w:hAnsi="Times New Roman" w:cs="Times New Roman"/>
              </w:rPr>
              <w:t>2</w:t>
            </w:r>
            <w:proofErr w:type="gramEnd"/>
            <w:r w:rsidR="00ED4E2F" w:rsidRPr="00811A4E">
              <w:rPr>
                <w:rFonts w:ascii="Times New Roman" w:hAnsi="Times New Roman" w:cs="Times New Roman"/>
              </w:rPr>
              <w:t xml:space="preserve"> к общей сумме исчисленного налога</w:t>
            </w:r>
          </w:p>
        </w:tc>
        <w:tc>
          <w:tcPr>
            <w:tcW w:w="900" w:type="dxa"/>
            <w:gridSpan w:val="2"/>
          </w:tcPr>
          <w:p w:rsidR="00ED4E2F" w:rsidRPr="00811A4E" w:rsidRDefault="00550233" w:rsidP="00D605A3">
            <w:pPr>
              <w:jc w:val="center"/>
            </w:pPr>
            <w:r w:rsidRPr="00811A4E">
              <w:t>2,4</w:t>
            </w:r>
          </w:p>
        </w:tc>
        <w:tc>
          <w:tcPr>
            <w:tcW w:w="900" w:type="dxa"/>
            <w:gridSpan w:val="2"/>
          </w:tcPr>
          <w:p w:rsidR="00ED4E2F" w:rsidRPr="00811A4E" w:rsidRDefault="00550233" w:rsidP="00D605A3">
            <w:pPr>
              <w:jc w:val="center"/>
            </w:pPr>
            <w:r w:rsidRPr="00811A4E">
              <w:t>2,5</w:t>
            </w:r>
          </w:p>
        </w:tc>
        <w:tc>
          <w:tcPr>
            <w:tcW w:w="900" w:type="dxa"/>
            <w:gridSpan w:val="2"/>
          </w:tcPr>
          <w:p w:rsidR="00ED4E2F" w:rsidRPr="00811A4E" w:rsidRDefault="00550233" w:rsidP="00D605A3">
            <w:pPr>
              <w:jc w:val="center"/>
            </w:pPr>
            <w:r w:rsidRPr="00811A4E">
              <w:t>2,5</w:t>
            </w:r>
          </w:p>
        </w:tc>
        <w:tc>
          <w:tcPr>
            <w:tcW w:w="900" w:type="dxa"/>
          </w:tcPr>
          <w:p w:rsidR="00ED4E2F" w:rsidRPr="00811A4E" w:rsidRDefault="00550233" w:rsidP="00D605A3">
            <w:pPr>
              <w:jc w:val="center"/>
            </w:pPr>
            <w:r w:rsidRPr="00811A4E">
              <w:t>345,0</w:t>
            </w:r>
          </w:p>
        </w:tc>
        <w:tc>
          <w:tcPr>
            <w:tcW w:w="943" w:type="dxa"/>
            <w:gridSpan w:val="2"/>
          </w:tcPr>
          <w:p w:rsidR="00ED4E2F" w:rsidRPr="00811A4E" w:rsidRDefault="00550233" w:rsidP="00D605A3">
            <w:pPr>
              <w:jc w:val="center"/>
            </w:pPr>
            <w:r w:rsidRPr="00811A4E">
              <w:t>363,0</w:t>
            </w:r>
          </w:p>
        </w:tc>
        <w:tc>
          <w:tcPr>
            <w:tcW w:w="757" w:type="dxa"/>
          </w:tcPr>
          <w:p w:rsidR="00ED4E2F" w:rsidRPr="00811A4E" w:rsidRDefault="00550233" w:rsidP="00D605A3">
            <w:pPr>
              <w:jc w:val="center"/>
            </w:pPr>
            <w:r w:rsidRPr="00811A4E">
              <w:t>363,0</w:t>
            </w:r>
          </w:p>
        </w:tc>
      </w:tr>
      <w:tr w:rsidR="00ED4E2F" w:rsidTr="00A503F2">
        <w:tblPrEx>
          <w:tblCellSpacing w:w="0" w:type="nil"/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размера арендной платы по договорам аренды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>
              <w:rPr>
                <w:rFonts w:ascii="Times New Roman" w:hAnsi="Times New Roman" w:cs="Times New Roman"/>
              </w:rPr>
              <w:t xml:space="preserve">за пользование муниципальным имуществом  в связи с принятием </w:t>
            </w:r>
            <w:r w:rsidRPr="008A1B22">
              <w:rPr>
                <w:rFonts w:ascii="Times New Roman" w:hAnsi="Times New Roman" w:cs="Times New Roman"/>
              </w:rPr>
              <w:t xml:space="preserve">решений Думы Ханты-Мансийского района </w:t>
            </w:r>
            <w:r w:rsidRPr="008A1B22">
              <w:rPr>
                <w:rFonts w:ascii="Times New Roman" w:hAnsi="Times New Roman" w:cs="Times New Roman"/>
                <w:color w:val="052635"/>
              </w:rPr>
              <w:t xml:space="preserve">от 04.06.2014 № 362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proofErr w:type="gramStart"/>
            <w:r w:rsidRPr="008A1B22">
              <w:rPr>
                <w:rFonts w:ascii="Times New Roman" w:hAnsi="Times New Roman" w:cs="Times New Roman"/>
                <w:color w:val="052635"/>
              </w:rPr>
              <w:t xml:space="preserve">«Об утверждении методики расчета арендной платы за пользование муниципальным недвижимым имуществом Ханты-Мансийского района» (в ред. </w:t>
            </w:r>
            <w:proofErr w:type="gramEnd"/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8A1B22">
              <w:rPr>
                <w:rFonts w:ascii="Times New Roman" w:hAnsi="Times New Roman" w:cs="Times New Roman"/>
                <w:color w:val="052635"/>
              </w:rPr>
              <w:t xml:space="preserve">от 18.12.2014 № 413),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8A1B22">
              <w:rPr>
                <w:rFonts w:ascii="Times New Roman" w:hAnsi="Times New Roman" w:cs="Times New Roman"/>
                <w:color w:val="052635"/>
              </w:rPr>
              <w:t xml:space="preserve">от 18.12.2014 № 411 «Об утверждении методики расчета арендной платы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 w:rsidRPr="008A1B22">
              <w:rPr>
                <w:rFonts w:ascii="Times New Roman" w:hAnsi="Times New Roman" w:cs="Times New Roman"/>
                <w:color w:val="052635"/>
              </w:rPr>
              <w:t>за пользование отдельными видами муниципального имущества Ханты-Мансийского района»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земельных отношений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A503F2">
            <w:pPr>
              <w:jc w:val="center"/>
            </w:pPr>
            <w:r>
              <w:t xml:space="preserve">декабрь 2014 года – январь </w:t>
            </w:r>
          </w:p>
          <w:p w:rsidR="00ED4E2F" w:rsidRDefault="00ED4E2F" w:rsidP="00A503F2">
            <w:pPr>
              <w:jc w:val="center"/>
            </w:pPr>
            <w:r>
              <w:t>2015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дополнительные соглашения </w:t>
            </w:r>
          </w:p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к договорам аренды </w:t>
            </w:r>
            <w:proofErr w:type="spellStart"/>
            <w:proofErr w:type="gramStart"/>
            <w:r>
              <w:t>муниципаль</w:t>
            </w:r>
            <w:r w:rsidR="00A503F2">
              <w:t>-</w:t>
            </w:r>
            <w:r>
              <w:t>ного</w:t>
            </w:r>
            <w:proofErr w:type="spellEnd"/>
            <w:proofErr w:type="gramEnd"/>
            <w:r>
              <w:t xml:space="preserve"> имущества или уведомления </w:t>
            </w:r>
          </w:p>
          <w:p w:rsidR="00ED4E2F" w:rsidRPr="00467F80" w:rsidRDefault="00ED4E2F" w:rsidP="00D605A3">
            <w:pPr>
              <w:tabs>
                <w:tab w:val="center" w:pos="4677"/>
                <w:tab w:val="right" w:pos="9355"/>
              </w:tabs>
            </w:pPr>
            <w:r>
              <w:t>об изменении размера арендной платы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A503F2" w:rsidP="00D605A3">
            <w:r>
              <w:t xml:space="preserve">отношение </w:t>
            </w:r>
            <w:proofErr w:type="spellStart"/>
            <w:proofErr w:type="gramStart"/>
            <w:r>
              <w:t>дополнитель</w:t>
            </w:r>
            <w:proofErr w:type="spellEnd"/>
            <w:r>
              <w:t>-</w:t>
            </w:r>
            <w:r w:rsidR="00ED4E2F">
              <w:t>ной</w:t>
            </w:r>
            <w:proofErr w:type="gramEnd"/>
            <w:r w:rsidR="00ED4E2F">
              <w:t xml:space="preserve"> суммы арендной платы, планируемой </w:t>
            </w:r>
          </w:p>
          <w:p w:rsidR="00A503F2" w:rsidRDefault="00ED4E2F" w:rsidP="00D605A3">
            <w:r>
              <w:t xml:space="preserve">к получению </w:t>
            </w:r>
          </w:p>
          <w:p w:rsidR="00A503F2" w:rsidRDefault="00ED4E2F" w:rsidP="00D605A3">
            <w:r>
              <w:t xml:space="preserve">в результате пересмотра ставок, </w:t>
            </w:r>
          </w:p>
          <w:p w:rsidR="00ED4E2F" w:rsidRDefault="00ED4E2F" w:rsidP="00A503F2">
            <w:r>
              <w:t xml:space="preserve">к плановым назначениям доходов,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12,2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1 013,8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</w:tr>
      <w:tr w:rsidR="00ED4E2F" w:rsidTr="00A503F2">
        <w:tblPrEx>
          <w:tblCellSpacing w:w="0" w:type="nil"/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Перерасчет арендной платы за пользование му</w:t>
            </w:r>
            <w:r w:rsidR="00A503F2">
              <w:rPr>
                <w:rFonts w:ascii="Times New Roman" w:hAnsi="Times New Roman" w:cs="Times New Roman"/>
              </w:rPr>
              <w:t>ниципальным имуществом, находящи</w:t>
            </w:r>
            <w:r>
              <w:rPr>
                <w:rFonts w:ascii="Times New Roman" w:hAnsi="Times New Roman" w:cs="Times New Roman"/>
              </w:rPr>
              <w:t>мся</w:t>
            </w:r>
          </w:p>
          <w:p w:rsidR="00A503F2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собственности Ханты-Мансийского района, в связи </w:t>
            </w:r>
          </w:p>
          <w:p w:rsidR="00A503F2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индексацией размера арендной платы на размер уровня инфляции, </w:t>
            </w:r>
            <w:r w:rsidR="00A503F2">
              <w:rPr>
                <w:rFonts w:ascii="Times New Roman" w:hAnsi="Times New Roman" w:cs="Times New Roman"/>
              </w:rPr>
              <w:t>установленного  Ф</w:t>
            </w:r>
            <w:r>
              <w:rPr>
                <w:rFonts w:ascii="Times New Roman" w:hAnsi="Times New Roman" w:cs="Times New Roman"/>
              </w:rPr>
              <w:t xml:space="preserve">едеральным законом </w:t>
            </w:r>
          </w:p>
          <w:p w:rsidR="00A503F2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федеральном бюджете </w:t>
            </w:r>
          </w:p>
          <w:p w:rsidR="00ED4E2F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 и земельных отношений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декабрь 2015</w:t>
            </w:r>
            <w:r w:rsidR="00A503F2">
              <w:t xml:space="preserve"> года</w:t>
            </w:r>
            <w:r>
              <w:t>, декабрь 2016</w:t>
            </w:r>
            <w:r w:rsidR="00A503F2">
              <w:t xml:space="preserve"> года</w:t>
            </w:r>
            <w:r>
              <w:t>,</w:t>
            </w:r>
          </w:p>
          <w:p w:rsidR="00ED4E2F" w:rsidRDefault="00ED4E2F" w:rsidP="00D605A3">
            <w:pPr>
              <w:jc w:val="center"/>
            </w:pPr>
            <w:r>
              <w:t>декабрь 2017</w:t>
            </w:r>
            <w:r w:rsidR="00A503F2">
              <w:t xml:space="preserve">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дополнительные соглашения </w:t>
            </w:r>
          </w:p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к договорам аренды </w:t>
            </w:r>
            <w:proofErr w:type="spellStart"/>
            <w:proofErr w:type="gramStart"/>
            <w:r>
              <w:t>муниципаль</w:t>
            </w:r>
            <w:r w:rsidR="00A503F2">
              <w:t>-</w:t>
            </w:r>
            <w:r>
              <w:t>ного</w:t>
            </w:r>
            <w:proofErr w:type="spellEnd"/>
            <w:proofErr w:type="gramEnd"/>
            <w:r>
              <w:t xml:space="preserve"> имущества или уведомления</w:t>
            </w:r>
          </w:p>
          <w:p w:rsidR="00ED4E2F" w:rsidRDefault="00ED4E2F" w:rsidP="00D605A3">
            <w:pPr>
              <w:tabs>
                <w:tab w:val="center" w:pos="4677"/>
                <w:tab w:val="right" w:pos="9355"/>
              </w:tabs>
            </w:pPr>
            <w:r>
              <w:t>об изменении размера арендной платы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r>
              <w:t xml:space="preserve">прирост суммы арендной платы за пользование </w:t>
            </w:r>
            <w:proofErr w:type="spellStart"/>
            <w:proofErr w:type="gramStart"/>
            <w:r>
              <w:t>муниципаль</w:t>
            </w:r>
            <w:r w:rsidR="00EB6A13">
              <w:t>-</w:t>
            </w:r>
            <w:r>
              <w:t>ным</w:t>
            </w:r>
            <w:proofErr w:type="spellEnd"/>
            <w:proofErr w:type="gramEnd"/>
            <w:r>
              <w:t xml:space="preserve"> имуществом, полученной </w:t>
            </w:r>
          </w:p>
          <w:p w:rsidR="00A503F2" w:rsidRDefault="00ED4E2F" w:rsidP="00D605A3">
            <w:r>
              <w:t xml:space="preserve">от проведения индексации, </w:t>
            </w:r>
          </w:p>
          <w:p w:rsidR="00A503F2" w:rsidRDefault="00ED4E2F" w:rsidP="00D605A3">
            <w:r>
              <w:t xml:space="preserve">на уровень инфляции </w:t>
            </w:r>
          </w:p>
          <w:p w:rsidR="00ED4E2F" w:rsidRDefault="00ED4E2F" w:rsidP="00A503F2">
            <w:r>
              <w:t xml:space="preserve">к плановым назначениям доходов,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114,4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101,7</w:t>
            </w:r>
          </w:p>
        </w:tc>
      </w:tr>
      <w:tr w:rsidR="00ED4E2F" w:rsidTr="00A503F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Перерасчет арендной платы за земельные участки, находящиеся в собственности Ханты-Мансийского района,  в связи с индексацией размера арендной платы на размер ур</w:t>
            </w:r>
            <w:r w:rsidR="00A503F2">
              <w:rPr>
                <w:rFonts w:ascii="Times New Roman" w:hAnsi="Times New Roman" w:cs="Times New Roman"/>
              </w:rPr>
              <w:t>овня инфляции, установленного  Ф</w:t>
            </w:r>
            <w:r>
              <w:rPr>
                <w:rFonts w:ascii="Times New Roman" w:hAnsi="Times New Roman" w:cs="Times New Roman"/>
              </w:rPr>
              <w:t>едеральным законом о федеральном бюджете на очередной финансовый год и плановый период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 и земельных отношений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13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EB6A1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4E2F" w:rsidRPr="00136672" w:rsidRDefault="00ED4E2F" w:rsidP="00EB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2015</w:t>
            </w:r>
            <w:r w:rsidR="00EB6A1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, декабрь 2016</w:t>
            </w:r>
            <w:r w:rsidR="00EB6A1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tabs>
                <w:tab w:val="center" w:pos="4677"/>
                <w:tab w:val="right" w:pos="9355"/>
              </w:tabs>
            </w:pPr>
            <w:r>
              <w:t>дополнительные соглашения к договорам аренды земельных участков или уведомления об изменении размера арендной платы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суммы арендной платы за земельные участки, полученной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проведения индексации,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уровень инфляции </w:t>
            </w:r>
          </w:p>
          <w:p w:rsidR="00ED4E2F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плановым назначениям доходов,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A50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5,5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77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68</w:t>
            </w:r>
          </w:p>
        </w:tc>
      </w:tr>
      <w:tr w:rsidR="00ED4E2F" w:rsidTr="00A503F2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акционерными обществами, акции которых находятся в муниципальной собственности, дивидендов не менее                25 процентов,</w:t>
            </w:r>
          </w:p>
          <w:p w:rsidR="00ED4E2F" w:rsidRDefault="00ED4E2F" w:rsidP="00A5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начиная с 2016 года (в части дивидендов по итогам предыдущего года) –               в размере не менее                  35 процентов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имущественных  и земельных отношений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tabs>
                <w:tab w:val="center" w:pos="4677"/>
                <w:tab w:val="right" w:pos="9355"/>
              </w:tabs>
            </w:pPr>
            <w:r>
              <w:t>решение единственного акционера о выплате дивидендов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A503F2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дополнитель</w:t>
            </w:r>
            <w:r w:rsidR="00ED4E2F">
              <w:rPr>
                <w:rFonts w:ascii="Times New Roman" w:hAnsi="Times New Roman" w:cs="Times New Roman"/>
              </w:rPr>
              <w:t xml:space="preserve">но </w:t>
            </w:r>
            <w:proofErr w:type="gramStart"/>
            <w:r w:rsidR="00ED4E2F">
              <w:rPr>
                <w:rFonts w:ascii="Times New Roman" w:hAnsi="Times New Roman" w:cs="Times New Roman"/>
              </w:rPr>
              <w:t>поступивших</w:t>
            </w:r>
            <w:proofErr w:type="gramEnd"/>
            <w:r w:rsidR="00ED4E2F">
              <w:rPr>
                <w:rFonts w:ascii="Times New Roman" w:hAnsi="Times New Roman" w:cs="Times New Roman"/>
              </w:rPr>
              <w:t xml:space="preserve">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бюджет доходов в виде дивидендов акционерных обществ, акции которых находятся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собственности Ханты-Мансийского района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(ДАО доп.),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плановому показателю по доходам в виде дивидендов акционерных обществ, </w:t>
            </w:r>
            <w:proofErr w:type="gramStart"/>
            <w:r>
              <w:rPr>
                <w:rFonts w:ascii="Times New Roman" w:hAnsi="Times New Roman" w:cs="Times New Roman"/>
              </w:rPr>
              <w:t>утвержден-ному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решением Думы района 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Ханты-Мансийского района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</w:t>
            </w:r>
            <w:r w:rsidR="00A503F2">
              <w:rPr>
                <w:rFonts w:ascii="Times New Roman" w:hAnsi="Times New Roman" w:cs="Times New Roman"/>
              </w:rPr>
              <w:t>-</w:t>
            </w:r>
            <w:proofErr w:type="spellStart"/>
            <w:r w:rsidR="00A503F2">
              <w:rPr>
                <w:rFonts w:ascii="Times New Roman" w:hAnsi="Times New Roman" w:cs="Times New Roman"/>
              </w:rPr>
              <w:t>щи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(ДАО план), ДАО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/ДАО план*100%, 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59,5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83,5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83,5</w:t>
            </w:r>
          </w:p>
        </w:tc>
      </w:tr>
      <w:tr w:rsidR="00ED4E2F" w:rsidTr="007E4EDC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Перерасчет арендной платы за земельные участки, предоставленные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аренду пользователям недр для ведения работ, связанных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пользованием недрами в связи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изменением кадастровой стоимости земельных участков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 и земельных отношений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Pr="00400A2D" w:rsidRDefault="00ED4E2F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2015 года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дополнительные соглашения </w:t>
            </w:r>
          </w:p>
          <w:p w:rsidR="00A503F2" w:rsidRDefault="00ED4E2F" w:rsidP="00D605A3">
            <w:pPr>
              <w:tabs>
                <w:tab w:val="center" w:pos="4677"/>
                <w:tab w:val="right" w:pos="9355"/>
              </w:tabs>
            </w:pPr>
            <w:r>
              <w:t xml:space="preserve">к договорам аренды земельных участков или уведомления </w:t>
            </w:r>
          </w:p>
          <w:p w:rsidR="00ED4E2F" w:rsidRDefault="00ED4E2F" w:rsidP="00D605A3">
            <w:pPr>
              <w:tabs>
                <w:tab w:val="center" w:pos="4677"/>
                <w:tab w:val="right" w:pos="9355"/>
              </w:tabs>
            </w:pPr>
            <w:r>
              <w:t>об изменении размера арендной платы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A503F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суммы арендной платы, планируемой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получению </w:t>
            </w:r>
          </w:p>
          <w:p w:rsidR="00A503F2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перерасчета арендной платы за земельные участки, </w:t>
            </w:r>
          </w:p>
          <w:p w:rsidR="00ED4E2F" w:rsidRDefault="00ED4E2F" w:rsidP="00D60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плановым назначениям доходов по коду 070 1 11 05013 05 0000 120,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  <w:r>
              <w:t>81,6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>
            <w:r>
              <w:t>40</w:t>
            </w:r>
            <w:r w:rsidR="003A20A1">
              <w:t> </w:t>
            </w:r>
            <w:r>
              <w:t>000</w:t>
            </w:r>
            <w:r w:rsidR="003A20A1">
              <w:t>,</w:t>
            </w:r>
            <w:r>
              <w:t>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2F" w:rsidRDefault="00ED4E2F" w:rsidP="00D605A3"/>
        </w:tc>
      </w:tr>
      <w:tr w:rsidR="005B2A99" w:rsidTr="007E4EDC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A99" w:rsidRDefault="005B2A99" w:rsidP="00D60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/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9" w:rsidRDefault="005B2A99" w:rsidP="00D605A3"/>
        </w:tc>
      </w:tr>
      <w:tr w:rsidR="004B3DCE" w:rsidRPr="001B70DE" w:rsidTr="00A503F2">
        <w:trPr>
          <w:tblCellSpacing w:w="5" w:type="nil"/>
        </w:trPr>
        <w:tc>
          <w:tcPr>
            <w:tcW w:w="13800" w:type="dxa"/>
            <w:gridSpan w:val="19"/>
          </w:tcPr>
          <w:p w:rsidR="004B3DCE" w:rsidRPr="00111B63" w:rsidRDefault="004B3DCE" w:rsidP="00D605A3">
            <w:pPr>
              <w:jc w:val="center"/>
            </w:pPr>
            <w:r w:rsidRPr="00111B63">
              <w:t>2. Мероприятия по оптимизации расходов бюджета Ханты-Мансийского района</w:t>
            </w:r>
          </w:p>
        </w:tc>
      </w:tr>
      <w:tr w:rsidR="00E7128A" w:rsidRPr="001B70DE" w:rsidTr="00A503F2">
        <w:trPr>
          <w:tblCellSpacing w:w="5" w:type="nil"/>
        </w:trPr>
        <w:tc>
          <w:tcPr>
            <w:tcW w:w="500" w:type="dxa"/>
          </w:tcPr>
          <w:p w:rsidR="00E7128A" w:rsidRPr="001B70DE" w:rsidRDefault="00E7128A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E7128A" w:rsidRPr="00EF1EA2" w:rsidRDefault="00D85094" w:rsidP="00D605A3">
            <w:pPr>
              <w:tabs>
                <w:tab w:val="left" w:pos="0"/>
              </w:tabs>
            </w:pPr>
            <w:r w:rsidRPr="00D85094">
              <w:t>Итого по расходам, в том числе</w:t>
            </w:r>
          </w:p>
        </w:tc>
        <w:tc>
          <w:tcPr>
            <w:tcW w:w="1700" w:type="dxa"/>
            <w:gridSpan w:val="2"/>
          </w:tcPr>
          <w:p w:rsidR="00E7128A" w:rsidRPr="00267934" w:rsidRDefault="00E7128A" w:rsidP="00D605A3">
            <w:pPr>
              <w:tabs>
                <w:tab w:val="left" w:pos="0"/>
              </w:tabs>
            </w:pPr>
          </w:p>
        </w:tc>
        <w:tc>
          <w:tcPr>
            <w:tcW w:w="1200" w:type="dxa"/>
            <w:gridSpan w:val="2"/>
          </w:tcPr>
          <w:p w:rsidR="00E7128A" w:rsidRPr="00267934" w:rsidRDefault="00E7128A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E7128A" w:rsidRPr="008B4C22" w:rsidRDefault="00E7128A" w:rsidP="00D605A3">
            <w:pPr>
              <w:tabs>
                <w:tab w:val="left" w:pos="0"/>
              </w:tabs>
            </w:pPr>
          </w:p>
        </w:tc>
        <w:tc>
          <w:tcPr>
            <w:tcW w:w="1520" w:type="dxa"/>
          </w:tcPr>
          <w:p w:rsidR="00E7128A" w:rsidRPr="00D6323D" w:rsidRDefault="00E7128A" w:rsidP="00D605A3"/>
        </w:tc>
        <w:tc>
          <w:tcPr>
            <w:tcW w:w="900" w:type="dxa"/>
            <w:gridSpan w:val="2"/>
          </w:tcPr>
          <w:p w:rsidR="00E7128A" w:rsidRPr="00BD07C0" w:rsidRDefault="00E7128A" w:rsidP="00D605A3">
            <w:pPr>
              <w:jc w:val="center"/>
            </w:pPr>
          </w:p>
        </w:tc>
        <w:tc>
          <w:tcPr>
            <w:tcW w:w="900" w:type="dxa"/>
            <w:gridSpan w:val="2"/>
          </w:tcPr>
          <w:p w:rsidR="00E7128A" w:rsidRPr="00BD07C0" w:rsidRDefault="00E7128A" w:rsidP="00D605A3">
            <w:pPr>
              <w:jc w:val="center"/>
            </w:pPr>
          </w:p>
        </w:tc>
        <w:tc>
          <w:tcPr>
            <w:tcW w:w="900" w:type="dxa"/>
            <w:gridSpan w:val="2"/>
          </w:tcPr>
          <w:p w:rsidR="00E7128A" w:rsidRPr="00BD07C0" w:rsidRDefault="00E7128A" w:rsidP="00D605A3">
            <w:pPr>
              <w:jc w:val="center"/>
            </w:pPr>
          </w:p>
        </w:tc>
        <w:tc>
          <w:tcPr>
            <w:tcW w:w="900" w:type="dxa"/>
          </w:tcPr>
          <w:p w:rsidR="00E7128A" w:rsidRPr="00111B63" w:rsidRDefault="005602DB" w:rsidP="00D605A3">
            <w:pPr>
              <w:jc w:val="center"/>
            </w:pPr>
            <w:r>
              <w:t>44 965,7</w:t>
            </w:r>
          </w:p>
        </w:tc>
        <w:tc>
          <w:tcPr>
            <w:tcW w:w="900" w:type="dxa"/>
          </w:tcPr>
          <w:p w:rsidR="00E7128A" w:rsidRPr="00201E3A" w:rsidRDefault="00CC677C" w:rsidP="00D605A3">
            <w:pPr>
              <w:jc w:val="center"/>
            </w:pPr>
            <w:r>
              <w:t>41 713,5</w:t>
            </w:r>
          </w:p>
        </w:tc>
        <w:tc>
          <w:tcPr>
            <w:tcW w:w="800" w:type="dxa"/>
            <w:gridSpan w:val="2"/>
          </w:tcPr>
          <w:p w:rsidR="00E7128A" w:rsidRDefault="00CC677C" w:rsidP="00D605A3">
            <w:pPr>
              <w:jc w:val="center"/>
            </w:pPr>
            <w:r>
              <w:t>42 192,8</w:t>
            </w:r>
          </w:p>
        </w:tc>
      </w:tr>
      <w:tr w:rsidR="009C22DB" w:rsidRPr="001B70DE" w:rsidTr="00A503F2">
        <w:trPr>
          <w:tblCellSpacing w:w="5" w:type="nil"/>
        </w:trPr>
        <w:tc>
          <w:tcPr>
            <w:tcW w:w="500" w:type="dxa"/>
            <w:vMerge w:val="restart"/>
          </w:tcPr>
          <w:p w:rsidR="009C22DB" w:rsidRPr="001B70DE" w:rsidRDefault="009C22DB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0" w:type="dxa"/>
            <w:gridSpan w:val="2"/>
          </w:tcPr>
          <w:p w:rsidR="007E4EDC" w:rsidRDefault="009C22DB" w:rsidP="00D605A3">
            <w:pPr>
              <w:tabs>
                <w:tab w:val="left" w:pos="0"/>
              </w:tabs>
            </w:pPr>
            <w:r w:rsidRPr="00EF1EA2">
              <w:t xml:space="preserve">Сократить расходы бюджета района не менее чем на 5% от расходов бюджета района, за исключением расходов, осуществляемых за счёт федерального </w:t>
            </w:r>
          </w:p>
          <w:p w:rsidR="007E4EDC" w:rsidRDefault="009C22DB" w:rsidP="00D605A3">
            <w:pPr>
              <w:tabs>
                <w:tab w:val="left" w:pos="0"/>
              </w:tabs>
            </w:pPr>
            <w:r w:rsidRPr="00EF1EA2">
              <w:t>и окружного бюджетов, расходов на предоставление сельским поселениям дотаций на выравнивание уровня бюджетной обеспеченности, расходов за счёт средств дорожного фонда, ра</w:t>
            </w:r>
            <w:r w:rsidR="007E4EDC">
              <w:t>сходов на обслуживание</w:t>
            </w:r>
            <w:r w:rsidRPr="00EF1EA2">
              <w:t xml:space="preserve"> муниципального долга, публичных </w:t>
            </w:r>
          </w:p>
          <w:p w:rsidR="009C22DB" w:rsidRPr="00EF1EA2" w:rsidRDefault="009C22DB" w:rsidP="00D605A3">
            <w:pPr>
              <w:tabs>
                <w:tab w:val="left" w:pos="0"/>
              </w:tabs>
            </w:pPr>
            <w:r w:rsidRPr="00EF1EA2">
              <w:t>и публично нормативных обязательств</w:t>
            </w:r>
            <w:r>
              <w:t>, в том числе:</w:t>
            </w:r>
          </w:p>
        </w:tc>
        <w:tc>
          <w:tcPr>
            <w:tcW w:w="1700" w:type="dxa"/>
            <w:gridSpan w:val="2"/>
          </w:tcPr>
          <w:p w:rsidR="009C22DB" w:rsidRPr="00267934" w:rsidRDefault="009C22DB" w:rsidP="00A503F2">
            <w:pPr>
              <w:tabs>
                <w:tab w:val="left" w:pos="0"/>
              </w:tabs>
              <w:rPr>
                <w:b/>
              </w:rPr>
            </w:pPr>
            <w:r w:rsidRPr="00267934">
              <w:t xml:space="preserve">комитет по </w:t>
            </w:r>
            <w:r w:rsidR="00267934" w:rsidRPr="00267934">
              <w:t xml:space="preserve">финансам </w:t>
            </w:r>
          </w:p>
        </w:tc>
        <w:tc>
          <w:tcPr>
            <w:tcW w:w="1200" w:type="dxa"/>
            <w:gridSpan w:val="2"/>
          </w:tcPr>
          <w:p w:rsidR="009C22DB" w:rsidRPr="00267934" w:rsidRDefault="009C22DB" w:rsidP="00A503F2">
            <w:pPr>
              <w:tabs>
                <w:tab w:val="left" w:pos="0"/>
              </w:tabs>
              <w:jc w:val="center"/>
              <w:rPr>
                <w:b/>
              </w:rPr>
            </w:pPr>
            <w:r w:rsidRPr="00267934">
              <w:t xml:space="preserve">до </w:t>
            </w:r>
            <w:r w:rsidR="00267934" w:rsidRPr="00267934">
              <w:t>31</w:t>
            </w:r>
            <w:r w:rsidRPr="00267934">
              <w:t>.1</w:t>
            </w:r>
            <w:r w:rsidR="00267934" w:rsidRPr="00267934">
              <w:t>2</w:t>
            </w:r>
            <w:r w:rsidRPr="00267934">
              <w:t>.201</w:t>
            </w:r>
            <w:r w:rsidR="00267934" w:rsidRPr="00267934">
              <w:t>5</w:t>
            </w:r>
          </w:p>
        </w:tc>
        <w:tc>
          <w:tcPr>
            <w:tcW w:w="1580" w:type="dxa"/>
          </w:tcPr>
          <w:p w:rsidR="00A503F2" w:rsidRDefault="009C22DB" w:rsidP="00D605A3">
            <w:pPr>
              <w:tabs>
                <w:tab w:val="left" w:pos="0"/>
              </w:tabs>
            </w:pPr>
            <w:r w:rsidRPr="008B4C22">
              <w:t xml:space="preserve">проект решения Думы Ханты-Мансийского района </w:t>
            </w:r>
          </w:p>
          <w:p w:rsidR="00A503F2" w:rsidRDefault="009C22DB" w:rsidP="00D605A3">
            <w:pPr>
              <w:tabs>
                <w:tab w:val="left" w:pos="0"/>
              </w:tabs>
            </w:pPr>
            <w:r w:rsidRPr="008B4C22">
              <w:t xml:space="preserve">«О внесении изменений </w:t>
            </w:r>
          </w:p>
          <w:p w:rsidR="00A503F2" w:rsidRDefault="009C22DB" w:rsidP="00A503F2">
            <w:pPr>
              <w:tabs>
                <w:tab w:val="left" w:pos="0"/>
              </w:tabs>
            </w:pPr>
            <w:r w:rsidRPr="008B4C22">
              <w:t xml:space="preserve">в решение Думы Ханты-Мансийского района </w:t>
            </w:r>
          </w:p>
          <w:p w:rsidR="00A503F2" w:rsidRDefault="009C22DB" w:rsidP="00A503F2">
            <w:pPr>
              <w:tabs>
                <w:tab w:val="left" w:pos="0"/>
              </w:tabs>
            </w:pPr>
            <w:r w:rsidRPr="008B4C22">
              <w:t xml:space="preserve">от </w:t>
            </w:r>
            <w:r w:rsidR="008B4C22" w:rsidRPr="008B4C22">
              <w:t>18</w:t>
            </w:r>
            <w:r w:rsidRPr="008B4C22">
              <w:t>.12.201</w:t>
            </w:r>
            <w:r w:rsidR="008B4C22" w:rsidRPr="008B4C22">
              <w:t>4</w:t>
            </w:r>
            <w:r w:rsidRPr="008B4C22">
              <w:t xml:space="preserve">   № </w:t>
            </w:r>
            <w:r w:rsidR="008B4C22" w:rsidRPr="008B4C22">
              <w:t>407</w:t>
            </w:r>
            <w:r w:rsidRPr="008B4C22">
              <w:t xml:space="preserve"> </w:t>
            </w:r>
          </w:p>
          <w:p w:rsidR="00A503F2" w:rsidRDefault="009C22DB" w:rsidP="00A503F2">
            <w:pPr>
              <w:tabs>
                <w:tab w:val="left" w:pos="0"/>
              </w:tabs>
            </w:pPr>
            <w:r w:rsidRPr="008B4C22">
              <w:t>«О бюджете Ханты-Мансийского района                         на 201</w:t>
            </w:r>
            <w:r w:rsidR="008B4C22" w:rsidRPr="008B4C22">
              <w:t>5</w:t>
            </w:r>
            <w:r w:rsidRPr="008B4C22">
              <w:t xml:space="preserve"> год </w:t>
            </w:r>
          </w:p>
          <w:p w:rsidR="00A503F2" w:rsidRDefault="009C22DB" w:rsidP="00A503F2">
            <w:pPr>
              <w:tabs>
                <w:tab w:val="left" w:pos="0"/>
              </w:tabs>
            </w:pPr>
            <w:r w:rsidRPr="008B4C22">
              <w:t>и на плановый период 201</w:t>
            </w:r>
            <w:r w:rsidR="008B4C22" w:rsidRPr="008B4C22">
              <w:t>6</w:t>
            </w:r>
            <w:r w:rsidRPr="008B4C22">
              <w:t xml:space="preserve"> </w:t>
            </w:r>
          </w:p>
          <w:p w:rsidR="009C22DB" w:rsidRPr="008B4C22" w:rsidRDefault="009C22DB" w:rsidP="00A503F2">
            <w:pPr>
              <w:tabs>
                <w:tab w:val="left" w:pos="0"/>
              </w:tabs>
              <w:rPr>
                <w:b/>
              </w:rPr>
            </w:pPr>
            <w:r w:rsidRPr="008B4C22">
              <w:t>и 201</w:t>
            </w:r>
            <w:r w:rsidR="008B4C22" w:rsidRPr="008B4C22">
              <w:t>7</w:t>
            </w:r>
            <w:r w:rsidRPr="008B4C22">
              <w:t xml:space="preserve"> годов»</w:t>
            </w:r>
          </w:p>
        </w:tc>
        <w:tc>
          <w:tcPr>
            <w:tcW w:w="1520" w:type="dxa"/>
          </w:tcPr>
          <w:p w:rsidR="009C22DB" w:rsidRPr="00D6323D" w:rsidRDefault="00D6323D" w:rsidP="00D605A3">
            <w:r w:rsidRPr="00D6323D">
              <w:t>о</w:t>
            </w:r>
            <w:r w:rsidR="00CB5546" w:rsidRPr="00D6323D">
              <w:t xml:space="preserve">птимизация расходов бюджета района, </w:t>
            </w:r>
            <w:r w:rsidR="009C22DB" w:rsidRPr="00D6323D">
              <w:t>%</w:t>
            </w:r>
          </w:p>
        </w:tc>
        <w:tc>
          <w:tcPr>
            <w:tcW w:w="900" w:type="dxa"/>
            <w:gridSpan w:val="2"/>
          </w:tcPr>
          <w:p w:rsidR="009C22DB" w:rsidRPr="00BD07C0" w:rsidRDefault="00D6323D" w:rsidP="00D605A3">
            <w:pPr>
              <w:jc w:val="center"/>
            </w:pPr>
            <w:r w:rsidRPr="00BD07C0">
              <w:t>н</w:t>
            </w:r>
            <w:r w:rsidR="00CB5546" w:rsidRPr="00BD07C0">
              <w:t>е менее 5</w:t>
            </w:r>
            <w:r w:rsidRPr="00BD07C0">
              <w:t>%</w:t>
            </w:r>
          </w:p>
        </w:tc>
        <w:tc>
          <w:tcPr>
            <w:tcW w:w="900" w:type="dxa"/>
            <w:gridSpan w:val="2"/>
          </w:tcPr>
          <w:p w:rsidR="009C22DB" w:rsidRPr="00BD07C0" w:rsidRDefault="00D6323D" w:rsidP="00D605A3">
            <w:pPr>
              <w:jc w:val="center"/>
            </w:pPr>
            <w:r w:rsidRPr="00BD07C0">
              <w:t>не менее 5%</w:t>
            </w:r>
          </w:p>
        </w:tc>
        <w:tc>
          <w:tcPr>
            <w:tcW w:w="900" w:type="dxa"/>
            <w:gridSpan w:val="2"/>
          </w:tcPr>
          <w:p w:rsidR="009C22DB" w:rsidRPr="00BD07C0" w:rsidRDefault="00D6323D" w:rsidP="00D605A3">
            <w:pPr>
              <w:jc w:val="center"/>
            </w:pPr>
            <w:r w:rsidRPr="00BD07C0">
              <w:t>не менее 5%</w:t>
            </w:r>
          </w:p>
        </w:tc>
        <w:tc>
          <w:tcPr>
            <w:tcW w:w="900" w:type="dxa"/>
          </w:tcPr>
          <w:p w:rsidR="00A503F2" w:rsidRDefault="00BD07C0" w:rsidP="00D605A3">
            <w:pPr>
              <w:jc w:val="center"/>
            </w:pPr>
            <w:r w:rsidRPr="00111B63">
              <w:t>43</w:t>
            </w:r>
            <w:r w:rsidR="00A503F2">
              <w:t> </w:t>
            </w:r>
            <w:r w:rsidRPr="00111B63">
              <w:t>023,</w:t>
            </w:r>
          </w:p>
          <w:p w:rsidR="009C22DB" w:rsidRPr="00111B63" w:rsidRDefault="00BD07C0" w:rsidP="00D605A3">
            <w:pPr>
              <w:jc w:val="center"/>
            </w:pPr>
            <w:r w:rsidRPr="00111B63">
              <w:t>3</w:t>
            </w:r>
          </w:p>
        </w:tc>
        <w:tc>
          <w:tcPr>
            <w:tcW w:w="900" w:type="dxa"/>
          </w:tcPr>
          <w:p w:rsidR="00A503F2" w:rsidRDefault="00201E3A" w:rsidP="00D605A3">
            <w:pPr>
              <w:jc w:val="center"/>
            </w:pPr>
            <w:r w:rsidRPr="00201E3A">
              <w:t>41</w:t>
            </w:r>
            <w:r w:rsidR="00A503F2">
              <w:t> </w:t>
            </w:r>
            <w:r w:rsidRPr="00201E3A">
              <w:t>713</w:t>
            </w:r>
            <w:r w:rsidR="0042325E">
              <w:t>,</w:t>
            </w:r>
          </w:p>
          <w:p w:rsidR="009C22DB" w:rsidRPr="00201E3A" w:rsidRDefault="00201E3A" w:rsidP="00D605A3">
            <w:pPr>
              <w:jc w:val="center"/>
            </w:pPr>
            <w:r w:rsidRPr="00201E3A">
              <w:t>5</w:t>
            </w:r>
          </w:p>
        </w:tc>
        <w:tc>
          <w:tcPr>
            <w:tcW w:w="800" w:type="dxa"/>
            <w:gridSpan w:val="2"/>
          </w:tcPr>
          <w:p w:rsidR="009C22DB" w:rsidRPr="00201E3A" w:rsidRDefault="0042325E" w:rsidP="00D605A3">
            <w:pPr>
              <w:jc w:val="center"/>
            </w:pPr>
            <w:r>
              <w:t>42 192,8</w:t>
            </w:r>
          </w:p>
        </w:tc>
      </w:tr>
      <w:tr w:rsidR="009C22DB" w:rsidRPr="001B70DE" w:rsidTr="00A503F2">
        <w:trPr>
          <w:tblCellSpacing w:w="5" w:type="nil"/>
        </w:trPr>
        <w:tc>
          <w:tcPr>
            <w:tcW w:w="500" w:type="dxa"/>
            <w:vMerge/>
          </w:tcPr>
          <w:p w:rsidR="009C22DB" w:rsidRPr="001B70DE" w:rsidRDefault="009C22DB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9C22DB" w:rsidRPr="00055AF5" w:rsidRDefault="009C22DB" w:rsidP="00D605A3">
            <w:pPr>
              <w:tabs>
                <w:tab w:val="left" w:pos="0"/>
              </w:tabs>
            </w:pPr>
            <w:r w:rsidRPr="00055AF5">
              <w:t>сокращение 36 штатных единиц в муниципальных учреждениях района</w:t>
            </w:r>
          </w:p>
        </w:tc>
        <w:tc>
          <w:tcPr>
            <w:tcW w:w="1700" w:type="dxa"/>
            <w:gridSpan w:val="2"/>
          </w:tcPr>
          <w:p w:rsidR="007E4EDC" w:rsidRDefault="007E4EDC" w:rsidP="00D605A3">
            <w:pPr>
              <w:tabs>
                <w:tab w:val="left" w:pos="0"/>
              </w:tabs>
            </w:pPr>
            <w:r>
              <w:t>а</w:t>
            </w:r>
            <w:r w:rsidR="00BA569C" w:rsidRPr="0042325E">
              <w:t>дминис</w:t>
            </w:r>
            <w:r>
              <w:t>трация Ханты-Мансийского района;</w:t>
            </w:r>
          </w:p>
          <w:p w:rsidR="007E4EDC" w:rsidRDefault="009C22DB" w:rsidP="00D605A3">
            <w:pPr>
              <w:tabs>
                <w:tab w:val="left" w:pos="0"/>
              </w:tabs>
            </w:pPr>
            <w:r w:rsidRPr="0042325E">
              <w:t xml:space="preserve">комитет по культуре, спорту и социальной политике; департамент строительства, архитектуры </w:t>
            </w:r>
          </w:p>
          <w:p w:rsidR="007E4EDC" w:rsidRDefault="009C22DB" w:rsidP="00D605A3">
            <w:pPr>
              <w:tabs>
                <w:tab w:val="left" w:pos="0"/>
              </w:tabs>
            </w:pPr>
            <w:r w:rsidRPr="0042325E">
              <w:t>и ЖКХ</w:t>
            </w:r>
            <w:r w:rsidR="007E4EDC">
              <w:t>;</w:t>
            </w:r>
            <w:r w:rsidR="00A37B54" w:rsidRPr="0042325E">
              <w:t xml:space="preserve"> департамент имущественных и земельных отношений</w:t>
            </w:r>
            <w:r w:rsidR="007E4EDC">
              <w:t>;</w:t>
            </w:r>
            <w:r w:rsidRPr="0042325E">
              <w:t xml:space="preserve"> комитет </w:t>
            </w:r>
          </w:p>
          <w:p w:rsidR="007E4EDC" w:rsidRDefault="009C22DB" w:rsidP="00D605A3">
            <w:pPr>
              <w:tabs>
                <w:tab w:val="left" w:pos="0"/>
              </w:tabs>
            </w:pPr>
            <w:r w:rsidRPr="0042325E">
              <w:t>по образованию</w:t>
            </w:r>
            <w:r w:rsidR="00C1377F">
              <w:t xml:space="preserve">, </w:t>
            </w:r>
            <w:r w:rsidR="00166AC9">
              <w:t>МКУ «</w:t>
            </w:r>
            <w:proofErr w:type="spellStart"/>
            <w:proofErr w:type="gramStart"/>
            <w:r w:rsidR="00166AC9">
              <w:t>Централизова</w:t>
            </w:r>
            <w:r w:rsidR="007E4EDC">
              <w:t>-</w:t>
            </w:r>
            <w:r w:rsidR="00166AC9">
              <w:t>нная</w:t>
            </w:r>
            <w:proofErr w:type="spellEnd"/>
            <w:proofErr w:type="gramEnd"/>
            <w:r w:rsidR="00166AC9">
              <w:t xml:space="preserve"> библиотечная система»</w:t>
            </w:r>
            <w:r w:rsidR="007E4EDC">
              <w:t>;</w:t>
            </w:r>
          </w:p>
          <w:p w:rsidR="007E4EDC" w:rsidRDefault="00EF444A" w:rsidP="007E4EDC">
            <w:pPr>
              <w:tabs>
                <w:tab w:val="left" w:pos="0"/>
              </w:tabs>
            </w:pPr>
            <w:r>
              <w:t>МБУ «</w:t>
            </w:r>
            <w:r w:rsidR="00434CAB" w:rsidRPr="00434CAB">
              <w:t xml:space="preserve">Досуговый центр </w:t>
            </w:r>
            <w:r w:rsidR="00554C53">
              <w:t>«</w:t>
            </w:r>
            <w:proofErr w:type="spellStart"/>
            <w:r w:rsidR="00434CAB" w:rsidRPr="00434CAB">
              <w:t>Имитуй</w:t>
            </w:r>
            <w:proofErr w:type="spellEnd"/>
            <w:r>
              <w:t>»</w:t>
            </w:r>
            <w:r w:rsidR="00554C53">
              <w:t>»</w:t>
            </w:r>
            <w:r w:rsidR="007E4EDC">
              <w:t>;</w:t>
            </w:r>
          </w:p>
          <w:p w:rsidR="007E4EDC" w:rsidRDefault="00166AC9" w:rsidP="007E4EDC">
            <w:pPr>
              <w:tabs>
                <w:tab w:val="left" w:pos="0"/>
              </w:tabs>
            </w:pPr>
            <w:r>
              <w:t>МБ</w:t>
            </w:r>
            <w:r w:rsidR="002667AB">
              <w:t>ОУ «</w:t>
            </w:r>
            <w:r w:rsidR="00434CAB" w:rsidRPr="00434CAB">
              <w:t>Детско-юношеская спортивная школа Ханты-Мансийского района</w:t>
            </w:r>
            <w:r w:rsidR="007E4EDC">
              <w:t>»;</w:t>
            </w:r>
            <w:r w:rsidR="002667AB">
              <w:t xml:space="preserve"> </w:t>
            </w:r>
          </w:p>
          <w:p w:rsidR="007E4EDC" w:rsidRDefault="002667AB" w:rsidP="007E4EDC">
            <w:pPr>
              <w:tabs>
                <w:tab w:val="left" w:pos="0"/>
              </w:tabs>
            </w:pPr>
            <w:r>
              <w:t>МКУ «</w:t>
            </w:r>
            <w:r w:rsidR="00434CAB" w:rsidRPr="00434CAB">
              <w:t>Управление технического обеспечения</w:t>
            </w:r>
            <w:r w:rsidR="007E4EDC">
              <w:t>»;</w:t>
            </w:r>
            <w:r>
              <w:t xml:space="preserve"> МКУ «Управление гражданской защиты</w:t>
            </w:r>
            <w:r w:rsidR="007E4EDC">
              <w:t>»;</w:t>
            </w:r>
            <w:r w:rsidR="00D420A9">
              <w:t xml:space="preserve"> </w:t>
            </w:r>
          </w:p>
          <w:p w:rsidR="007E4EDC" w:rsidRDefault="00D420A9" w:rsidP="007E4EDC">
            <w:pPr>
              <w:tabs>
                <w:tab w:val="left" w:pos="0"/>
              </w:tabs>
            </w:pPr>
            <w:r>
              <w:t>МКУ «</w:t>
            </w:r>
            <w:proofErr w:type="spellStart"/>
            <w:proofErr w:type="gramStart"/>
            <w:r w:rsidR="00542AAB" w:rsidRPr="00542AAB">
              <w:t>Централизова</w:t>
            </w:r>
            <w:r w:rsidR="007E4EDC">
              <w:t>-</w:t>
            </w:r>
            <w:r w:rsidR="00542AAB" w:rsidRPr="00542AAB">
              <w:t>нная</w:t>
            </w:r>
            <w:proofErr w:type="spellEnd"/>
            <w:proofErr w:type="gramEnd"/>
            <w:r w:rsidR="00542AAB" w:rsidRPr="00542AAB">
              <w:t xml:space="preserve"> бухгалтерия по обслуживанию муниципальных образовательных учреждений Ханты-Мансийского района</w:t>
            </w:r>
            <w:r w:rsidR="007E4EDC">
              <w:t>»;</w:t>
            </w:r>
          </w:p>
          <w:p w:rsidR="009C22DB" w:rsidRPr="00554C53" w:rsidRDefault="00D420A9" w:rsidP="007E4EDC">
            <w:pPr>
              <w:tabs>
                <w:tab w:val="left" w:pos="0"/>
              </w:tabs>
            </w:pPr>
            <w:r>
              <w:t>МБОУ «</w:t>
            </w:r>
            <w:r w:rsidR="009613ED" w:rsidRPr="009613ED">
              <w:t>Центр детский (подростковый) п. Луговской</w:t>
            </w:r>
            <w:r w:rsidR="009613ED">
              <w:t>»</w:t>
            </w:r>
          </w:p>
        </w:tc>
        <w:tc>
          <w:tcPr>
            <w:tcW w:w="1200" w:type="dxa"/>
            <w:gridSpan w:val="2"/>
          </w:tcPr>
          <w:p w:rsidR="009C22DB" w:rsidRPr="000E5552" w:rsidRDefault="009C22DB" w:rsidP="00D605A3">
            <w:pPr>
              <w:tabs>
                <w:tab w:val="left" w:pos="0"/>
              </w:tabs>
              <w:jc w:val="center"/>
              <w:rPr>
                <w:b/>
              </w:rPr>
            </w:pPr>
            <w:r w:rsidRPr="000E5552">
              <w:t xml:space="preserve">1 квартал 2015 года </w:t>
            </w:r>
          </w:p>
        </w:tc>
        <w:tc>
          <w:tcPr>
            <w:tcW w:w="1580" w:type="dxa"/>
          </w:tcPr>
          <w:p w:rsidR="009C22DB" w:rsidRPr="000E5552" w:rsidRDefault="009C22DB" w:rsidP="00D605A3">
            <w:pPr>
              <w:tabs>
                <w:tab w:val="left" w:pos="0"/>
              </w:tabs>
              <w:rPr>
                <w:b/>
              </w:rPr>
            </w:pPr>
            <w:r w:rsidRPr="000E5552">
              <w:t>внесение изменений в штатное расписание</w:t>
            </w:r>
          </w:p>
        </w:tc>
        <w:tc>
          <w:tcPr>
            <w:tcW w:w="1520" w:type="dxa"/>
          </w:tcPr>
          <w:p w:rsidR="009C22DB" w:rsidRPr="000E5552" w:rsidRDefault="009C22DB" w:rsidP="00D605A3">
            <w:r w:rsidRPr="000E5552">
              <w:t>количество сокращенных единиц</w:t>
            </w:r>
          </w:p>
        </w:tc>
        <w:tc>
          <w:tcPr>
            <w:tcW w:w="900" w:type="dxa"/>
            <w:gridSpan w:val="2"/>
          </w:tcPr>
          <w:p w:rsidR="009C22DB" w:rsidRPr="000E5552" w:rsidRDefault="009C22DB" w:rsidP="00D605A3">
            <w:pPr>
              <w:jc w:val="center"/>
            </w:pPr>
            <w:r w:rsidRPr="000E5552">
              <w:t>36</w:t>
            </w:r>
          </w:p>
        </w:tc>
        <w:tc>
          <w:tcPr>
            <w:tcW w:w="900" w:type="dxa"/>
            <w:gridSpan w:val="2"/>
          </w:tcPr>
          <w:p w:rsidR="009C22DB" w:rsidRPr="000E5552" w:rsidRDefault="009C22DB" w:rsidP="00D605A3">
            <w:pPr>
              <w:jc w:val="center"/>
            </w:pPr>
            <w:r w:rsidRPr="000E5552">
              <w:t>0</w:t>
            </w:r>
          </w:p>
        </w:tc>
        <w:tc>
          <w:tcPr>
            <w:tcW w:w="900" w:type="dxa"/>
            <w:gridSpan w:val="2"/>
          </w:tcPr>
          <w:p w:rsidR="009C22DB" w:rsidRPr="000E5552" w:rsidRDefault="009C22DB" w:rsidP="00D605A3">
            <w:pPr>
              <w:jc w:val="center"/>
            </w:pPr>
            <w:r w:rsidRPr="000E5552">
              <w:t>0</w:t>
            </w:r>
          </w:p>
        </w:tc>
        <w:tc>
          <w:tcPr>
            <w:tcW w:w="900" w:type="dxa"/>
          </w:tcPr>
          <w:p w:rsidR="009C22DB" w:rsidRPr="000E5552" w:rsidRDefault="009C22DB" w:rsidP="00D605A3">
            <w:pPr>
              <w:jc w:val="center"/>
            </w:pPr>
            <w:r w:rsidRPr="000E5552">
              <w:t>15 942,7</w:t>
            </w:r>
          </w:p>
        </w:tc>
        <w:tc>
          <w:tcPr>
            <w:tcW w:w="900" w:type="dxa"/>
          </w:tcPr>
          <w:p w:rsidR="009C22DB" w:rsidRPr="000E5552" w:rsidRDefault="009C22DB" w:rsidP="00D605A3">
            <w:pPr>
              <w:jc w:val="center"/>
            </w:pPr>
            <w:r w:rsidRPr="000E5552">
              <w:t>0,0</w:t>
            </w:r>
          </w:p>
        </w:tc>
        <w:tc>
          <w:tcPr>
            <w:tcW w:w="800" w:type="dxa"/>
            <w:gridSpan w:val="2"/>
          </w:tcPr>
          <w:p w:rsidR="009C22DB" w:rsidRPr="000E5552" w:rsidRDefault="009C22DB" w:rsidP="00D605A3">
            <w:pPr>
              <w:jc w:val="center"/>
            </w:pPr>
            <w:r w:rsidRPr="000E5552">
              <w:t>0,0</w:t>
            </w:r>
          </w:p>
        </w:tc>
      </w:tr>
      <w:tr w:rsidR="004B3DCE" w:rsidRPr="001B70DE" w:rsidTr="00A503F2">
        <w:trPr>
          <w:tblCellSpacing w:w="5" w:type="nil"/>
        </w:trPr>
        <w:tc>
          <w:tcPr>
            <w:tcW w:w="500" w:type="dxa"/>
          </w:tcPr>
          <w:p w:rsidR="004B3DCE" w:rsidRPr="001B70DE" w:rsidRDefault="004B3DCE" w:rsidP="00D605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</w:t>
            </w:r>
            <w:r w:rsidR="00111B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0" w:type="dxa"/>
            <w:gridSpan w:val="2"/>
          </w:tcPr>
          <w:p w:rsidR="004B3DCE" w:rsidRPr="00224792" w:rsidRDefault="003C7C7B" w:rsidP="00D605A3">
            <w:pPr>
              <w:tabs>
                <w:tab w:val="left" w:pos="0"/>
              </w:tabs>
            </w:pPr>
            <w:r w:rsidRPr="00224792">
              <w:t>Реорганизация</w:t>
            </w:r>
            <w:r w:rsidR="004B3DCE" w:rsidRPr="00224792">
              <w:t xml:space="preserve"> сети </w:t>
            </w:r>
            <w:r w:rsidR="00664426" w:rsidRPr="00224792">
              <w:t xml:space="preserve">образовательных </w:t>
            </w:r>
            <w:r w:rsidR="004B3DCE" w:rsidRPr="00224792">
              <w:t>учреждений</w:t>
            </w:r>
          </w:p>
        </w:tc>
        <w:tc>
          <w:tcPr>
            <w:tcW w:w="1700" w:type="dxa"/>
            <w:gridSpan w:val="2"/>
          </w:tcPr>
          <w:p w:rsidR="004B3DCE" w:rsidRPr="00224792" w:rsidRDefault="004B3DCE" w:rsidP="00D605A3">
            <w:pPr>
              <w:tabs>
                <w:tab w:val="left" w:pos="0"/>
              </w:tabs>
            </w:pPr>
            <w:r w:rsidRPr="00224792">
              <w:t>комитет по образованию;</w:t>
            </w:r>
          </w:p>
          <w:p w:rsidR="004B3DCE" w:rsidRPr="00224792" w:rsidRDefault="004B3DCE" w:rsidP="007E4EDC">
            <w:pPr>
              <w:tabs>
                <w:tab w:val="left" w:pos="0"/>
              </w:tabs>
            </w:pPr>
            <w:r w:rsidRPr="00224792">
              <w:t xml:space="preserve">комитет по культуре, спорту и социальной политике </w:t>
            </w:r>
          </w:p>
        </w:tc>
        <w:tc>
          <w:tcPr>
            <w:tcW w:w="1200" w:type="dxa"/>
            <w:gridSpan w:val="2"/>
          </w:tcPr>
          <w:p w:rsidR="004B3DCE" w:rsidRPr="000C6A9D" w:rsidRDefault="004B3DCE" w:rsidP="00D605A3">
            <w:pPr>
              <w:tabs>
                <w:tab w:val="left" w:pos="0"/>
              </w:tabs>
              <w:jc w:val="center"/>
            </w:pPr>
            <w:r w:rsidRPr="000C6A9D">
              <w:t xml:space="preserve">до </w:t>
            </w:r>
          </w:p>
          <w:p w:rsidR="004B3DCE" w:rsidRPr="000C6A9D" w:rsidRDefault="004B3DCE" w:rsidP="00D605A3">
            <w:pPr>
              <w:tabs>
                <w:tab w:val="left" w:pos="0"/>
              </w:tabs>
              <w:jc w:val="center"/>
              <w:rPr>
                <w:b/>
              </w:rPr>
            </w:pPr>
            <w:r w:rsidRPr="000C6A9D">
              <w:t>01.0</w:t>
            </w:r>
            <w:r w:rsidR="00F57E66" w:rsidRPr="000C6A9D">
              <w:t>7</w:t>
            </w:r>
            <w:r w:rsidRPr="000C6A9D">
              <w:t>.201</w:t>
            </w:r>
            <w:r w:rsidR="00F57E66" w:rsidRPr="000C6A9D">
              <w:t>5</w:t>
            </w:r>
          </w:p>
        </w:tc>
        <w:tc>
          <w:tcPr>
            <w:tcW w:w="1580" w:type="dxa"/>
          </w:tcPr>
          <w:p w:rsidR="007E4EDC" w:rsidRDefault="007E4EDC" w:rsidP="00D605A3">
            <w:pPr>
              <w:tabs>
                <w:tab w:val="left" w:pos="0"/>
              </w:tabs>
            </w:pPr>
            <w:r>
              <w:t>р</w:t>
            </w:r>
            <w:r w:rsidR="00C17713" w:rsidRPr="000C6A9D">
              <w:t>еализация распоряжени</w:t>
            </w:r>
            <w:r w:rsidR="00D4274F" w:rsidRPr="000C6A9D">
              <w:t>й</w:t>
            </w:r>
            <w:r w:rsidR="00C17713" w:rsidRPr="000C6A9D">
              <w:t xml:space="preserve"> от </w:t>
            </w:r>
            <w:r w:rsidR="00D01B96" w:rsidRPr="000C6A9D">
              <w:t>21</w:t>
            </w:r>
            <w:r w:rsidR="00C17713" w:rsidRPr="000C6A9D">
              <w:t>.0</w:t>
            </w:r>
            <w:r w:rsidR="00D01B96" w:rsidRPr="000C6A9D">
              <w:t>7</w:t>
            </w:r>
            <w:r w:rsidR="00C17713" w:rsidRPr="000C6A9D">
              <w:t xml:space="preserve">.2014 </w:t>
            </w:r>
          </w:p>
          <w:p w:rsidR="004B3DCE" w:rsidRPr="000C6A9D" w:rsidRDefault="00C17713" w:rsidP="00EB6A13">
            <w:pPr>
              <w:tabs>
                <w:tab w:val="left" w:pos="0"/>
              </w:tabs>
              <w:rPr>
                <w:b/>
              </w:rPr>
            </w:pPr>
            <w:r w:rsidRPr="000C6A9D">
              <w:t xml:space="preserve">№ </w:t>
            </w:r>
            <w:r w:rsidR="00EB6A13">
              <w:t xml:space="preserve">941-р, </w:t>
            </w:r>
            <w:r w:rsidR="00D01B96" w:rsidRPr="000C6A9D">
              <w:t>943-р, 944</w:t>
            </w:r>
            <w:r w:rsidR="00EB6A13">
              <w:t>-р, 945-р, 946-р, 947-р, 948-р</w:t>
            </w:r>
          </w:p>
        </w:tc>
        <w:tc>
          <w:tcPr>
            <w:tcW w:w="1520" w:type="dxa"/>
          </w:tcPr>
          <w:p w:rsidR="004B3DCE" w:rsidRPr="000C6A9D" w:rsidRDefault="004B3DCE" w:rsidP="00D605A3">
            <w:r w:rsidRPr="000C6A9D">
              <w:t xml:space="preserve">отношение количества </w:t>
            </w:r>
            <w:proofErr w:type="spellStart"/>
            <w:proofErr w:type="gramStart"/>
            <w:r w:rsidRPr="000C6A9D">
              <w:t>муниципаль-ных</w:t>
            </w:r>
            <w:proofErr w:type="spellEnd"/>
            <w:proofErr w:type="gramEnd"/>
            <w:r w:rsidRPr="000C6A9D">
              <w:t xml:space="preserve"> учреждений образования Ханты-Мансийского района, подлежащих </w:t>
            </w:r>
            <w:proofErr w:type="spellStart"/>
            <w:r w:rsidRPr="000C6A9D">
              <w:t>реорганиза-ции</w:t>
            </w:r>
            <w:proofErr w:type="spellEnd"/>
            <w:r w:rsidRPr="000C6A9D">
              <w:t>, к общему количеству учреждений образования района, %</w:t>
            </w:r>
          </w:p>
        </w:tc>
        <w:tc>
          <w:tcPr>
            <w:tcW w:w="900" w:type="dxa"/>
            <w:gridSpan w:val="2"/>
          </w:tcPr>
          <w:p w:rsidR="004B3DCE" w:rsidRPr="00124507" w:rsidRDefault="004B3DCE" w:rsidP="00D605A3">
            <w:pPr>
              <w:jc w:val="center"/>
            </w:pPr>
            <w:r w:rsidRPr="00124507">
              <w:t>15,2</w:t>
            </w:r>
          </w:p>
        </w:tc>
        <w:tc>
          <w:tcPr>
            <w:tcW w:w="900" w:type="dxa"/>
            <w:gridSpan w:val="2"/>
          </w:tcPr>
          <w:p w:rsidR="004B3DCE" w:rsidRPr="00124507" w:rsidRDefault="004B3DCE" w:rsidP="00D605A3">
            <w:pPr>
              <w:jc w:val="center"/>
            </w:pPr>
            <w:r w:rsidRPr="00124507">
              <w:t>0,0</w:t>
            </w:r>
          </w:p>
        </w:tc>
        <w:tc>
          <w:tcPr>
            <w:tcW w:w="900" w:type="dxa"/>
            <w:gridSpan w:val="2"/>
          </w:tcPr>
          <w:p w:rsidR="004B3DCE" w:rsidRPr="00124507" w:rsidRDefault="004B3DCE" w:rsidP="00D605A3">
            <w:pPr>
              <w:jc w:val="center"/>
            </w:pPr>
            <w:r w:rsidRPr="00124507">
              <w:t>0,0</w:t>
            </w:r>
          </w:p>
        </w:tc>
        <w:tc>
          <w:tcPr>
            <w:tcW w:w="900" w:type="dxa"/>
          </w:tcPr>
          <w:p w:rsidR="004B3DCE" w:rsidRPr="00124507" w:rsidRDefault="00ED4C57" w:rsidP="00D605A3">
            <w:pPr>
              <w:jc w:val="center"/>
            </w:pPr>
            <w:r>
              <w:t>1 942,4</w:t>
            </w:r>
          </w:p>
        </w:tc>
        <w:tc>
          <w:tcPr>
            <w:tcW w:w="900" w:type="dxa"/>
          </w:tcPr>
          <w:p w:rsidR="004B3DCE" w:rsidRPr="00124507" w:rsidRDefault="004B3DCE" w:rsidP="00D605A3">
            <w:pPr>
              <w:jc w:val="center"/>
            </w:pPr>
          </w:p>
        </w:tc>
        <w:tc>
          <w:tcPr>
            <w:tcW w:w="800" w:type="dxa"/>
            <w:gridSpan w:val="2"/>
          </w:tcPr>
          <w:p w:rsidR="004B3DCE" w:rsidRPr="00124507" w:rsidRDefault="00CF6E1E" w:rsidP="00D605A3">
            <w:pPr>
              <w:jc w:val="center"/>
            </w:pPr>
            <w:r w:rsidRPr="00124507">
              <w:t>0,0</w:t>
            </w:r>
          </w:p>
        </w:tc>
      </w:tr>
      <w:tr w:rsidR="004B3DCE" w:rsidRPr="001B70DE" w:rsidTr="00A503F2">
        <w:trPr>
          <w:tblCellSpacing w:w="5" w:type="nil"/>
        </w:trPr>
        <w:tc>
          <w:tcPr>
            <w:tcW w:w="13800" w:type="dxa"/>
            <w:gridSpan w:val="19"/>
          </w:tcPr>
          <w:p w:rsidR="004B3DCE" w:rsidRPr="001B70DE" w:rsidRDefault="004B3DCE" w:rsidP="00D605A3">
            <w:pPr>
              <w:jc w:val="center"/>
            </w:pPr>
            <w:r w:rsidRPr="001B70DE">
              <w:t>3. Мероприятия по сокращению муниципального долга Ханты-Мансийского района и расходов на его обслуживание</w:t>
            </w:r>
          </w:p>
        </w:tc>
      </w:tr>
      <w:tr w:rsidR="00D85094" w:rsidRPr="001B70DE" w:rsidTr="00A503F2">
        <w:trPr>
          <w:tblCellSpacing w:w="5" w:type="nil"/>
        </w:trPr>
        <w:tc>
          <w:tcPr>
            <w:tcW w:w="604" w:type="dxa"/>
            <w:gridSpan w:val="2"/>
          </w:tcPr>
          <w:p w:rsidR="00D85094" w:rsidRPr="001B70DE" w:rsidRDefault="00D85094" w:rsidP="00D605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6" w:type="dxa"/>
            <w:gridSpan w:val="2"/>
          </w:tcPr>
          <w:p w:rsidR="00D85094" w:rsidRPr="001B70DE" w:rsidRDefault="00D85094" w:rsidP="00D605A3">
            <w:pPr>
              <w:autoSpaceDE w:val="0"/>
              <w:autoSpaceDN w:val="0"/>
              <w:adjustRightInd w:val="0"/>
            </w:pPr>
            <w:r w:rsidRPr="00D85094">
              <w:t>Итого, в том числе</w:t>
            </w:r>
          </w:p>
        </w:tc>
        <w:tc>
          <w:tcPr>
            <w:tcW w:w="1620" w:type="dxa"/>
            <w:gridSpan w:val="2"/>
          </w:tcPr>
          <w:p w:rsidR="00D85094" w:rsidRDefault="00D85094" w:rsidP="00D605A3"/>
        </w:tc>
        <w:tc>
          <w:tcPr>
            <w:tcW w:w="920" w:type="dxa"/>
          </w:tcPr>
          <w:p w:rsidR="00D85094" w:rsidRPr="001B70DE" w:rsidRDefault="00D85094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D85094" w:rsidRPr="001B70DE" w:rsidRDefault="00D85094" w:rsidP="00D605A3"/>
        </w:tc>
        <w:tc>
          <w:tcPr>
            <w:tcW w:w="1640" w:type="dxa"/>
            <w:gridSpan w:val="2"/>
          </w:tcPr>
          <w:p w:rsidR="00D85094" w:rsidRPr="0033456D" w:rsidRDefault="00D85094" w:rsidP="00D605A3">
            <w:pPr>
              <w:tabs>
                <w:tab w:val="left" w:pos="0"/>
              </w:tabs>
            </w:pPr>
          </w:p>
        </w:tc>
        <w:tc>
          <w:tcPr>
            <w:tcW w:w="900" w:type="dxa"/>
            <w:gridSpan w:val="2"/>
          </w:tcPr>
          <w:p w:rsidR="00D85094" w:rsidRDefault="00D85094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  <w:gridSpan w:val="2"/>
          </w:tcPr>
          <w:p w:rsidR="00D85094" w:rsidRDefault="00D85094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780" w:type="dxa"/>
          </w:tcPr>
          <w:p w:rsidR="00D85094" w:rsidRDefault="00D85094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D85094" w:rsidRPr="0033456D" w:rsidRDefault="005602DB" w:rsidP="00D605A3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D85094" w:rsidRDefault="005602DB" w:rsidP="00D605A3">
            <w:pPr>
              <w:jc w:val="center"/>
            </w:pPr>
            <w:r>
              <w:t>0,0</w:t>
            </w:r>
          </w:p>
        </w:tc>
        <w:tc>
          <w:tcPr>
            <w:tcW w:w="800" w:type="dxa"/>
            <w:gridSpan w:val="2"/>
          </w:tcPr>
          <w:p w:rsidR="00D85094" w:rsidRDefault="005602DB" w:rsidP="00D605A3">
            <w:pPr>
              <w:jc w:val="center"/>
            </w:pPr>
            <w:r>
              <w:t>0,0</w:t>
            </w:r>
          </w:p>
        </w:tc>
      </w:tr>
      <w:tr w:rsidR="00540653" w:rsidRPr="001B70DE" w:rsidTr="00A503F2">
        <w:trPr>
          <w:tblCellSpacing w:w="5" w:type="nil"/>
        </w:trPr>
        <w:tc>
          <w:tcPr>
            <w:tcW w:w="604" w:type="dxa"/>
            <w:gridSpan w:val="2"/>
          </w:tcPr>
          <w:p w:rsidR="00540653" w:rsidRPr="001B70DE" w:rsidRDefault="00540653" w:rsidP="00D60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3.1</w:t>
            </w:r>
            <w:r>
              <w:t>.</w:t>
            </w:r>
          </w:p>
        </w:tc>
        <w:tc>
          <w:tcPr>
            <w:tcW w:w="2256" w:type="dxa"/>
            <w:gridSpan w:val="2"/>
          </w:tcPr>
          <w:p w:rsidR="00540653" w:rsidRPr="001B70DE" w:rsidRDefault="00540653" w:rsidP="00D605A3">
            <w:pPr>
              <w:autoSpaceDE w:val="0"/>
              <w:autoSpaceDN w:val="0"/>
              <w:adjustRightInd w:val="0"/>
            </w:pPr>
            <w:r w:rsidRPr="001B70DE">
              <w:t xml:space="preserve">Установить значение показателя соотношения муниципального долга к доходам бюджета района без учета безвозмездных поступлений </w:t>
            </w:r>
            <w:r w:rsidRPr="009D661C">
              <w:t>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  <w:gridSpan w:val="2"/>
          </w:tcPr>
          <w:p w:rsidR="00540653" w:rsidRPr="001B70DE" w:rsidRDefault="00540653" w:rsidP="00D605A3">
            <w:r>
              <w:t xml:space="preserve">комитет по финансам </w:t>
            </w:r>
          </w:p>
        </w:tc>
        <w:tc>
          <w:tcPr>
            <w:tcW w:w="920" w:type="dxa"/>
          </w:tcPr>
          <w:p w:rsidR="00540653" w:rsidRPr="001B70DE" w:rsidRDefault="00540653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540653" w:rsidRPr="001B70DE" w:rsidRDefault="00540653" w:rsidP="00D605A3"/>
        </w:tc>
        <w:tc>
          <w:tcPr>
            <w:tcW w:w="164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</w:pPr>
            <w:r w:rsidRPr="0033456D">
              <w:t xml:space="preserve">отношение </w:t>
            </w:r>
            <w:proofErr w:type="spellStart"/>
            <w:proofErr w:type="gramStart"/>
            <w:r w:rsidRPr="0033456D">
              <w:t>муниципаль-ного</w:t>
            </w:r>
            <w:proofErr w:type="spellEnd"/>
            <w:proofErr w:type="gramEnd"/>
            <w:r w:rsidRPr="0033456D">
              <w:t xml:space="preserve"> долга к доходам бюджета района без учета безвозмездных поступлений и поступлений налоговых доходов по </w:t>
            </w:r>
            <w:proofErr w:type="spellStart"/>
            <w:r w:rsidRPr="0033456D">
              <w:t>дополнитель-ным</w:t>
            </w:r>
            <w:proofErr w:type="spellEnd"/>
            <w:r w:rsidRPr="0033456D">
              <w:t xml:space="preserve"> нормативам отчислений, %</w:t>
            </w:r>
          </w:p>
        </w:tc>
        <w:tc>
          <w:tcPr>
            <w:tcW w:w="900" w:type="dxa"/>
            <w:gridSpan w:val="2"/>
          </w:tcPr>
          <w:p w:rsidR="00540653" w:rsidRPr="0033456D" w:rsidRDefault="00827D33" w:rsidP="00D605A3">
            <w:pPr>
              <w:tabs>
                <w:tab w:val="left" w:pos="0"/>
              </w:tabs>
              <w:jc w:val="center"/>
            </w:pPr>
            <w:r>
              <w:t>7,1</w:t>
            </w:r>
          </w:p>
        </w:tc>
        <w:tc>
          <w:tcPr>
            <w:tcW w:w="900" w:type="dxa"/>
            <w:gridSpan w:val="2"/>
          </w:tcPr>
          <w:p w:rsidR="00540653" w:rsidRPr="0033456D" w:rsidRDefault="00827D33" w:rsidP="00D605A3">
            <w:pPr>
              <w:tabs>
                <w:tab w:val="left" w:pos="0"/>
              </w:tabs>
              <w:jc w:val="center"/>
            </w:pPr>
            <w:r>
              <w:t>8,1</w:t>
            </w:r>
          </w:p>
        </w:tc>
        <w:tc>
          <w:tcPr>
            <w:tcW w:w="780" w:type="dxa"/>
          </w:tcPr>
          <w:p w:rsidR="00540653" w:rsidRPr="0033456D" w:rsidRDefault="00827D33" w:rsidP="00D605A3">
            <w:pPr>
              <w:tabs>
                <w:tab w:val="left" w:pos="0"/>
              </w:tabs>
              <w:jc w:val="center"/>
            </w:pPr>
            <w:r>
              <w:t>8,2</w:t>
            </w:r>
          </w:p>
        </w:tc>
        <w:tc>
          <w:tcPr>
            <w:tcW w:w="900" w:type="dxa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0,0</w:t>
            </w:r>
          </w:p>
        </w:tc>
        <w:tc>
          <w:tcPr>
            <w:tcW w:w="900" w:type="dxa"/>
          </w:tcPr>
          <w:p w:rsidR="00540653" w:rsidRPr="001B70DE" w:rsidRDefault="00540653" w:rsidP="00D605A3">
            <w:pPr>
              <w:jc w:val="center"/>
            </w:pPr>
            <w:r>
              <w:t>0,0</w:t>
            </w:r>
          </w:p>
        </w:tc>
        <w:tc>
          <w:tcPr>
            <w:tcW w:w="800" w:type="dxa"/>
            <w:gridSpan w:val="2"/>
          </w:tcPr>
          <w:p w:rsidR="00540653" w:rsidRPr="001B70DE" w:rsidRDefault="00540653" w:rsidP="00D605A3">
            <w:pPr>
              <w:jc w:val="center"/>
            </w:pPr>
            <w:r>
              <w:t>0,0</w:t>
            </w:r>
          </w:p>
        </w:tc>
      </w:tr>
      <w:tr w:rsidR="00540653" w:rsidRPr="001B70DE" w:rsidTr="00A503F2">
        <w:trPr>
          <w:tblCellSpacing w:w="5" w:type="nil"/>
        </w:trPr>
        <w:tc>
          <w:tcPr>
            <w:tcW w:w="604" w:type="dxa"/>
            <w:gridSpan w:val="2"/>
          </w:tcPr>
          <w:p w:rsidR="00540653" w:rsidRPr="001B70DE" w:rsidRDefault="00540653" w:rsidP="00D60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3.2</w:t>
            </w:r>
            <w:r>
              <w:t>.</w:t>
            </w:r>
          </w:p>
        </w:tc>
        <w:tc>
          <w:tcPr>
            <w:tcW w:w="2256" w:type="dxa"/>
            <w:gridSpan w:val="2"/>
          </w:tcPr>
          <w:p w:rsidR="00540653" w:rsidRPr="001B70DE" w:rsidRDefault="00540653" w:rsidP="00D605A3">
            <w:pPr>
              <w:tabs>
                <w:tab w:val="left" w:pos="0"/>
              </w:tabs>
            </w:pPr>
            <w:r w:rsidRPr="001B70DE">
              <w:t xml:space="preserve">Установить уровень долговой нагрузки на бюджет района по ежегодному погашению </w:t>
            </w:r>
            <w:r w:rsidRPr="00CF6E1E">
              <w:t>долговых обязательств на уровне, не превышающем 10% от суммарного годового объема доходов бюджета</w:t>
            </w:r>
            <w:r w:rsidRPr="001B70DE">
              <w:t xml:space="preserve">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  <w:gridSpan w:val="2"/>
          </w:tcPr>
          <w:p w:rsidR="00540653" w:rsidRPr="001B70DE" w:rsidRDefault="00540653" w:rsidP="00D605A3">
            <w:r>
              <w:t xml:space="preserve">комитет по финансам </w:t>
            </w:r>
          </w:p>
        </w:tc>
        <w:tc>
          <w:tcPr>
            <w:tcW w:w="920" w:type="dxa"/>
          </w:tcPr>
          <w:p w:rsidR="00540653" w:rsidRPr="001B70DE" w:rsidRDefault="00540653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540653" w:rsidRPr="001B70DE" w:rsidRDefault="00540653" w:rsidP="00D605A3"/>
        </w:tc>
        <w:tc>
          <w:tcPr>
            <w:tcW w:w="164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</w:pPr>
            <w:r w:rsidRPr="0033456D">
              <w:t xml:space="preserve">отношение годового объема погашения долговых обязательств к суммарному годовому объему доходов бюджета района без учета безвозмездных поступлений и поступлений налоговых доходов по </w:t>
            </w:r>
            <w:proofErr w:type="spellStart"/>
            <w:proofErr w:type="gramStart"/>
            <w:r w:rsidRPr="0033456D">
              <w:t>дополнитель-ным</w:t>
            </w:r>
            <w:proofErr w:type="spellEnd"/>
            <w:proofErr w:type="gramEnd"/>
            <w:r w:rsidRPr="0033456D">
              <w:t xml:space="preserve"> нормативам отчислений, %</w:t>
            </w:r>
          </w:p>
        </w:tc>
        <w:tc>
          <w:tcPr>
            <w:tcW w:w="90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не более 10,0</w:t>
            </w:r>
          </w:p>
        </w:tc>
        <w:tc>
          <w:tcPr>
            <w:tcW w:w="90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не более 10,0</w:t>
            </w:r>
          </w:p>
        </w:tc>
        <w:tc>
          <w:tcPr>
            <w:tcW w:w="780" w:type="dxa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не более 10,0</w:t>
            </w:r>
          </w:p>
        </w:tc>
        <w:tc>
          <w:tcPr>
            <w:tcW w:w="900" w:type="dxa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0,0</w:t>
            </w:r>
          </w:p>
        </w:tc>
        <w:tc>
          <w:tcPr>
            <w:tcW w:w="900" w:type="dxa"/>
          </w:tcPr>
          <w:p w:rsidR="00540653" w:rsidRPr="001B70DE" w:rsidRDefault="00540653" w:rsidP="00D605A3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800" w:type="dxa"/>
            <w:gridSpan w:val="2"/>
          </w:tcPr>
          <w:p w:rsidR="00540653" w:rsidRPr="001B70DE" w:rsidRDefault="00540653" w:rsidP="00D605A3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</w:tr>
      <w:tr w:rsidR="00540653" w:rsidRPr="0033456D" w:rsidTr="00A503F2">
        <w:trPr>
          <w:tblCellSpacing w:w="5" w:type="nil"/>
        </w:trPr>
        <w:tc>
          <w:tcPr>
            <w:tcW w:w="604" w:type="dxa"/>
            <w:gridSpan w:val="2"/>
          </w:tcPr>
          <w:p w:rsidR="00540653" w:rsidRPr="0033456D" w:rsidRDefault="00540653" w:rsidP="00D605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56D">
              <w:t>3.3.</w:t>
            </w:r>
          </w:p>
        </w:tc>
        <w:tc>
          <w:tcPr>
            <w:tcW w:w="2256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</w:pPr>
            <w:r w:rsidRPr="0033456D">
              <w:t>Установить предельный годовой объем расходов на обслуживание муниципального долга не более 0,15 % от общего годового объема расходов бюджета района, за исключением расходов, осуществляемых за счет субвенций</w:t>
            </w:r>
          </w:p>
        </w:tc>
        <w:tc>
          <w:tcPr>
            <w:tcW w:w="1620" w:type="dxa"/>
            <w:gridSpan w:val="2"/>
          </w:tcPr>
          <w:p w:rsidR="00540653" w:rsidRPr="0033456D" w:rsidRDefault="00540653" w:rsidP="00D605A3">
            <w:r w:rsidRPr="0033456D">
              <w:t>комитет по финансам</w:t>
            </w:r>
          </w:p>
        </w:tc>
        <w:tc>
          <w:tcPr>
            <w:tcW w:w="920" w:type="dxa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540653" w:rsidRPr="0033456D" w:rsidRDefault="00540653" w:rsidP="00D605A3"/>
        </w:tc>
        <w:tc>
          <w:tcPr>
            <w:tcW w:w="164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</w:pPr>
            <w:r w:rsidRPr="0033456D">
              <w:t xml:space="preserve">отношение годового объема расходов на обслуживание </w:t>
            </w:r>
            <w:proofErr w:type="spellStart"/>
            <w:proofErr w:type="gramStart"/>
            <w:r w:rsidRPr="0033456D">
              <w:t>муниципаль-ного</w:t>
            </w:r>
            <w:proofErr w:type="spellEnd"/>
            <w:proofErr w:type="gramEnd"/>
            <w:r w:rsidRPr="0033456D">
              <w:t xml:space="preserve"> долга к общему годовому объему расходов бюджета района, за исключением расходов, </w:t>
            </w:r>
            <w:proofErr w:type="spellStart"/>
            <w:r w:rsidRPr="0033456D">
              <w:t>осущест-вляемых</w:t>
            </w:r>
            <w:proofErr w:type="spellEnd"/>
            <w:r w:rsidRPr="0033456D">
              <w:t xml:space="preserve"> за счет субвенций, %</w:t>
            </w:r>
          </w:p>
        </w:tc>
        <w:tc>
          <w:tcPr>
            <w:tcW w:w="900" w:type="dxa"/>
            <w:gridSpan w:val="2"/>
          </w:tcPr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  <w:r w:rsidRPr="0033456D">
              <w:t>0,</w:t>
            </w:r>
            <w:r w:rsidR="0033456D">
              <w:t>022</w:t>
            </w:r>
          </w:p>
        </w:tc>
        <w:tc>
          <w:tcPr>
            <w:tcW w:w="900" w:type="dxa"/>
            <w:gridSpan w:val="2"/>
          </w:tcPr>
          <w:p w:rsidR="00540653" w:rsidRPr="0033456D" w:rsidRDefault="005337F6" w:rsidP="00D605A3">
            <w:pPr>
              <w:tabs>
                <w:tab w:val="left" w:pos="0"/>
              </w:tabs>
              <w:jc w:val="center"/>
            </w:pPr>
            <w:r>
              <w:t>0,057</w:t>
            </w:r>
          </w:p>
        </w:tc>
        <w:tc>
          <w:tcPr>
            <w:tcW w:w="780" w:type="dxa"/>
          </w:tcPr>
          <w:p w:rsidR="00540653" w:rsidRDefault="005337F6" w:rsidP="00D605A3">
            <w:pPr>
              <w:tabs>
                <w:tab w:val="left" w:pos="0"/>
              </w:tabs>
              <w:jc w:val="center"/>
            </w:pPr>
            <w:r>
              <w:t>0,070</w:t>
            </w:r>
          </w:p>
          <w:p w:rsidR="005337F6" w:rsidRPr="0033456D" w:rsidRDefault="005337F6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540653" w:rsidRPr="0033456D" w:rsidRDefault="004D53E7" w:rsidP="00D605A3">
            <w:pPr>
              <w:tabs>
                <w:tab w:val="left" w:pos="0"/>
              </w:tabs>
              <w:jc w:val="center"/>
            </w:pPr>
            <w:r w:rsidRPr="0033456D">
              <w:t>0,0</w:t>
            </w:r>
          </w:p>
          <w:p w:rsidR="00540653" w:rsidRPr="0033456D" w:rsidRDefault="00540653" w:rsidP="00D605A3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540653" w:rsidRPr="0033456D" w:rsidRDefault="00540653" w:rsidP="00D605A3">
            <w:pPr>
              <w:jc w:val="center"/>
            </w:pPr>
            <w:r w:rsidRPr="0033456D">
              <w:t>0,0</w:t>
            </w:r>
          </w:p>
        </w:tc>
        <w:tc>
          <w:tcPr>
            <w:tcW w:w="800" w:type="dxa"/>
            <w:gridSpan w:val="2"/>
          </w:tcPr>
          <w:p w:rsidR="00540653" w:rsidRPr="0033456D" w:rsidRDefault="00540653" w:rsidP="00D605A3">
            <w:pPr>
              <w:jc w:val="center"/>
            </w:pPr>
            <w:r w:rsidRPr="0033456D">
              <w:t>0,0</w:t>
            </w:r>
          </w:p>
        </w:tc>
      </w:tr>
    </w:tbl>
    <w:p w:rsidR="006532BE" w:rsidRPr="003F14DC" w:rsidRDefault="006532BE" w:rsidP="00D605A3">
      <w:pPr>
        <w:rPr>
          <w:sz w:val="24"/>
          <w:szCs w:val="24"/>
        </w:rPr>
      </w:pPr>
    </w:p>
    <w:sectPr w:rsidR="006532BE" w:rsidRPr="003F14DC" w:rsidSect="00D605A3">
      <w:footerReference w:type="default" r:id="rId15"/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F5" w:rsidRDefault="00A27DF5" w:rsidP="001D0F12">
      <w:r>
        <w:separator/>
      </w:r>
    </w:p>
  </w:endnote>
  <w:endnote w:type="continuationSeparator" w:id="0">
    <w:p w:rsidR="00A27DF5" w:rsidRDefault="00A27DF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F2" w:rsidRDefault="00A50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F5" w:rsidRDefault="00A27DF5" w:rsidP="001D0F12">
      <w:r>
        <w:separator/>
      </w:r>
    </w:p>
  </w:footnote>
  <w:footnote w:type="continuationSeparator" w:id="0">
    <w:p w:rsidR="00A27DF5" w:rsidRDefault="00A27DF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89403"/>
      <w:docPartObj>
        <w:docPartGallery w:val="Page Numbers (Top of Page)"/>
        <w:docPartUnique/>
      </w:docPartObj>
    </w:sdtPr>
    <w:sdtEndPr/>
    <w:sdtContent>
      <w:p w:rsidR="00A503F2" w:rsidRDefault="00A503F2">
        <w:pPr>
          <w:pStyle w:val="a7"/>
          <w:jc w:val="center"/>
        </w:pPr>
        <w:r w:rsidRPr="003F4080">
          <w:rPr>
            <w:sz w:val="24"/>
            <w:szCs w:val="24"/>
          </w:rPr>
          <w:fldChar w:fldCharType="begin"/>
        </w:r>
        <w:r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BF72B8">
          <w:rPr>
            <w:noProof/>
            <w:sz w:val="24"/>
            <w:szCs w:val="24"/>
          </w:rPr>
          <w:t>15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4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9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8"/>
  </w:num>
  <w:num w:numId="7">
    <w:abstractNumId w:val="13"/>
  </w:num>
  <w:num w:numId="8">
    <w:abstractNumId w:val="7"/>
  </w:num>
  <w:num w:numId="9">
    <w:abstractNumId w:val="14"/>
  </w:num>
  <w:num w:numId="10">
    <w:abstractNumId w:val="25"/>
  </w:num>
  <w:num w:numId="11">
    <w:abstractNumId w:val="5"/>
  </w:num>
  <w:num w:numId="12">
    <w:abstractNumId w:val="22"/>
  </w:num>
  <w:num w:numId="13">
    <w:abstractNumId w:val="29"/>
  </w:num>
  <w:num w:numId="14">
    <w:abstractNumId w:val="16"/>
  </w:num>
  <w:num w:numId="15">
    <w:abstractNumId w:val="19"/>
  </w:num>
  <w:num w:numId="16">
    <w:abstractNumId w:val="8"/>
  </w:num>
  <w:num w:numId="17">
    <w:abstractNumId w:val="28"/>
  </w:num>
  <w:num w:numId="18">
    <w:abstractNumId w:val="23"/>
  </w:num>
  <w:num w:numId="19">
    <w:abstractNumId w:val="1"/>
  </w:num>
  <w:num w:numId="20">
    <w:abstractNumId w:val="20"/>
  </w:num>
  <w:num w:numId="21">
    <w:abstractNumId w:val="26"/>
  </w:num>
  <w:num w:numId="22">
    <w:abstractNumId w:val="10"/>
  </w:num>
  <w:num w:numId="23">
    <w:abstractNumId w:val="15"/>
  </w:num>
  <w:num w:numId="24">
    <w:abstractNumId w:val="24"/>
  </w:num>
  <w:num w:numId="25">
    <w:abstractNumId w:val="3"/>
  </w:num>
  <w:num w:numId="26">
    <w:abstractNumId w:val="9"/>
  </w:num>
  <w:num w:numId="27">
    <w:abstractNumId w:val="0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AF5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4FE"/>
    <w:rsid w:val="000B2125"/>
    <w:rsid w:val="000B25CE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4D2"/>
    <w:rsid w:val="0015073D"/>
    <w:rsid w:val="00151AF0"/>
    <w:rsid w:val="00152486"/>
    <w:rsid w:val="00153E27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81788"/>
    <w:rsid w:val="00183601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4CAC"/>
    <w:rsid w:val="001B4D5B"/>
    <w:rsid w:val="001B57BE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1B03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56D"/>
    <w:rsid w:val="00334C27"/>
    <w:rsid w:val="00334EA5"/>
    <w:rsid w:val="003353E7"/>
    <w:rsid w:val="00336DFB"/>
    <w:rsid w:val="00337EED"/>
    <w:rsid w:val="003408B8"/>
    <w:rsid w:val="003408F7"/>
    <w:rsid w:val="0034296E"/>
    <w:rsid w:val="00343503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3C97"/>
    <w:rsid w:val="003C6612"/>
    <w:rsid w:val="003C6773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4B70"/>
    <w:rsid w:val="00454E3B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91927"/>
    <w:rsid w:val="00492D25"/>
    <w:rsid w:val="00494BFF"/>
    <w:rsid w:val="00497F92"/>
    <w:rsid w:val="00497FE8"/>
    <w:rsid w:val="004A0016"/>
    <w:rsid w:val="004A0444"/>
    <w:rsid w:val="004A0C78"/>
    <w:rsid w:val="004A164E"/>
    <w:rsid w:val="004A53B7"/>
    <w:rsid w:val="004A5A52"/>
    <w:rsid w:val="004A5C37"/>
    <w:rsid w:val="004A7D5E"/>
    <w:rsid w:val="004B0D27"/>
    <w:rsid w:val="004B1C2D"/>
    <w:rsid w:val="004B3920"/>
    <w:rsid w:val="004B3DCE"/>
    <w:rsid w:val="004B4F33"/>
    <w:rsid w:val="004B5BEA"/>
    <w:rsid w:val="004B5F4A"/>
    <w:rsid w:val="004B65F2"/>
    <w:rsid w:val="004B75A0"/>
    <w:rsid w:val="004C45E9"/>
    <w:rsid w:val="004C6010"/>
    <w:rsid w:val="004C7E80"/>
    <w:rsid w:val="004D379F"/>
    <w:rsid w:val="004D401C"/>
    <w:rsid w:val="004D53E7"/>
    <w:rsid w:val="004D76FC"/>
    <w:rsid w:val="004E03C2"/>
    <w:rsid w:val="004E1542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273C"/>
    <w:rsid w:val="00502856"/>
    <w:rsid w:val="005035B2"/>
    <w:rsid w:val="00504518"/>
    <w:rsid w:val="00506E2A"/>
    <w:rsid w:val="00512162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35467"/>
    <w:rsid w:val="006368B6"/>
    <w:rsid w:val="00642532"/>
    <w:rsid w:val="0064275B"/>
    <w:rsid w:val="00646E90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2E93"/>
    <w:rsid w:val="006B4576"/>
    <w:rsid w:val="006B7773"/>
    <w:rsid w:val="006C29B3"/>
    <w:rsid w:val="006C69D8"/>
    <w:rsid w:val="006C6F27"/>
    <w:rsid w:val="006C771E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729C"/>
    <w:rsid w:val="006F73A7"/>
    <w:rsid w:val="006F7CF8"/>
    <w:rsid w:val="00704F20"/>
    <w:rsid w:val="0070597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36F9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E0161"/>
    <w:rsid w:val="007E0D36"/>
    <w:rsid w:val="007E28B0"/>
    <w:rsid w:val="007E43F0"/>
    <w:rsid w:val="007E4EDC"/>
    <w:rsid w:val="007E563D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23EA"/>
    <w:rsid w:val="0080464F"/>
    <w:rsid w:val="0080657C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5A28"/>
    <w:rsid w:val="00835EE9"/>
    <w:rsid w:val="00842872"/>
    <w:rsid w:val="0084731F"/>
    <w:rsid w:val="00854D44"/>
    <w:rsid w:val="0085522F"/>
    <w:rsid w:val="00855239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A01"/>
    <w:rsid w:val="00911E67"/>
    <w:rsid w:val="0091220B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71BF"/>
    <w:rsid w:val="00A014DC"/>
    <w:rsid w:val="00A066D5"/>
    <w:rsid w:val="00A06E85"/>
    <w:rsid w:val="00A076FF"/>
    <w:rsid w:val="00A157A6"/>
    <w:rsid w:val="00A161E1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71225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4D6B"/>
    <w:rsid w:val="00A973D3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4FE4"/>
    <w:rsid w:val="00B15D5C"/>
    <w:rsid w:val="00B1723C"/>
    <w:rsid w:val="00B227D7"/>
    <w:rsid w:val="00B25A95"/>
    <w:rsid w:val="00B308BF"/>
    <w:rsid w:val="00B31B5A"/>
    <w:rsid w:val="00B37907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6540"/>
    <w:rsid w:val="00BC7977"/>
    <w:rsid w:val="00BD07C0"/>
    <w:rsid w:val="00BD30EA"/>
    <w:rsid w:val="00BD3640"/>
    <w:rsid w:val="00BD54D0"/>
    <w:rsid w:val="00BD7222"/>
    <w:rsid w:val="00BD7F7D"/>
    <w:rsid w:val="00BE1334"/>
    <w:rsid w:val="00BE2CF7"/>
    <w:rsid w:val="00BE3105"/>
    <w:rsid w:val="00BF0121"/>
    <w:rsid w:val="00BF1C02"/>
    <w:rsid w:val="00BF38D4"/>
    <w:rsid w:val="00BF5F81"/>
    <w:rsid w:val="00BF72B8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7713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1401"/>
    <w:rsid w:val="00CE28A4"/>
    <w:rsid w:val="00CE41DF"/>
    <w:rsid w:val="00CE60B3"/>
    <w:rsid w:val="00CF1993"/>
    <w:rsid w:val="00CF2B89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7FC1"/>
    <w:rsid w:val="00D20014"/>
    <w:rsid w:val="00D2090C"/>
    <w:rsid w:val="00D21CAC"/>
    <w:rsid w:val="00D229F5"/>
    <w:rsid w:val="00D2424E"/>
    <w:rsid w:val="00D25D09"/>
    <w:rsid w:val="00D31005"/>
    <w:rsid w:val="00D33490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C7C"/>
    <w:rsid w:val="00EE2AD3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8EB767DAD7700C9882D98176386821C98254AE4B0B546AA84670EB73XFR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A49D3F032CB00927E6649F70F2A73A4F0D4A058D2FF5EBB430395009f6P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69E2858C4C65B810ED2DD260DC98D06A181F9BE8B6DEC0FD4CE36A5D4DB6F555XB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C69E2858C4C65B810ED2DD260DC98D06A181F9BE8B6DEC0FD4CE36A5D4DB6F555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5AD9-04F2-44D6-BA0C-4309609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Эберт Т.М.</cp:lastModifiedBy>
  <cp:revision>2</cp:revision>
  <cp:lastPrinted>2015-03-17T04:21:00Z</cp:lastPrinted>
  <dcterms:created xsi:type="dcterms:W3CDTF">2015-03-17T04:21:00Z</dcterms:created>
  <dcterms:modified xsi:type="dcterms:W3CDTF">2015-03-17T04:21:00Z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