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873" w:rsidRDefault="00A96873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434E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20.01.2022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434E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434EF3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873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96873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A96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96873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11.12.2020 № 333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FA209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Pr="00FA209A">
        <w:rPr>
          <w:rFonts w:ascii="Times New Roman" w:hAnsi="Times New Roman"/>
          <w:sz w:val="28"/>
          <w:szCs w:val="28"/>
        </w:rPr>
        <w:br/>
        <w:t xml:space="preserve">и реализации», 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традиционной хозяйственной деятельности коренных малочисленных народов Севера </w:t>
      </w:r>
      <w:r w:rsidR="00714C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11.12.2020 № 333 «О муниципальной программе </w:t>
      </w:r>
      <w:r w:rsidR="00F917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0B00E9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0B00E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0B00E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0B00E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0B00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 Ханты-Мансийского района на 2021</w:t>
            </w:r>
            <w:r w:rsidR="00714C6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Ханты-Мансийского района (комитет экономической политики администрации </w:t>
            </w:r>
            <w:r w:rsidR="00F917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>ьское  поселение Горноправдинск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Селиярово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Шапша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Выкатной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F91741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Кышик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2B132E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Луговской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F91741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2B132E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</w:t>
            </w:r>
            <w:r w:rsidR="000B0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 Цингалы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 w:rsidP="00F91741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экономики традиционных форм хозяйствования.</w:t>
            </w:r>
          </w:p>
          <w:p w:rsidR="000B00E9" w:rsidRDefault="000B00E9" w:rsidP="00F91741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F91741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 w:rsidP="00F91741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 w:rsidP="00F91741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0B00E9" w:rsidRPr="000B00E9" w:rsidRDefault="000B00E9" w:rsidP="00F91741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«Поддержка развития системы </w:t>
            </w: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заготовки и переработки дикоросов»;</w:t>
            </w:r>
          </w:p>
          <w:p w:rsidR="000B00E9" w:rsidRPr="000B00E9" w:rsidRDefault="000B00E9" w:rsidP="00F91741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«Обеспечение стабильной благополучной эпизоотической обстановки в </w:t>
            </w:r>
            <w:r w:rsidR="00714C6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Ханты-Мансийском районе и защита населения </w:t>
            </w:r>
            <w:r w:rsidR="00714C6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овощей в хозяйствах</w:t>
            </w:r>
            <w:r w:rsidR="00FA209A">
              <w:rPr>
                <w:sz w:val="28"/>
                <w:szCs w:val="28"/>
              </w:rPr>
              <w:t xml:space="preserve"> всех категорий с 2 100 до 3020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91741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скота и птицы на убой в хозяйствах всех категорий с 1 045 до 1 170 тонн.</w:t>
            </w:r>
          </w:p>
          <w:p w:rsidR="000B00E9" w:rsidRDefault="000B00E9" w:rsidP="00F91741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 w:rsidP="00F91741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пищевой рыбной продукции</w:t>
            </w:r>
            <w:r w:rsidR="00AB153E">
              <w:rPr>
                <w:sz w:val="28"/>
                <w:szCs w:val="28"/>
              </w:rPr>
              <w:t xml:space="preserve"> собственного производства с 170 </w:t>
            </w:r>
            <w:r w:rsidR="00AB153E">
              <w:rPr>
                <w:sz w:val="28"/>
                <w:szCs w:val="28"/>
              </w:rPr>
              <w:br/>
              <w:t xml:space="preserve">до </w:t>
            </w:r>
            <w:r w:rsidR="00AA1683">
              <w:rPr>
                <w:sz w:val="28"/>
                <w:szCs w:val="28"/>
              </w:rPr>
              <w:t>30</w:t>
            </w:r>
            <w:r w:rsidR="00AB15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91741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</w:t>
            </w:r>
            <w:r w:rsidR="00AB153E">
              <w:rPr>
                <w:sz w:val="28"/>
                <w:szCs w:val="28"/>
              </w:rPr>
              <w:t xml:space="preserve">бъемов заготовки дикоросов </w:t>
            </w:r>
            <w:r w:rsidR="00AB153E">
              <w:rPr>
                <w:sz w:val="28"/>
                <w:szCs w:val="28"/>
              </w:rPr>
              <w:br/>
              <w:t>с 63 до 140</w:t>
            </w:r>
            <w:r>
              <w:rPr>
                <w:sz w:val="28"/>
                <w:szCs w:val="28"/>
              </w:rPr>
              <w:t xml:space="preserve"> тонн.</w:t>
            </w:r>
          </w:p>
          <w:p w:rsidR="000B00E9" w:rsidRDefault="000B00E9" w:rsidP="00F91741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валовой продукции сельского хозяйства на 10 тыс.</w:t>
            </w:r>
            <w:r w:rsidR="00714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 с 1005,0 до </w:t>
            </w:r>
            <w:r w:rsidR="00F917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1020,0 млн. рублей.</w:t>
            </w:r>
          </w:p>
          <w:p w:rsidR="000B00E9" w:rsidRDefault="000B00E9" w:rsidP="00F91741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 w:rsidP="00F91741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отловленных  животных без владельцев 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Pr="00EA1ECD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EA1ECD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</w:t>
            </w:r>
            <w:r w:rsidR="00F159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361 356,55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0B00E9" w:rsidRPr="00EA1ECD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902A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91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A6">
              <w:rPr>
                <w:rFonts w:ascii="Times New Roman" w:hAnsi="Times New Roman" w:cs="Times New Roman"/>
                <w:sz w:val="28"/>
                <w:szCs w:val="28"/>
              </w:rPr>
              <w:t>122 233,35</w:t>
            </w: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Pr="00EA1ECD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Pr="00EA1ECD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D"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F91741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F9174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F9174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="002B132E">
        <w:rPr>
          <w:rFonts w:ascii="Times New Roman" w:hAnsi="Times New Roman" w:cs="Times New Roman"/>
          <w:sz w:val="28"/>
          <w:szCs w:val="28"/>
        </w:rPr>
        <w:t>ьское  поселение Горноправдинск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Селиярово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Шапша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Выкатной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F91741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B132E">
        <w:rPr>
          <w:rFonts w:ascii="Times New Roman" w:hAnsi="Times New Roman" w:cs="Times New Roman"/>
          <w:sz w:val="28"/>
          <w:szCs w:val="28"/>
        </w:rPr>
        <w:t xml:space="preserve"> Кедровый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</w:t>
      </w:r>
      <w:r w:rsidR="002B132E">
        <w:rPr>
          <w:rFonts w:ascii="Times New Roman" w:hAnsi="Times New Roman" w:cs="Times New Roman"/>
          <w:sz w:val="28"/>
          <w:szCs w:val="28"/>
        </w:rPr>
        <w:t>поселение Кышик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2B132E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Луговской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F91741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67B0C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0B00E9">
        <w:rPr>
          <w:rFonts w:ascii="Times New Roman" w:hAnsi="Times New Roman" w:cs="Times New Roman"/>
          <w:sz w:val="28"/>
          <w:szCs w:val="28"/>
        </w:rPr>
        <w:t>;</w:t>
      </w:r>
    </w:p>
    <w:p w:rsidR="000B00E9" w:rsidRDefault="00067B0C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Цингалы</w:t>
      </w:r>
      <w:r w:rsidR="000B00E9">
        <w:rPr>
          <w:rFonts w:ascii="Times New Roman" w:hAnsi="Times New Roman" w:cs="Times New Roman"/>
          <w:sz w:val="28"/>
          <w:szCs w:val="28"/>
        </w:rPr>
        <w:t>.</w:t>
      </w:r>
    </w:p>
    <w:p w:rsidR="000B00E9" w:rsidRDefault="000B00E9" w:rsidP="00F9174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F9174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9" w:history="1">
        <w:r w:rsidRPr="00714C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F20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4C60">
        <w:rPr>
          <w:rFonts w:ascii="Times New Roman" w:hAnsi="Times New Roman" w:cs="Times New Roman"/>
          <w:sz w:val="28"/>
          <w:szCs w:val="28"/>
        </w:rPr>
        <w:br/>
      </w:r>
      <w:r w:rsidRPr="00BF20C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 от 20.01.2021 № 14 «Об утверждении Порядков</w:t>
      </w:r>
      <w:r w:rsidR="0071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в рамках  реализации мероприятий муниципальной программы   «Развитие агропромышленного  комплекса на территории Ханты-Мансийского района».</w:t>
      </w:r>
    </w:p>
    <w:p w:rsidR="000B00E9" w:rsidRDefault="000B00E9" w:rsidP="00F917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F917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  <w:t xml:space="preserve">по реализации Концепции «Бережливый регион» в Ханты-Мансийском районе, утвержденного распоряжением администрации </w:t>
      </w:r>
      <w:r w:rsidR="00B520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F9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A96873">
          <w:headerReference w:type="defaul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0B00E9" w:rsidRDefault="000B00E9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714C60">
          <w:type w:val="continuous"/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</w:p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="00B520D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463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153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B153E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валовой продукции сельского хозяйства на 10 тыс.человек,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</w:t>
            </w:r>
          </w:p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61A35" w:rsidRDefault="00561A35" w:rsidP="00F91741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F9174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96"/>
        <w:gridCol w:w="2410"/>
        <w:gridCol w:w="2268"/>
        <w:gridCol w:w="1276"/>
        <w:gridCol w:w="198"/>
        <w:gridCol w:w="1078"/>
        <w:gridCol w:w="38"/>
        <w:gridCol w:w="1166"/>
        <w:gridCol w:w="71"/>
        <w:gridCol w:w="1070"/>
      </w:tblGrid>
      <w:tr w:rsidR="000B00E9" w:rsidTr="000B00E9">
        <w:trPr>
          <w:trHeight w:val="9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A54C87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0B00E9">
        <w:trPr>
          <w:trHeight w:val="227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B00E9" w:rsidTr="000B00E9">
        <w:trPr>
          <w:trHeight w:val="52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A54C87">
        <w:trPr>
          <w:trHeight w:val="5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B05D52" w:rsidTr="000B00E9">
        <w:trPr>
          <w:trHeight w:val="16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D52" w:rsidRDefault="00B05D52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B05D52" w:rsidTr="00A54C87">
        <w:trPr>
          <w:trHeight w:val="46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52" w:rsidRDefault="00B05D52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71 199,80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0B00E9">
        <w:trPr>
          <w:trHeight w:val="172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0B00E9">
        <w:trPr>
          <w:trHeight w:val="253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A54C87">
        <w:trPr>
          <w:trHeight w:val="28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7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561A35" w:rsidRDefault="007E6DF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232 272</w:t>
            </w:r>
            <w:r w:rsidR="00400259"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102 029,20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A54C87">
        <w:trPr>
          <w:trHeight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561A35" w:rsidRDefault="007E6DF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232 272</w:t>
            </w:r>
            <w:r w:rsidR="00400259"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102 029,20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0B00E9">
        <w:trPr>
          <w:trHeight w:val="17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A54C87">
        <w:trPr>
          <w:trHeight w:val="10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AE239A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39A" w:rsidRDefault="00AE239A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AE239A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A" w:rsidRDefault="00AE239A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253 857,20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107 614,20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A" w:rsidRDefault="00AE239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0B00E9">
        <w:trPr>
          <w:trHeight w:val="141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0B00E9" w:rsidTr="000B00E9">
        <w:trPr>
          <w:trHeight w:val="20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3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30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A54C87">
        <w:trPr>
          <w:trHeight w:val="4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3 350,20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0B00E9">
        <w:trPr>
          <w:trHeight w:val="237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0B00E9">
        <w:trPr>
          <w:trHeight w:val="127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A54C87">
        <w:trPr>
          <w:trHeight w:val="3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00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26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00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A54C87">
        <w:trPr>
          <w:trHeight w:val="51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00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5 278,90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0025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6 311,10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0B00E9">
        <w:trPr>
          <w:trHeight w:val="510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56E85" w:rsidTr="00AE239A">
        <w:trPr>
          <w:trHeight w:val="2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 животных без владельцев,  транспортировка, передача в приюты для животных, содержание в приютах, возврат  потерявшихся животных их владельцам, возврат животных без владельцев, не проявляющих немотивированной </w:t>
            </w:r>
            <w:r w:rsidRPr="0030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агрессии,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4 957, 85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556E85" w:rsidTr="00AE239A">
        <w:trPr>
          <w:trHeight w:val="4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556E85" w:rsidTr="00AE239A">
        <w:trPr>
          <w:trHeight w:val="3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556E85" w:rsidTr="00AE239A">
        <w:trPr>
          <w:trHeight w:val="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556E85" w:rsidTr="00AE239A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556E85" w:rsidTr="00AE239A">
        <w:trPr>
          <w:trHeight w:val="4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556E85" w:rsidTr="00AE239A">
        <w:trPr>
          <w:trHeight w:val="9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556E85" w:rsidTr="00AE239A">
        <w:trPr>
          <w:trHeight w:val="201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556E85" w:rsidTr="00AE239A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556E85" w:rsidTr="00AE239A">
        <w:trPr>
          <w:trHeight w:val="38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556E85" w:rsidTr="00AE239A">
        <w:trPr>
          <w:trHeight w:val="19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556E85" w:rsidTr="00AE239A">
        <w:trPr>
          <w:trHeight w:val="38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556E85" w:rsidTr="00AE239A">
        <w:trPr>
          <w:trHeight w:val="19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556E85" w:rsidTr="00AE239A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556E85" w:rsidTr="00AE239A">
        <w:trPr>
          <w:trHeight w:val="5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556E85" w:rsidTr="00AE239A">
        <w:trPr>
          <w:trHeight w:val="1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556E85" w:rsidTr="00AE239A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556E85" w:rsidTr="00AE239A">
        <w:trPr>
          <w:trHeight w:val="47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556E85" w:rsidTr="00AE239A">
        <w:trPr>
          <w:trHeight w:val="12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556E85" w:rsidTr="00AE239A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556E85" w:rsidTr="00AE239A">
        <w:trPr>
          <w:trHeight w:val="458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556E85" w:rsidTr="00AE239A">
        <w:trPr>
          <w:trHeight w:val="26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556E85" w:rsidTr="00AE239A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556E85" w:rsidTr="00AE239A">
        <w:trPr>
          <w:trHeight w:val="41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556E85" w:rsidTr="00AE239A">
        <w:trPr>
          <w:trHeight w:val="2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556E85" w:rsidTr="00AE239A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556E85" w:rsidTr="00AE239A">
        <w:trPr>
          <w:trHeight w:val="4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556E85" w:rsidTr="00AE239A">
        <w:trPr>
          <w:trHeight w:val="49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Pr="00AA11A6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556E85" w:rsidTr="00AE239A">
        <w:trPr>
          <w:trHeight w:val="45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5" w:rsidRDefault="00556E85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A36468" w:rsidTr="00386FC7">
        <w:trPr>
          <w:trHeight w:val="12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386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14  624,50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4 957,85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A36468" w:rsidTr="00386FC7">
        <w:trPr>
          <w:trHeight w:val="45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8" w:rsidRDefault="00A36468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386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A36468" w:rsidTr="00386FC7">
        <w:trPr>
          <w:trHeight w:val="20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8" w:rsidRDefault="00A36468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386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Default="00A36468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8" w:rsidRPr="00561A35" w:rsidRDefault="00A36468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386FC7">
        <w:trPr>
          <w:trHeight w:val="169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386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122C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  <w:r w:rsidR="0097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356,55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97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2 233,35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5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</w:t>
            </w:r>
            <w:r w:rsidR="003C13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811,</w:t>
            </w:r>
          </w:p>
          <w:p w:rsidR="000B00E9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B00E9" w:rsidTr="00561A35">
        <w:trPr>
          <w:trHeight w:val="49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977F1F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348 454,40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122CDA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117 778,00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5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  <w:r w:rsidR="003C13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374,</w:t>
            </w:r>
          </w:p>
          <w:p w:rsidR="000B00E9" w:rsidRDefault="000B00E9" w:rsidP="0056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B00E9" w:rsidTr="00AE239A">
        <w:trPr>
          <w:trHeight w:val="124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977F1F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977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455,35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169"/>
        </w:trPr>
        <w:tc>
          <w:tcPr>
            <w:tcW w:w="14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0B00E9">
        <w:trPr>
          <w:trHeight w:val="14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469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A54C87">
        <w:trPr>
          <w:trHeight w:val="12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7D41" w:rsidTr="000B00E9">
        <w:trPr>
          <w:trHeight w:val="16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361 356,55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122 233,35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737D41" w:rsidTr="00A54C87">
        <w:trPr>
          <w:trHeight w:val="356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348 454,40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117 778,00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737D41" w:rsidTr="00A54C87">
        <w:trPr>
          <w:trHeight w:val="16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 w:rsidP="00F917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12 902,15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4 455,35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41" w:rsidRDefault="00737D41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0B00E9">
        <w:trPr>
          <w:trHeight w:val="300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0B00E9">
        <w:trPr>
          <w:trHeight w:val="18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="002154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  <w:r w:rsidR="002154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117 275,5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50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346 732,10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21545A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117 275,5</w:t>
            </w:r>
            <w:r w:rsidR="005C5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A54C87">
        <w:trPr>
          <w:trHeight w:val="13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0434" w:rsidTr="000B00E9">
        <w:trPr>
          <w:trHeight w:val="172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3 161,50</w:t>
            </w:r>
          </w:p>
        </w:tc>
      </w:tr>
      <w:tr w:rsidR="00B90434" w:rsidTr="00A54C87">
        <w:trPr>
          <w:trHeight w:val="35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B90434" w:rsidTr="00A54C87">
        <w:trPr>
          <w:trHeight w:val="18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2 389,40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2 644,90</w:t>
            </w:r>
          </w:p>
        </w:tc>
      </w:tr>
      <w:tr w:rsidR="00B90434" w:rsidTr="000B00E9">
        <w:trPr>
          <w:trHeight w:val="2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поселение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1 882,90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982,80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B90434" w:rsidTr="00A54C87">
        <w:trPr>
          <w:trHeight w:val="40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B90434" w:rsidTr="00A54C87">
        <w:trPr>
          <w:trHeight w:val="2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1 801,20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B90434" w:rsidTr="000B00E9">
        <w:trPr>
          <w:trHeight w:val="127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B90434" w:rsidTr="00A54C87">
        <w:trPr>
          <w:trHeight w:val="45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A54C87">
        <w:trPr>
          <w:trHeight w:val="12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B90434" w:rsidTr="000B00E9">
        <w:trPr>
          <w:trHeight w:val="17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B90434" w:rsidTr="00A54C87">
        <w:trPr>
          <w:trHeight w:val="35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B90434" w:rsidTr="00A54C87">
        <w:trPr>
          <w:trHeight w:val="165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4" w:rsidRDefault="00B90434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AA11A6" w:rsidTr="000B00E9">
        <w:trPr>
          <w:trHeight w:val="2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AA11A6" w:rsidTr="00A54C87">
        <w:trPr>
          <w:trHeight w:val="39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AA11A6" w:rsidTr="00A54C87">
        <w:trPr>
          <w:trHeight w:val="208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AA11A6" w:rsidTr="000B00E9">
        <w:trPr>
          <w:trHeight w:val="11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AA11A6" w:rsidTr="00A54C87">
        <w:trPr>
          <w:trHeight w:val="44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AA11A6" w:rsidTr="00A54C87">
        <w:trPr>
          <w:trHeight w:val="249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AA11A6" w:rsidTr="000B00E9">
        <w:trPr>
          <w:trHeight w:val="139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AA11A6" w:rsidTr="00A54C87">
        <w:trPr>
          <w:trHeight w:val="42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AA11A6" w:rsidTr="00A54C87">
        <w:trPr>
          <w:trHeight w:val="232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AA11A6" w:rsidTr="000B00E9">
        <w:trPr>
          <w:trHeight w:val="136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AA11A6" w:rsidTr="00A54C87">
        <w:trPr>
          <w:trHeight w:val="466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AA11A6" w:rsidTr="00A54C87">
        <w:trPr>
          <w:trHeight w:val="274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AA11A6" w:rsidTr="000B00E9">
        <w:trPr>
          <w:trHeight w:val="121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AA11A6" w:rsidTr="00A54C87">
        <w:trPr>
          <w:trHeight w:val="45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AA11A6" w:rsidTr="00A54C87">
        <w:trPr>
          <w:trHeight w:val="117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AA11A6" w:rsidTr="000B00E9">
        <w:trPr>
          <w:trHeight w:val="163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AA11A6" w:rsidTr="00A54C87">
        <w:trPr>
          <w:trHeight w:val="493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P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AA11A6" w:rsidTr="00A54C87">
        <w:trPr>
          <w:trHeight w:val="131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A6" w:rsidRDefault="00AA11A6" w:rsidP="00F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F9174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0B00E9" w:rsidRDefault="000B00E9" w:rsidP="00F917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67"/>
        <w:gridCol w:w="4244"/>
        <w:gridCol w:w="1416"/>
        <w:gridCol w:w="1278"/>
        <w:gridCol w:w="1416"/>
        <w:gridCol w:w="1275"/>
      </w:tblGrid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Tr="000B00E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F3C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Default="000B00E9" w:rsidP="00F9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F91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0B00E9" w:rsidRDefault="000B00E9" w:rsidP="00F91741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57913" w:rsidRDefault="00157913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0B00E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B00E9" w:rsidTr="000B00E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F9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0B00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F91741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F91741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F9174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0B00E9" w:rsidRDefault="000B00E9" w:rsidP="00F9174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9174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F9174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F91741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F91741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F9174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0B00E9" w:rsidRDefault="000B00E9" w:rsidP="00F9174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3888"/>
        <w:gridCol w:w="2479"/>
        <w:gridCol w:w="2363"/>
        <w:gridCol w:w="2365"/>
        <w:gridCol w:w="2368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F917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F91741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F91741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0B00E9" w:rsidRDefault="000B00E9" w:rsidP="00F917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</w:t>
      </w:r>
      <w:r w:rsidR="004333B3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«Наш район», </w:t>
      </w:r>
      <w:r w:rsidR="00BF11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 w:rsidR="00BF11C5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0B00E9" w:rsidRDefault="000B00E9" w:rsidP="00F91741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</w:t>
      </w:r>
      <w:r w:rsidR="002F3C91">
        <w:rPr>
          <w:b w:val="0"/>
        </w:rPr>
        <w:t>постановления возложить на</w:t>
      </w:r>
      <w:r w:rsidR="004333B3">
        <w:rPr>
          <w:b w:val="0"/>
        </w:rPr>
        <w:t xml:space="preserve"> </w:t>
      </w:r>
      <w:r w:rsidR="002F3C91">
        <w:rPr>
          <w:b w:val="0"/>
        </w:rPr>
        <w:t>заместителя главы</w:t>
      </w:r>
      <w:r w:rsidR="004333B3">
        <w:rPr>
          <w:b w:val="0"/>
        </w:rPr>
        <w:t xml:space="preserve"> </w:t>
      </w:r>
      <w:r w:rsidR="002F3C91">
        <w:rPr>
          <w:b w:val="0"/>
        </w:rPr>
        <w:t xml:space="preserve">Ханты-Мансийского </w:t>
      </w:r>
      <w:r w:rsidR="004333B3">
        <w:rPr>
          <w:b w:val="0"/>
        </w:rPr>
        <w:t xml:space="preserve">района, </w:t>
      </w:r>
      <w:r w:rsidR="002F3C91">
        <w:rPr>
          <w:b w:val="0"/>
        </w:rPr>
        <w:t>директора департамента имущественных и земельных отношений</w:t>
      </w:r>
      <w:r w:rsidR="004333B3">
        <w:rPr>
          <w:b w:val="0"/>
        </w:rPr>
        <w:t>.</w:t>
      </w:r>
    </w:p>
    <w:p w:rsidR="000B00E9" w:rsidRDefault="000B00E9" w:rsidP="00F91741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0B00E9" w:rsidRDefault="000B00E9" w:rsidP="00F91741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F91741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0E9" w:rsidRDefault="00BF11C5" w:rsidP="00F9174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0E9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</w:t>
      </w:r>
      <w:r w:rsidR="000B00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К.Р.</w:t>
      </w:r>
      <w:r w:rsidR="00157913">
        <w:rPr>
          <w:rFonts w:ascii="Times New Roman" w:hAnsi="Times New Roman" w:cs="Times New Roman"/>
          <w:sz w:val="28"/>
          <w:szCs w:val="28"/>
        </w:rPr>
        <w:t>Минулин</w:t>
      </w:r>
      <w:r w:rsidR="000B0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0E9" w:rsidRDefault="000B00E9" w:rsidP="00F9174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04D" w:rsidRDefault="0088104D" w:rsidP="00F91741">
      <w:pPr>
        <w:spacing w:line="240" w:lineRule="auto"/>
      </w:pPr>
    </w:p>
    <w:sectPr w:rsidR="0088104D" w:rsidSect="002F3C91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91" w:rsidRDefault="002F3C91" w:rsidP="00714C60">
      <w:pPr>
        <w:spacing w:after="0" w:line="240" w:lineRule="auto"/>
      </w:pPr>
      <w:r>
        <w:separator/>
      </w:r>
    </w:p>
  </w:endnote>
  <w:endnote w:type="continuationSeparator" w:id="0">
    <w:p w:rsidR="002F3C91" w:rsidRDefault="002F3C91" w:rsidP="007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91" w:rsidRDefault="002F3C91" w:rsidP="00714C60">
      <w:pPr>
        <w:spacing w:after="0" w:line="240" w:lineRule="auto"/>
      </w:pPr>
      <w:r>
        <w:separator/>
      </w:r>
    </w:p>
  </w:footnote>
  <w:footnote w:type="continuationSeparator" w:id="0">
    <w:p w:rsidR="002F3C91" w:rsidRDefault="002F3C91" w:rsidP="007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356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C91" w:rsidRPr="009E66C4" w:rsidRDefault="002F3C9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EF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E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3C91" w:rsidRDefault="002F3C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9"/>
    <w:rsid w:val="00001FAA"/>
    <w:rsid w:val="00021DDF"/>
    <w:rsid w:val="00023939"/>
    <w:rsid w:val="000463E9"/>
    <w:rsid w:val="00051D21"/>
    <w:rsid w:val="000643CB"/>
    <w:rsid w:val="00067B0C"/>
    <w:rsid w:val="00091DC4"/>
    <w:rsid w:val="000B00E9"/>
    <w:rsid w:val="000C0BCB"/>
    <w:rsid w:val="00114860"/>
    <w:rsid w:val="00122CDA"/>
    <w:rsid w:val="00131F0B"/>
    <w:rsid w:val="00157913"/>
    <w:rsid w:val="00164E6A"/>
    <w:rsid w:val="0021545A"/>
    <w:rsid w:val="00215BBC"/>
    <w:rsid w:val="00224752"/>
    <w:rsid w:val="00231D81"/>
    <w:rsid w:val="002552D5"/>
    <w:rsid w:val="002B132E"/>
    <w:rsid w:val="002F3C91"/>
    <w:rsid w:val="003258C9"/>
    <w:rsid w:val="0034255B"/>
    <w:rsid w:val="00386FC7"/>
    <w:rsid w:val="003C103C"/>
    <w:rsid w:val="003C13E5"/>
    <w:rsid w:val="003E5BDE"/>
    <w:rsid w:val="003E6829"/>
    <w:rsid w:val="00400259"/>
    <w:rsid w:val="004333B3"/>
    <w:rsid w:val="00434EF3"/>
    <w:rsid w:val="004613EB"/>
    <w:rsid w:val="004E03ED"/>
    <w:rsid w:val="004E3B43"/>
    <w:rsid w:val="00505350"/>
    <w:rsid w:val="00556E85"/>
    <w:rsid w:val="00561A35"/>
    <w:rsid w:val="00572D27"/>
    <w:rsid w:val="005B2FDB"/>
    <w:rsid w:val="005C5624"/>
    <w:rsid w:val="005D3CAF"/>
    <w:rsid w:val="005E2A05"/>
    <w:rsid w:val="006F3EA3"/>
    <w:rsid w:val="006F4BF8"/>
    <w:rsid w:val="00714C60"/>
    <w:rsid w:val="00737D41"/>
    <w:rsid w:val="007D1486"/>
    <w:rsid w:val="007E6DF6"/>
    <w:rsid w:val="008419C9"/>
    <w:rsid w:val="00870C6D"/>
    <w:rsid w:val="0088104D"/>
    <w:rsid w:val="008E4FEC"/>
    <w:rsid w:val="00902115"/>
    <w:rsid w:val="00977F1F"/>
    <w:rsid w:val="009A62DE"/>
    <w:rsid w:val="009A7528"/>
    <w:rsid w:val="009D4AE1"/>
    <w:rsid w:val="009E60B6"/>
    <w:rsid w:val="009E66C4"/>
    <w:rsid w:val="00A025E6"/>
    <w:rsid w:val="00A03B76"/>
    <w:rsid w:val="00A36468"/>
    <w:rsid w:val="00A54B72"/>
    <w:rsid w:val="00A54C87"/>
    <w:rsid w:val="00A5666A"/>
    <w:rsid w:val="00A720BF"/>
    <w:rsid w:val="00A801F2"/>
    <w:rsid w:val="00A902A6"/>
    <w:rsid w:val="00A96873"/>
    <w:rsid w:val="00AA11A6"/>
    <w:rsid w:val="00AA1683"/>
    <w:rsid w:val="00AB153E"/>
    <w:rsid w:val="00AB2A8B"/>
    <w:rsid w:val="00AC4B79"/>
    <w:rsid w:val="00AC57F6"/>
    <w:rsid w:val="00AE239A"/>
    <w:rsid w:val="00B05D52"/>
    <w:rsid w:val="00B520DC"/>
    <w:rsid w:val="00B90434"/>
    <w:rsid w:val="00BB278A"/>
    <w:rsid w:val="00BC0155"/>
    <w:rsid w:val="00BC1CC2"/>
    <w:rsid w:val="00BF11C5"/>
    <w:rsid w:val="00BF20CF"/>
    <w:rsid w:val="00C470D1"/>
    <w:rsid w:val="00C63987"/>
    <w:rsid w:val="00C82ECD"/>
    <w:rsid w:val="00DB57DF"/>
    <w:rsid w:val="00DF63C2"/>
    <w:rsid w:val="00E20B4E"/>
    <w:rsid w:val="00EA00BB"/>
    <w:rsid w:val="00EA1ECD"/>
    <w:rsid w:val="00F11A76"/>
    <w:rsid w:val="00F15922"/>
    <w:rsid w:val="00F208DF"/>
    <w:rsid w:val="00F24D8A"/>
    <w:rsid w:val="00F91741"/>
    <w:rsid w:val="00FA209A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7BF3C-1864-4CF3-B8C5-22D9AE5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4CBE-4C22-4C13-852D-B54E182D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12</cp:revision>
  <cp:lastPrinted>2022-01-20T07:50:00Z</cp:lastPrinted>
  <dcterms:created xsi:type="dcterms:W3CDTF">2022-01-13T10:54:00Z</dcterms:created>
  <dcterms:modified xsi:type="dcterms:W3CDTF">2022-01-20T07:51:00Z</dcterms:modified>
</cp:coreProperties>
</file>