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7A" w:rsidRPr="001F0E7A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09972" wp14:editId="4E4B88E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E7A" w:rsidRPr="001F0E7A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7A" w:rsidRPr="001F0E7A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>ХАНТЫ-МАНСИЙСКИЙ РАЙОН</w:t>
      </w: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F0E7A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F0E7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F0E7A" w:rsidRPr="001F0E7A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1F0E7A" w:rsidRDefault="001F0E7A" w:rsidP="001F0E7A">
      <w:pPr>
        <w:pStyle w:val="ac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от </w:t>
      </w:r>
      <w:r w:rsidR="00063BA0">
        <w:rPr>
          <w:rFonts w:ascii="Times New Roman" w:hAnsi="Times New Roman"/>
          <w:sz w:val="28"/>
          <w:szCs w:val="28"/>
        </w:rPr>
        <w:t>21.08.2020</w:t>
      </w:r>
      <w:r w:rsidRPr="001F0E7A">
        <w:rPr>
          <w:rFonts w:ascii="Times New Roman" w:hAnsi="Times New Roman"/>
          <w:sz w:val="28"/>
          <w:szCs w:val="28"/>
        </w:rPr>
        <w:t xml:space="preserve">  </w:t>
      </w:r>
      <w:r w:rsidR="00063BA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F0E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 w:rsidR="00063BA0">
        <w:rPr>
          <w:rFonts w:ascii="Times New Roman" w:hAnsi="Times New Roman"/>
          <w:sz w:val="28"/>
          <w:szCs w:val="28"/>
        </w:rPr>
        <w:t>238</w:t>
      </w:r>
    </w:p>
    <w:p w:rsidR="001F0E7A" w:rsidRPr="001F0E7A" w:rsidRDefault="001F0E7A" w:rsidP="001F0E7A">
      <w:pPr>
        <w:pStyle w:val="ac"/>
        <w:rPr>
          <w:rFonts w:ascii="Times New Roman" w:hAnsi="Times New Roman"/>
          <w:i/>
          <w:szCs w:val="24"/>
        </w:rPr>
      </w:pPr>
      <w:r w:rsidRPr="001F0E7A">
        <w:rPr>
          <w:rFonts w:ascii="Times New Roman" w:hAnsi="Times New Roman"/>
          <w:i/>
          <w:szCs w:val="24"/>
        </w:rPr>
        <w:t>г. Ханты-Мансийск</w:t>
      </w:r>
    </w:p>
    <w:p w:rsidR="001F0E7A" w:rsidRPr="001F0E7A" w:rsidRDefault="001F0E7A" w:rsidP="001F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7A" w:rsidRPr="001F0E7A" w:rsidRDefault="001F0E7A" w:rsidP="001F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4C" w:rsidRPr="001F0E7A" w:rsidRDefault="00BB117B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>О внесении</w:t>
      </w:r>
      <w:r w:rsidR="00E348FA" w:rsidRPr="001F0E7A">
        <w:rPr>
          <w:rFonts w:ascii="Times New Roman" w:hAnsi="Times New Roman"/>
          <w:sz w:val="28"/>
          <w:szCs w:val="28"/>
        </w:rPr>
        <w:t xml:space="preserve"> </w:t>
      </w:r>
      <w:r w:rsidR="00903ACB" w:rsidRPr="001F0E7A">
        <w:rPr>
          <w:rFonts w:ascii="Times New Roman" w:hAnsi="Times New Roman"/>
          <w:sz w:val="28"/>
          <w:szCs w:val="28"/>
        </w:rPr>
        <w:t>изменений в постановление</w:t>
      </w:r>
      <w:r w:rsidR="001F0E7A">
        <w:rPr>
          <w:rFonts w:ascii="Times New Roman" w:hAnsi="Times New Roman"/>
          <w:sz w:val="28"/>
          <w:szCs w:val="28"/>
        </w:rPr>
        <w:t xml:space="preserve"> </w:t>
      </w:r>
      <w:r w:rsidR="008D2B00" w:rsidRPr="001F0E7A">
        <w:rPr>
          <w:rFonts w:ascii="Times New Roman" w:hAnsi="Times New Roman"/>
          <w:sz w:val="28"/>
          <w:szCs w:val="28"/>
        </w:rPr>
        <w:t>а</w:t>
      </w:r>
      <w:r w:rsidR="00903ACB" w:rsidRPr="001F0E7A">
        <w:rPr>
          <w:rFonts w:ascii="Times New Roman" w:hAnsi="Times New Roman"/>
          <w:sz w:val="28"/>
          <w:szCs w:val="28"/>
        </w:rPr>
        <w:t>дминистрации Ханты-Манси</w:t>
      </w:r>
      <w:r w:rsidR="008D2B00" w:rsidRPr="001F0E7A">
        <w:rPr>
          <w:rFonts w:ascii="Times New Roman" w:hAnsi="Times New Roman"/>
          <w:sz w:val="28"/>
          <w:szCs w:val="28"/>
        </w:rPr>
        <w:t>й</w:t>
      </w:r>
      <w:r w:rsidR="00903ACB" w:rsidRPr="001F0E7A">
        <w:rPr>
          <w:rFonts w:ascii="Times New Roman" w:hAnsi="Times New Roman"/>
          <w:sz w:val="28"/>
          <w:szCs w:val="28"/>
        </w:rPr>
        <w:t>ского рай</w:t>
      </w:r>
      <w:r w:rsidR="008D2B00" w:rsidRPr="001F0E7A">
        <w:rPr>
          <w:rFonts w:ascii="Times New Roman" w:hAnsi="Times New Roman"/>
          <w:sz w:val="28"/>
          <w:szCs w:val="28"/>
        </w:rPr>
        <w:t>она</w:t>
      </w:r>
      <w:r w:rsidR="005C09BE" w:rsidRPr="001F0E7A">
        <w:rPr>
          <w:rFonts w:ascii="Times New Roman" w:hAnsi="Times New Roman"/>
          <w:sz w:val="28"/>
          <w:szCs w:val="28"/>
        </w:rPr>
        <w:t xml:space="preserve"> </w:t>
      </w:r>
      <w:r w:rsidR="001F0E7A">
        <w:rPr>
          <w:rFonts w:ascii="Times New Roman" w:hAnsi="Times New Roman"/>
          <w:sz w:val="28"/>
          <w:szCs w:val="28"/>
        </w:rPr>
        <w:t>от 12.11.</w:t>
      </w:r>
      <w:r w:rsidR="004D0D26" w:rsidRPr="001F0E7A">
        <w:rPr>
          <w:rFonts w:ascii="Times New Roman" w:hAnsi="Times New Roman"/>
          <w:sz w:val="28"/>
          <w:szCs w:val="28"/>
        </w:rPr>
        <w:t xml:space="preserve">2018 </w:t>
      </w:r>
      <w:r w:rsidR="00D01EC2" w:rsidRPr="001F0E7A">
        <w:rPr>
          <w:rFonts w:ascii="Times New Roman" w:hAnsi="Times New Roman"/>
          <w:sz w:val="28"/>
          <w:szCs w:val="28"/>
        </w:rPr>
        <w:t>№ 321</w:t>
      </w:r>
      <w:r w:rsidR="001F0E7A">
        <w:rPr>
          <w:rFonts w:ascii="Times New Roman" w:hAnsi="Times New Roman"/>
          <w:sz w:val="28"/>
          <w:szCs w:val="28"/>
        </w:rPr>
        <w:t xml:space="preserve"> </w:t>
      </w:r>
      <w:r w:rsidR="001F0E7A">
        <w:rPr>
          <w:rFonts w:ascii="Times New Roman" w:hAnsi="Times New Roman"/>
          <w:sz w:val="28"/>
          <w:szCs w:val="28"/>
        </w:rPr>
        <w:br/>
      </w:r>
      <w:r w:rsidR="004D0D26" w:rsidRPr="001F0E7A">
        <w:rPr>
          <w:rFonts w:ascii="Times New Roman" w:hAnsi="Times New Roman"/>
          <w:sz w:val="28"/>
          <w:szCs w:val="28"/>
        </w:rPr>
        <w:t xml:space="preserve">«О </w:t>
      </w:r>
      <w:r w:rsidR="00A2024C" w:rsidRPr="001F0E7A">
        <w:rPr>
          <w:rFonts w:ascii="Times New Roman" w:hAnsi="Times New Roman"/>
          <w:sz w:val="28"/>
          <w:szCs w:val="28"/>
        </w:rPr>
        <w:t>муниципальн</w:t>
      </w:r>
      <w:r w:rsidR="008D2B00" w:rsidRPr="001F0E7A">
        <w:rPr>
          <w:rFonts w:ascii="Times New Roman" w:hAnsi="Times New Roman"/>
          <w:sz w:val="28"/>
          <w:szCs w:val="28"/>
        </w:rPr>
        <w:t>ой</w:t>
      </w:r>
      <w:r w:rsidR="00A2024C" w:rsidRPr="001F0E7A">
        <w:rPr>
          <w:rFonts w:ascii="Times New Roman" w:hAnsi="Times New Roman"/>
          <w:sz w:val="28"/>
          <w:szCs w:val="28"/>
        </w:rPr>
        <w:t xml:space="preserve"> программ</w:t>
      </w:r>
      <w:r w:rsidR="004D0D26" w:rsidRPr="001F0E7A">
        <w:rPr>
          <w:rFonts w:ascii="Times New Roman" w:hAnsi="Times New Roman"/>
          <w:sz w:val="28"/>
          <w:szCs w:val="28"/>
        </w:rPr>
        <w:t>е</w:t>
      </w:r>
      <w:r w:rsidR="00D01EC2" w:rsidRPr="001F0E7A">
        <w:rPr>
          <w:rFonts w:ascii="Times New Roman" w:hAnsi="Times New Roman"/>
          <w:sz w:val="28"/>
          <w:szCs w:val="28"/>
        </w:rPr>
        <w:t xml:space="preserve"> </w:t>
      </w:r>
      <w:r w:rsidR="001F0E7A">
        <w:rPr>
          <w:rFonts w:ascii="Times New Roman" w:hAnsi="Times New Roman"/>
          <w:sz w:val="28"/>
          <w:szCs w:val="28"/>
        </w:rPr>
        <w:br/>
      </w:r>
      <w:r w:rsidR="004D0D26" w:rsidRPr="001F0E7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1F0E7A">
        <w:rPr>
          <w:rFonts w:ascii="Times New Roman" w:hAnsi="Times New Roman"/>
          <w:sz w:val="28"/>
          <w:szCs w:val="28"/>
        </w:rPr>
        <w:t>«Р</w:t>
      </w:r>
      <w:r w:rsidR="00A2024C" w:rsidRPr="001F0E7A">
        <w:rPr>
          <w:rFonts w:ascii="Times New Roman" w:hAnsi="Times New Roman"/>
          <w:sz w:val="28"/>
          <w:szCs w:val="28"/>
        </w:rPr>
        <w:t>азвитие</w:t>
      </w:r>
      <w:r w:rsidR="004D0D26" w:rsidRPr="001F0E7A">
        <w:rPr>
          <w:rFonts w:ascii="Times New Roman" w:hAnsi="Times New Roman"/>
          <w:sz w:val="28"/>
          <w:szCs w:val="28"/>
        </w:rPr>
        <w:t xml:space="preserve"> </w:t>
      </w:r>
      <w:r w:rsidR="00A2024C" w:rsidRPr="001F0E7A">
        <w:rPr>
          <w:rFonts w:ascii="Times New Roman" w:hAnsi="Times New Roman"/>
          <w:sz w:val="28"/>
          <w:szCs w:val="28"/>
        </w:rPr>
        <w:t>агропромышленного комплекса</w:t>
      </w:r>
      <w:r w:rsidR="001F0E7A">
        <w:rPr>
          <w:rFonts w:ascii="Times New Roman" w:hAnsi="Times New Roman"/>
          <w:sz w:val="28"/>
          <w:szCs w:val="28"/>
        </w:rPr>
        <w:t xml:space="preserve"> </w:t>
      </w:r>
      <w:r w:rsidR="001F0E7A">
        <w:rPr>
          <w:rFonts w:ascii="Times New Roman" w:hAnsi="Times New Roman"/>
          <w:sz w:val="28"/>
          <w:szCs w:val="28"/>
        </w:rPr>
        <w:br/>
      </w:r>
      <w:r w:rsidR="00A2024C" w:rsidRPr="001F0E7A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</w:t>
      </w:r>
      <w:r w:rsidR="001F0E7A">
        <w:rPr>
          <w:rFonts w:ascii="Times New Roman" w:hAnsi="Times New Roman"/>
          <w:sz w:val="28"/>
          <w:szCs w:val="28"/>
        </w:rPr>
        <w:t xml:space="preserve"> </w:t>
      </w:r>
      <w:r w:rsidR="00A2024C" w:rsidRPr="001F0E7A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  <w:r w:rsidR="009972AB" w:rsidRPr="001F0E7A">
        <w:rPr>
          <w:rFonts w:ascii="Times New Roman" w:hAnsi="Times New Roman"/>
          <w:sz w:val="28"/>
          <w:szCs w:val="28"/>
        </w:rPr>
        <w:t>района на 2019 – 2022</w:t>
      </w:r>
      <w:r w:rsidR="00D6290F" w:rsidRPr="001F0E7A">
        <w:rPr>
          <w:rFonts w:ascii="Times New Roman" w:hAnsi="Times New Roman"/>
          <w:sz w:val="28"/>
          <w:szCs w:val="28"/>
        </w:rPr>
        <w:t xml:space="preserve"> годы</w:t>
      </w:r>
      <w:r w:rsidR="008D2B00" w:rsidRPr="001F0E7A">
        <w:rPr>
          <w:rFonts w:ascii="Times New Roman" w:hAnsi="Times New Roman"/>
          <w:sz w:val="28"/>
          <w:szCs w:val="28"/>
        </w:rPr>
        <w:t>»</w:t>
      </w:r>
    </w:p>
    <w:p w:rsidR="00A2024C" w:rsidRDefault="00A2024C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F0E7A" w:rsidRPr="001F0E7A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1F0E7A" w:rsidRDefault="007C275C" w:rsidP="001F0E7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2024C" w:rsidRPr="001F0E7A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1F0E7A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 w:rsidRPr="001F0E7A">
        <w:rPr>
          <w:rFonts w:ascii="Times New Roman" w:hAnsi="Times New Roman"/>
          <w:sz w:val="28"/>
          <w:szCs w:val="28"/>
        </w:rPr>
        <w:t xml:space="preserve">от 07.09. 2018 </w:t>
      </w:r>
      <w:r w:rsidR="00C603B4" w:rsidRPr="001F0E7A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 w:rsidRPr="001F0E7A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1F0E7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 w:rsidRPr="001F0E7A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 w:rsidRPr="001F0E7A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 w:rsidRPr="001F0E7A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 w:rsidRPr="001F0E7A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1F0E7A">
        <w:rPr>
          <w:rFonts w:ascii="Times New Roman" w:hAnsi="Times New Roman"/>
          <w:sz w:val="28"/>
          <w:szCs w:val="28"/>
        </w:rPr>
        <w:t xml:space="preserve">», в 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 w:rsidRPr="001F0E7A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1F0E7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1F0E7A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1F0E7A" w:rsidRDefault="00A2024C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1F0E7A" w:rsidRDefault="00690422" w:rsidP="001F0E7A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1F0E7A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 w:rsidRPr="001F0E7A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 w:rsidRPr="001F0E7A">
        <w:rPr>
          <w:rFonts w:ascii="Times New Roman" w:hAnsi="Times New Roman"/>
          <w:sz w:val="28"/>
          <w:szCs w:val="28"/>
        </w:rPr>
        <w:t>.11.2018</w:t>
      </w:r>
      <w:r w:rsidR="00D01EC2" w:rsidRPr="001F0E7A">
        <w:rPr>
          <w:rFonts w:ascii="Times New Roman" w:hAnsi="Times New Roman"/>
          <w:sz w:val="28"/>
          <w:szCs w:val="28"/>
        </w:rPr>
        <w:t xml:space="preserve"> № 321</w:t>
      </w:r>
      <w:r w:rsidR="004D0D26" w:rsidRPr="001F0E7A">
        <w:rPr>
          <w:rFonts w:ascii="Times New Roman" w:hAnsi="Times New Roman"/>
          <w:sz w:val="28"/>
          <w:szCs w:val="28"/>
        </w:rPr>
        <w:t xml:space="preserve"> «О </w:t>
      </w:r>
      <w:r w:rsidR="008D2B00" w:rsidRPr="001F0E7A">
        <w:rPr>
          <w:rFonts w:ascii="Times New Roman" w:hAnsi="Times New Roman"/>
          <w:sz w:val="28"/>
          <w:szCs w:val="28"/>
        </w:rPr>
        <w:t>муници</w:t>
      </w:r>
      <w:r w:rsidR="004D0D26" w:rsidRPr="001F0E7A">
        <w:rPr>
          <w:rFonts w:ascii="Times New Roman" w:hAnsi="Times New Roman"/>
          <w:sz w:val="28"/>
          <w:szCs w:val="28"/>
        </w:rPr>
        <w:t>пальной программе</w:t>
      </w:r>
      <w:r w:rsidR="00D01EC2" w:rsidRPr="001F0E7A">
        <w:rPr>
          <w:rFonts w:ascii="Times New Roman" w:hAnsi="Times New Roman"/>
          <w:sz w:val="28"/>
          <w:szCs w:val="28"/>
        </w:rPr>
        <w:t xml:space="preserve"> </w:t>
      </w:r>
      <w:r w:rsidR="00D65D2C" w:rsidRPr="001F0E7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1F0E7A">
        <w:rPr>
          <w:rFonts w:ascii="Times New Roman" w:hAnsi="Times New Roman"/>
          <w:sz w:val="28"/>
          <w:szCs w:val="28"/>
        </w:rPr>
        <w:t>«Р</w:t>
      </w:r>
      <w:r w:rsidR="008D2B00" w:rsidRPr="001F0E7A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 w:rsidRPr="001F0E7A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1F0E7A">
        <w:rPr>
          <w:rFonts w:ascii="Times New Roman" w:hAnsi="Times New Roman"/>
          <w:sz w:val="28"/>
          <w:szCs w:val="28"/>
        </w:rPr>
        <w:t xml:space="preserve"> годы» </w:t>
      </w:r>
      <w:r w:rsidR="001F115E" w:rsidRPr="001F0E7A">
        <w:rPr>
          <w:rFonts w:ascii="Times New Roman" w:hAnsi="Times New Roman"/>
          <w:sz w:val="28"/>
          <w:szCs w:val="28"/>
        </w:rPr>
        <w:t>изменения</w:t>
      </w:r>
      <w:r w:rsidR="00064512" w:rsidRPr="001F0E7A">
        <w:rPr>
          <w:rFonts w:ascii="Times New Roman" w:hAnsi="Times New Roman"/>
          <w:sz w:val="28"/>
          <w:szCs w:val="28"/>
        </w:rPr>
        <w:t>, изложив п</w:t>
      </w:r>
      <w:r w:rsidR="00192322" w:rsidRPr="001F0E7A">
        <w:rPr>
          <w:rFonts w:ascii="Times New Roman" w:hAnsi="Times New Roman"/>
          <w:sz w:val="28"/>
          <w:szCs w:val="28"/>
        </w:rPr>
        <w:t>рилож</w:t>
      </w:r>
      <w:r w:rsidR="00C603B4" w:rsidRPr="001F0E7A">
        <w:rPr>
          <w:rFonts w:ascii="Times New Roman" w:hAnsi="Times New Roman"/>
          <w:sz w:val="28"/>
          <w:szCs w:val="28"/>
        </w:rPr>
        <w:t>ение к постановлению в</w:t>
      </w:r>
      <w:r w:rsidR="00064512" w:rsidRPr="001F0E7A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A2024C" w:rsidRPr="001F0E7A" w:rsidRDefault="003B2A55" w:rsidP="001F0E7A">
      <w:pPr>
        <w:pStyle w:val="FR1"/>
        <w:spacing w:line="240" w:lineRule="auto"/>
        <w:ind w:left="1069"/>
        <w:jc w:val="right"/>
        <w:rPr>
          <w:b w:val="0"/>
        </w:rPr>
      </w:pPr>
      <w:r w:rsidRPr="001F0E7A">
        <w:rPr>
          <w:b w:val="0"/>
        </w:rPr>
        <w:t>«</w:t>
      </w:r>
      <w:r w:rsidR="00A2024C" w:rsidRPr="001F0E7A">
        <w:rPr>
          <w:b w:val="0"/>
        </w:rPr>
        <w:t>Приложение</w:t>
      </w:r>
    </w:p>
    <w:p w:rsidR="00A2024C" w:rsidRPr="001F0E7A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1F0E7A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</w:p>
    <w:p w:rsidR="00A2024C" w:rsidRPr="001F0E7A" w:rsidRDefault="008D2B00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о</w:t>
      </w:r>
      <w:r w:rsidR="00B60002" w:rsidRPr="001F0E7A">
        <w:rPr>
          <w:rFonts w:ascii="Times New Roman" w:hAnsi="Times New Roman" w:cs="Times New Roman"/>
          <w:sz w:val="28"/>
          <w:szCs w:val="28"/>
        </w:rPr>
        <w:t>т</w:t>
      </w:r>
      <w:r w:rsidR="00D01EC2" w:rsidRPr="001F0E7A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1F0E7A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1F0E7A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 w:rsidRPr="001F0E7A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1F0E7A" w:rsidRDefault="007D4629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1F0E7A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 w:rsidRPr="001F0E7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7A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 w:rsidRPr="001F0E7A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 w:rsidRPr="001F0E7A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 w:rsidRPr="001F0E7A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1F0E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 w:rsidRPr="001F0E7A">
              <w:rPr>
                <w:rFonts w:ascii="Times New Roman" w:hAnsi="Times New Roman"/>
                <w:sz w:val="28"/>
                <w:szCs w:val="28"/>
              </w:rPr>
              <w:t>2022</w:t>
            </w:r>
            <w:r w:rsidRPr="001F0E7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1F0E7A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D65D2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1F0E7A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="001F0E7A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 w:rsidR="001F0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(МУ АСП Горноправдинск);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Селиярово);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Шапша);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Выкатной);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Кедровый);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Кышик);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Луговской);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Сибирский);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Цингалы)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 комплекса и сельских территорий, традиционной хозяйственной деятельности коренных малочисленных народов Севера на территории Ханты-Мансийского района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оддержка сельскохозяйственного производства и традиционных видов хозяйственной деятельности</w:t>
            </w:r>
          </w:p>
          <w:p w:rsidR="007D4629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  <w:p w:rsidR="007D4629" w:rsidRPr="001F0E7A" w:rsidRDefault="0009774C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063BA0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7D4629" w:rsidRPr="001F0E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подпрограмма1</w:t>
              </w:r>
            </w:hyperlink>
            <w:r w:rsidR="005C09BE" w:rsidRPr="001F0E7A">
              <w:rPr>
                <w:rFonts w:ascii="Times New Roman" w:hAnsi="Times New Roman" w:cs="Times New Roman"/>
              </w:rPr>
              <w:t xml:space="preserve"> </w:t>
            </w:r>
            <w:r w:rsidR="007D4629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2 «Развитие отрасли животноводства»;</w:t>
            </w:r>
          </w:p>
          <w:p w:rsidR="007D4629" w:rsidRPr="001F0E7A" w:rsidRDefault="007D4629" w:rsidP="001F0E7A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3 «Поддержка рыбохозяйственного комплекса»;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</w:t>
            </w:r>
            <w:r w:rsidR="00D65D2C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подпрограмма 5 «Обеспечение стабильной благополучной эпизоотической обстановки в Ханты-Мансийском районе и защита населения </w:t>
            </w: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  <w:t>от болезней, общих для человека и животных»;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C77C33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</w:t>
            </w:r>
            <w:proofErr w:type="gram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Федерации,  параметры</w:t>
            </w:r>
            <w:proofErr w:type="gram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с 1000 до 115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Увеличение производства овощей в хозяйст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с 3000 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до 34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7. Увеличение объема валовой продукции сельского хозяйства на 10 тыс. человек – с 880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br/>
              <w:t>до 9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млн. рублей</w:t>
            </w:r>
          </w:p>
          <w:p w:rsidR="007D4629" w:rsidRPr="001F0E7A" w:rsidRDefault="007D4629" w:rsidP="001F0E7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8. Увеличение количества работающих в отрасли сельского хозяйства –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F0E7A" w:rsidRDefault="007D4629" w:rsidP="001F0E7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9. Увеличение количества построенных (реконструированных) сельскохозяйственных объектов до 3 единиц 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>, осуществляющих  традиционное хозяйствование и занимающихся  традиционными промыслами коренных малочисленных народов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с 40 до 46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11.Увеличение количества пользователей территориями традиционного п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185D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животных </w:t>
            </w:r>
            <w:r w:rsidR="0021185D" w:rsidRPr="001F0E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 w:rsidRPr="001F0E7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1F0E7A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334C8A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1F0E7A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 тыс. руб.</w:t>
            </w:r>
          </w:p>
        </w:tc>
      </w:tr>
    </w:tbl>
    <w:p w:rsidR="007D4629" w:rsidRPr="001F0E7A" w:rsidRDefault="007D4629" w:rsidP="001F0E7A">
      <w:pPr>
        <w:pStyle w:val="af"/>
        <w:ind w:left="0"/>
        <w:jc w:val="center"/>
        <w:rPr>
          <w:sz w:val="28"/>
          <w:szCs w:val="28"/>
        </w:rPr>
      </w:pPr>
    </w:p>
    <w:p w:rsidR="007D4629" w:rsidRPr="001F0E7A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D4629" w:rsidRPr="001F0E7A" w:rsidRDefault="007D4629" w:rsidP="001F0E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Формирование благоприятной деловой среды – мера, связанная с созданием благоприятных условий для быстрого становления малых форм </w:t>
      </w:r>
      <w:r w:rsidRPr="001F0E7A">
        <w:rPr>
          <w:rFonts w:ascii="Times New Roman" w:hAnsi="Times New Roman" w:cs="Times New Roman"/>
          <w:sz w:val="28"/>
          <w:szCs w:val="28"/>
        </w:rPr>
        <w:lastRenderedPageBreak/>
        <w:t>хозяйствования, осуществляющих деятельность в сфере сельскохозяйственного производства.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субъектов.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среды для развития малых форм хозяйствования,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 муниципальной программой за счет средств бюджета автономного округа предусмотрена поддержка на усовершенствование материально-технической базы, в том числе:</w:t>
      </w:r>
    </w:p>
    <w:p w:rsidR="004451E4" w:rsidRPr="001F0E7A" w:rsidRDefault="004451E4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за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4451E4" w:rsidRPr="001F0E7A" w:rsidRDefault="004451E4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 целях формирования положительных тенденций развития сельского хозяйства в Ханты-Мансийском районе следует развивать кадровый потенциал и социальную инфраструктуру, для чего необходимо максимально использовать эффективные направления государственной поддержки, в том числе гранты начинающим предпринимателям и предоставление субсидий на развитие материально-технической базы.</w:t>
      </w:r>
    </w:p>
    <w:p w:rsidR="007D4629" w:rsidRPr="001F0E7A" w:rsidRDefault="007D4629" w:rsidP="001F0E7A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0E7A">
        <w:rPr>
          <w:sz w:val="28"/>
          <w:szCs w:val="28"/>
        </w:rPr>
        <w:t>Инвестиционные проекты.</w:t>
      </w:r>
    </w:p>
    <w:p w:rsidR="00C77C33" w:rsidRPr="001F0E7A" w:rsidRDefault="00C77C33" w:rsidP="001F0E7A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1F0E7A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га.</w:t>
      </w:r>
      <w:r w:rsidR="00D820F3" w:rsidRPr="001F0E7A">
        <w:rPr>
          <w:sz w:val="28"/>
          <w:szCs w:val="28"/>
        </w:rPr>
        <w:t xml:space="preserve"> в д.Ярки.</w:t>
      </w:r>
      <w:r w:rsidRPr="001F0E7A">
        <w:rPr>
          <w:sz w:val="28"/>
          <w:szCs w:val="28"/>
        </w:rPr>
        <w:t xml:space="preserve">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1.3. Развитие конкуренции.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Основными мерами по сохранению и развитию конкурентной способности сельскохозяйственной продукции являются: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 и предприятий розничной торговли.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  счет  средств бюджета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производство и реализацию сельскохозяйственной продукции;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1F0E7A" w:rsidRDefault="007D4629" w:rsidP="001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сельскохозяйственной продукции, внедрению ресурсосберегающих технологий бережливого производства, что способствует повышению производительности труда и улучшению и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5438D7" w:rsidRPr="001F0E7A" w:rsidRDefault="005438D7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Раздел 2. Механизм реализации муниципальной программы</w:t>
      </w:r>
    </w:p>
    <w:p w:rsidR="007D4629" w:rsidRPr="001F0E7A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ED2E23" w:rsidRPr="001F0E7A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Соисполнителями</w:t>
      </w:r>
      <w:r w:rsidR="007D4629" w:rsidRPr="001F0E7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1F0E7A">
        <w:rPr>
          <w:rFonts w:ascii="Times New Roman" w:hAnsi="Times New Roman" w:cs="Times New Roman"/>
          <w:sz w:val="28"/>
          <w:szCs w:val="28"/>
        </w:rPr>
        <w:t>й программы являю</w:t>
      </w:r>
      <w:r w:rsidR="007D4629" w:rsidRPr="001F0E7A">
        <w:rPr>
          <w:rFonts w:ascii="Times New Roman" w:hAnsi="Times New Roman" w:cs="Times New Roman"/>
          <w:sz w:val="28"/>
          <w:szCs w:val="28"/>
        </w:rPr>
        <w:t>тся</w:t>
      </w:r>
      <w:r w:rsidR="00ED2E23" w:rsidRPr="001F0E7A">
        <w:rPr>
          <w:rFonts w:ascii="Times New Roman" w:hAnsi="Times New Roman" w:cs="Times New Roman"/>
          <w:sz w:val="28"/>
          <w:szCs w:val="28"/>
        </w:rPr>
        <w:t>:</w:t>
      </w:r>
    </w:p>
    <w:p w:rsidR="00ED2E23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департамент с</w:t>
      </w:r>
      <w:r w:rsidR="00DE1BDE" w:rsidRPr="001F0E7A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 w:rsidR="00ED2E23" w:rsidRPr="001F0E7A">
        <w:rPr>
          <w:rFonts w:ascii="Times New Roman" w:hAnsi="Times New Roman" w:cs="Times New Roman"/>
          <w:sz w:val="28"/>
          <w:szCs w:val="28"/>
        </w:rPr>
        <w:t>архитектуры и ЖКХ;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Горноправдинск);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Селиярово);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Шапша);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Выкатной);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Кедровый);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Кышик);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Луговской);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Сибирский);</w:t>
      </w:r>
    </w:p>
    <w:p w:rsidR="00ED2E23" w:rsidRPr="001F0E7A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комитет по финансам АХМР (МУ АСП Цингалы).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E1BDE" w:rsidRPr="001F0E7A">
        <w:rPr>
          <w:rFonts w:ascii="Times New Roman" w:hAnsi="Times New Roman" w:cs="Times New Roman"/>
          <w:sz w:val="28"/>
          <w:szCs w:val="28"/>
        </w:rPr>
        <w:t xml:space="preserve"> и соисполнители</w:t>
      </w:r>
      <w:r w:rsidRPr="001F0E7A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</w:t>
      </w:r>
      <w:r w:rsidRPr="001F0E7A">
        <w:rPr>
          <w:rFonts w:ascii="Times New Roman" w:hAnsi="Times New Roman" w:cs="Times New Roman"/>
          <w:sz w:val="28"/>
          <w:szCs w:val="28"/>
        </w:rPr>
        <w:lastRenderedPageBreak/>
        <w:t>самоуправления сельских поселений, субъектами, занятыми в сфере сельского хозяйства.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</w:t>
      </w:r>
    </w:p>
    <w:p w:rsidR="007D4629" w:rsidRPr="001F0E7A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1F0E7A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Соисполнители</w:t>
      </w:r>
      <w:r w:rsidR="007D4629" w:rsidRPr="001F0E7A">
        <w:rPr>
          <w:rFonts w:ascii="Times New Roman" w:hAnsi="Times New Roman" w:cs="Times New Roman"/>
          <w:sz w:val="28"/>
          <w:szCs w:val="28"/>
        </w:rPr>
        <w:t xml:space="preserve"> муниципальной программы в пределах своей компетенции:</w:t>
      </w:r>
    </w:p>
    <w:p w:rsidR="007D4629" w:rsidRPr="001F0E7A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участвую</w:t>
      </w:r>
      <w:r w:rsidR="007D4629" w:rsidRPr="001F0E7A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1F0E7A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обеспечиваю</w:t>
      </w:r>
      <w:r w:rsidR="007D4629" w:rsidRPr="001F0E7A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программы, за реализацию которых он отвечают;</w:t>
      </w:r>
    </w:p>
    <w:p w:rsidR="007D4629" w:rsidRPr="001F0E7A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предоставляю</w:t>
      </w:r>
      <w:r w:rsidR="007D4629" w:rsidRPr="001F0E7A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реализации мероприятий муниципальной программы.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Мероприяти</w:t>
      </w:r>
      <w:r w:rsidR="00305018" w:rsidRPr="001F0E7A">
        <w:rPr>
          <w:rFonts w:ascii="Times New Roman" w:hAnsi="Times New Roman" w:cs="Times New Roman"/>
          <w:sz w:val="28"/>
          <w:szCs w:val="28"/>
        </w:rPr>
        <w:t>я, предусмотренные пунктами 1,</w:t>
      </w:r>
      <w:r w:rsidRPr="001F0E7A">
        <w:rPr>
          <w:rFonts w:ascii="Times New Roman" w:hAnsi="Times New Roman" w:cs="Times New Roman"/>
          <w:sz w:val="28"/>
          <w:szCs w:val="28"/>
        </w:rPr>
        <w:t xml:space="preserve"> 2</w:t>
      </w:r>
      <w:r w:rsidR="00305018" w:rsidRPr="001F0E7A">
        <w:rPr>
          <w:rFonts w:ascii="Times New Roman" w:hAnsi="Times New Roman" w:cs="Times New Roman"/>
          <w:sz w:val="28"/>
          <w:szCs w:val="28"/>
        </w:rPr>
        <w:t>,</w:t>
      </w:r>
      <w:r w:rsidR="005438D7" w:rsidRPr="001F0E7A">
        <w:rPr>
          <w:rFonts w:ascii="Times New Roman" w:hAnsi="Times New Roman" w:cs="Times New Roman"/>
          <w:sz w:val="28"/>
          <w:szCs w:val="28"/>
        </w:rPr>
        <w:t xml:space="preserve"> </w:t>
      </w:r>
      <w:r w:rsidR="00305018" w:rsidRPr="001F0E7A">
        <w:rPr>
          <w:rFonts w:ascii="Times New Roman" w:hAnsi="Times New Roman" w:cs="Times New Roman"/>
          <w:sz w:val="28"/>
          <w:szCs w:val="28"/>
        </w:rPr>
        <w:t>3, 4</w:t>
      </w:r>
      <w:r w:rsidR="00ED7132" w:rsidRPr="001F0E7A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 w:rsidRPr="001F0E7A">
        <w:rPr>
          <w:rFonts w:ascii="Times New Roman" w:hAnsi="Times New Roman" w:cs="Times New Roman"/>
          <w:sz w:val="28"/>
          <w:szCs w:val="28"/>
        </w:rPr>
        <w:t>, реализуются в соот</w:t>
      </w:r>
      <w:r w:rsidR="00C77C33" w:rsidRPr="001F0E7A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1F0E7A">
        <w:rPr>
          <w:rFonts w:ascii="Times New Roman" w:hAnsi="Times New Roman" w:cs="Times New Roman"/>
          <w:sz w:val="28"/>
          <w:szCs w:val="28"/>
        </w:rPr>
        <w:t xml:space="preserve"> – </w:t>
      </w:r>
      <w:r w:rsidR="00C77C33" w:rsidRPr="001F0E7A">
        <w:rPr>
          <w:rFonts w:ascii="Times New Roman" w:hAnsi="Times New Roman" w:cs="Times New Roman"/>
          <w:sz w:val="28"/>
          <w:szCs w:val="28"/>
        </w:rPr>
        <w:t>20</w:t>
      </w:r>
      <w:r w:rsidRPr="001F0E7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Pr="001F0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0E7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1F0E7A">
        <w:rPr>
          <w:rFonts w:ascii="Times New Roman" w:hAnsi="Times New Roman" w:cs="Times New Roman"/>
          <w:sz w:val="28"/>
          <w:szCs w:val="28"/>
        </w:rPr>
        <w:t>0</w:t>
      </w:r>
      <w:r w:rsidRPr="001F0E7A">
        <w:rPr>
          <w:rFonts w:ascii="Times New Roman" w:hAnsi="Times New Roman" w:cs="Times New Roman"/>
          <w:sz w:val="28"/>
          <w:szCs w:val="28"/>
        </w:rPr>
        <w:t>5</w:t>
      </w:r>
      <w:r w:rsidR="001F0E7A">
        <w:rPr>
          <w:rFonts w:ascii="Times New Roman" w:hAnsi="Times New Roman" w:cs="Times New Roman"/>
          <w:sz w:val="28"/>
          <w:szCs w:val="28"/>
        </w:rPr>
        <w:t>.10.</w:t>
      </w:r>
      <w:r w:rsidRPr="001F0E7A">
        <w:rPr>
          <w:rFonts w:ascii="Times New Roman" w:hAnsi="Times New Roman" w:cs="Times New Roman"/>
          <w:sz w:val="28"/>
          <w:szCs w:val="28"/>
        </w:rPr>
        <w:t xml:space="preserve">2018 № 344-п </w:t>
      </w:r>
      <w:r w:rsidR="001F0E7A">
        <w:rPr>
          <w:rFonts w:ascii="Times New Roman" w:hAnsi="Times New Roman" w:cs="Times New Roman"/>
          <w:sz w:val="28"/>
          <w:szCs w:val="28"/>
        </w:rPr>
        <w:br/>
      </w:r>
      <w:r w:rsidRPr="001F0E7A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1F0E7A">
        <w:rPr>
          <w:rFonts w:ascii="Times New Roman" w:hAnsi="Times New Roman" w:cs="Times New Roman"/>
          <w:sz w:val="28"/>
          <w:szCs w:val="28"/>
        </w:rPr>
        <w:br/>
      </w:r>
      <w:r w:rsidRPr="001F0E7A">
        <w:rPr>
          <w:rFonts w:ascii="Times New Roman" w:hAnsi="Times New Roman" w:cs="Times New Roman"/>
          <w:sz w:val="28"/>
          <w:szCs w:val="28"/>
        </w:rPr>
        <w:t>округа – Югры «Развитие агропромышленного комплекса».</w:t>
      </w:r>
    </w:p>
    <w:p w:rsidR="007D4629" w:rsidRPr="001F0E7A" w:rsidRDefault="00012F8C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Мероприятия, предусмотренные пунктами</w:t>
      </w:r>
      <w:r w:rsidR="00305018" w:rsidRPr="001F0E7A">
        <w:rPr>
          <w:rFonts w:ascii="Times New Roman" w:hAnsi="Times New Roman" w:cs="Times New Roman"/>
          <w:sz w:val="28"/>
          <w:szCs w:val="28"/>
        </w:rPr>
        <w:t xml:space="preserve"> 5</w:t>
      </w:r>
      <w:r w:rsidR="00ED7132" w:rsidRPr="001F0E7A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 w:rsidR="007D4629" w:rsidRPr="001F0E7A">
        <w:rPr>
          <w:rFonts w:ascii="Times New Roman" w:hAnsi="Times New Roman" w:cs="Times New Roman"/>
          <w:sz w:val="28"/>
          <w:szCs w:val="28"/>
        </w:rPr>
        <w:t xml:space="preserve">, реализуется в соответствии с Порядком, установленным </w:t>
      </w:r>
      <w:hyperlink r:id="rId11" w:history="1">
        <w:r w:rsidR="007D4629" w:rsidRPr="001F0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D4629" w:rsidRPr="001F0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Ханты-Мансийского района от 13</w:t>
      </w:r>
      <w:r w:rsidR="001F0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="007D4629" w:rsidRPr="001F0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2017 </w:t>
      </w:r>
      <w:r w:rsidR="001F0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7D4629" w:rsidRPr="001F0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="007D4629" w:rsidRPr="001F0E7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 w:rsidR="007D4629" w:rsidRPr="001F0E7A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района».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305018" w:rsidRPr="001F0E7A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ED7132" w:rsidRPr="001F0E7A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 w:rsidRPr="001F0E7A">
        <w:rPr>
          <w:rFonts w:ascii="Times New Roman" w:hAnsi="Times New Roman" w:cs="Times New Roman"/>
          <w:sz w:val="28"/>
          <w:szCs w:val="28"/>
        </w:rPr>
        <w:t xml:space="preserve">, </w:t>
      </w:r>
      <w:r w:rsidR="00ED7132" w:rsidRPr="001F0E7A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1F0E7A">
        <w:rPr>
          <w:rFonts w:ascii="Times New Roman" w:hAnsi="Times New Roman" w:cs="Times New Roman"/>
          <w:sz w:val="28"/>
          <w:szCs w:val="28"/>
        </w:rPr>
        <w:t>в соот</w:t>
      </w:r>
      <w:r w:rsidR="00A72796" w:rsidRPr="001F0E7A">
        <w:rPr>
          <w:rFonts w:ascii="Times New Roman" w:hAnsi="Times New Roman" w:cs="Times New Roman"/>
          <w:sz w:val="28"/>
          <w:szCs w:val="28"/>
        </w:rPr>
        <w:t>ветствии с условиями порядков 4</w:t>
      </w:r>
      <w:r w:rsidR="001F0E7A">
        <w:rPr>
          <w:rFonts w:ascii="Times New Roman" w:hAnsi="Times New Roman" w:cs="Times New Roman"/>
          <w:sz w:val="28"/>
          <w:szCs w:val="28"/>
        </w:rPr>
        <w:t xml:space="preserve"> – </w:t>
      </w:r>
      <w:r w:rsidR="00A72796" w:rsidRPr="001F0E7A">
        <w:rPr>
          <w:rFonts w:ascii="Times New Roman" w:hAnsi="Times New Roman" w:cs="Times New Roman"/>
          <w:sz w:val="28"/>
          <w:szCs w:val="28"/>
        </w:rPr>
        <w:t xml:space="preserve">7,10 </w:t>
      </w:r>
      <w:r w:rsidRPr="001F0E7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2" w:history="1">
        <w:r w:rsidRPr="001F0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0E7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</w:t>
      </w:r>
      <w:r w:rsidRPr="001F0E7A">
        <w:rPr>
          <w:rFonts w:ascii="Times New Roman" w:hAnsi="Times New Roman" w:cs="Times New Roman"/>
          <w:sz w:val="28"/>
          <w:szCs w:val="28"/>
        </w:rPr>
        <w:lastRenderedPageBreak/>
        <w:t>автономного о</w:t>
      </w:r>
      <w:r w:rsidR="00ED7132" w:rsidRPr="001F0E7A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 w:rsidRPr="001F0E7A">
        <w:rPr>
          <w:rFonts w:ascii="Times New Roman" w:hAnsi="Times New Roman" w:cs="Times New Roman"/>
          <w:sz w:val="28"/>
          <w:szCs w:val="28"/>
        </w:rPr>
        <w:t xml:space="preserve">от </w:t>
      </w:r>
      <w:r w:rsidR="001F0E7A">
        <w:rPr>
          <w:rFonts w:ascii="Times New Roman" w:hAnsi="Times New Roman" w:cs="Times New Roman"/>
          <w:sz w:val="28"/>
          <w:szCs w:val="28"/>
        </w:rPr>
        <w:t>0</w:t>
      </w:r>
      <w:r w:rsidRPr="001F0E7A">
        <w:rPr>
          <w:rFonts w:ascii="Times New Roman" w:hAnsi="Times New Roman" w:cs="Times New Roman"/>
          <w:sz w:val="28"/>
          <w:szCs w:val="28"/>
        </w:rPr>
        <w:t>5</w:t>
      </w:r>
      <w:r w:rsidR="001F0E7A">
        <w:rPr>
          <w:rFonts w:ascii="Times New Roman" w:hAnsi="Times New Roman" w:cs="Times New Roman"/>
          <w:sz w:val="28"/>
          <w:szCs w:val="28"/>
        </w:rPr>
        <w:t>.10.</w:t>
      </w:r>
      <w:r w:rsidRPr="001F0E7A">
        <w:rPr>
          <w:rFonts w:ascii="Times New Roman" w:hAnsi="Times New Roman" w:cs="Times New Roman"/>
          <w:sz w:val="28"/>
          <w:szCs w:val="28"/>
        </w:rPr>
        <w:t>2018 № 350-п «О государственной программе Ханты-Мансийского автономного округа – Югры «Устойчивое развитие коренных малочисленных народов Севера»;</w:t>
      </w:r>
    </w:p>
    <w:p w:rsidR="007D4629" w:rsidRPr="001F0E7A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 – Югры от 13</w:t>
      </w:r>
      <w:r w:rsidR="001F0E7A">
        <w:rPr>
          <w:rFonts w:ascii="Times New Roman" w:hAnsi="Times New Roman" w:cs="Times New Roman"/>
          <w:sz w:val="28"/>
          <w:szCs w:val="28"/>
        </w:rPr>
        <w:t>.04.</w:t>
      </w:r>
      <w:r w:rsidRPr="001F0E7A">
        <w:rPr>
          <w:rFonts w:ascii="Times New Roman" w:hAnsi="Times New Roman" w:cs="Times New Roman"/>
          <w:sz w:val="28"/>
          <w:szCs w:val="28"/>
        </w:rPr>
        <w:t>2013 № 119-п «О конкурсе профессионального мастерства среди оленеводов Ханты-Мансийского автономного округа – Югры на кубок Губернатора Ханты-Мансийского автономного округа – Югры».</w:t>
      </w:r>
    </w:p>
    <w:p w:rsidR="007D4629" w:rsidRPr="001F0E7A" w:rsidRDefault="007D4629" w:rsidP="001F0E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="001F0E7A">
        <w:rPr>
          <w:rFonts w:ascii="Times New Roman" w:hAnsi="Times New Roman"/>
          <w:sz w:val="28"/>
          <w:szCs w:val="28"/>
        </w:rPr>
        <w:br/>
      </w:r>
      <w:r w:rsidRPr="001F0E7A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80E85">
        <w:rPr>
          <w:rFonts w:ascii="Times New Roman" w:hAnsi="Times New Roman"/>
          <w:sz w:val="28"/>
          <w:szCs w:val="28"/>
        </w:rPr>
        <w:t>0</w:t>
      </w:r>
      <w:r w:rsidRPr="001F0E7A">
        <w:rPr>
          <w:rFonts w:ascii="Times New Roman" w:hAnsi="Times New Roman"/>
          <w:sz w:val="28"/>
          <w:szCs w:val="28"/>
        </w:rPr>
        <w:t>4</w:t>
      </w:r>
      <w:r w:rsidR="00F80E85">
        <w:rPr>
          <w:rFonts w:ascii="Times New Roman" w:hAnsi="Times New Roman"/>
          <w:sz w:val="28"/>
          <w:szCs w:val="28"/>
        </w:rPr>
        <w:t>.05.</w:t>
      </w:r>
      <w:r w:rsidRPr="001F0E7A"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Pr="001F0E7A" w:rsidRDefault="001902EE" w:rsidP="001F0E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Pr="001F0E7A" w:rsidRDefault="001902EE" w:rsidP="001F0E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Pr="001F0E7A" w:rsidRDefault="00334C8A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RPr="001F0E7A" w:rsidSect="001F0E7A">
          <w:headerReference w:type="default" r:id="rId13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</w:p>
    <w:p w:rsidR="007D4629" w:rsidRPr="001F0E7A" w:rsidRDefault="007D4629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1F0E7A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№ пока-</w:t>
            </w:r>
            <w:proofErr w:type="spellStart"/>
            <w:r w:rsidRPr="001F0E7A">
              <w:rPr>
                <w:rFonts w:ascii="Times New Roman" w:hAnsi="Times New Roman" w:cs="Times New Roman"/>
              </w:rPr>
              <w:t>зате</w:t>
            </w:r>
            <w:proofErr w:type="spellEnd"/>
            <w:r w:rsidRPr="001F0E7A"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E7A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1F0E7A">
              <w:rPr>
                <w:rFonts w:ascii="Times New Roman" w:hAnsi="Times New Roman" w:cs="Times New Roman"/>
              </w:rPr>
              <w:t>-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ок</w:t>
            </w:r>
            <w:r w:rsidR="00DE1BDE" w:rsidRPr="001F0E7A">
              <w:rPr>
                <w:rFonts w:ascii="Times New Roman" w:hAnsi="Times New Roman" w:cs="Times New Roman"/>
              </w:rPr>
              <w:t>руга от 25.03.2020 № 38-п-55</w:t>
            </w:r>
            <w:r w:rsidRPr="001F0E7A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ED129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</w:t>
            </w:r>
            <w:r w:rsidR="003C6770" w:rsidRPr="001F0E7A">
              <w:rPr>
                <w:rFonts w:ascii="Times New Roman" w:hAnsi="Times New Roman" w:cs="Times New Roman"/>
              </w:rPr>
              <w:t>5</w:t>
            </w:r>
            <w:r w:rsidR="00ED129B" w:rsidRPr="001F0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округа от</w:t>
            </w:r>
            <w:r w:rsidR="00DE1BDE" w:rsidRPr="001F0E7A">
              <w:rPr>
                <w:rFonts w:ascii="Times New Roman" w:hAnsi="Times New Roman" w:cs="Times New Roman"/>
              </w:rPr>
              <w:t xml:space="preserve"> 25.03.2020 № 38-п-</w:t>
            </w:r>
            <w:proofErr w:type="gramStart"/>
            <w:r w:rsidR="00DE1BDE" w:rsidRPr="001F0E7A">
              <w:rPr>
                <w:rFonts w:ascii="Times New Roman" w:hAnsi="Times New Roman" w:cs="Times New Roman"/>
              </w:rPr>
              <w:t>55</w:t>
            </w:r>
            <w:r w:rsidRPr="001F0E7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30336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</w:t>
            </w:r>
            <w:r w:rsidR="00B30336" w:rsidRPr="001F0E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</w:t>
            </w:r>
            <w:r w:rsidRPr="001F0E7A">
              <w:rPr>
                <w:rFonts w:ascii="Times New Roman" w:hAnsi="Times New Roman" w:cs="Times New Roman"/>
              </w:rPr>
              <w:lastRenderedPageBreak/>
              <w:t>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1F0E7A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округа от </w:t>
            </w:r>
            <w:r w:rsidR="00DE1BDE" w:rsidRPr="001F0E7A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ED129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1F0E7A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округа от </w:t>
            </w:r>
            <w:r w:rsidR="00DE1BDE" w:rsidRPr="001F0E7A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  <w:r w:rsidR="003C6770" w:rsidRPr="001F0E7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7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данны</w:t>
            </w:r>
            <w:r w:rsidR="00CD1004" w:rsidRPr="001F0E7A">
              <w:rPr>
                <w:rFonts w:ascii="Times New Roman" w:hAnsi="Times New Roman" w:cs="Times New Roman"/>
              </w:rPr>
              <w:t>х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1F0E7A">
              <w:rPr>
                <w:rFonts w:ascii="Times New Roman" w:hAnsi="Times New Roman" w:cs="Times New Roman"/>
              </w:rPr>
              <w:t xml:space="preserve"> предприятий (ежемесячно) (</w:t>
            </w:r>
            <w:hyperlink r:id="rId18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 пищевой рыбной продукции, утвержденная приказом Департамента промышленности автономног</w:t>
            </w:r>
            <w:r w:rsidR="00DE1BDE" w:rsidRPr="001F0E7A">
              <w:rPr>
                <w:rFonts w:ascii="Times New Roman" w:hAnsi="Times New Roman" w:cs="Times New Roman"/>
              </w:rPr>
              <w:t>о округа от 25.03.2020 № 38-п-55</w:t>
            </w:r>
            <w:r w:rsidRPr="001F0E7A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9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</w:t>
            </w:r>
            <w:r w:rsidRPr="001F0E7A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приказом Департамента промышленности автономного округа </w:t>
            </w:r>
            <w:r w:rsidR="00DE1BDE" w:rsidRPr="001F0E7A">
              <w:rPr>
                <w:rFonts w:ascii="Times New Roman" w:hAnsi="Times New Roman" w:cs="Times New Roman"/>
              </w:rPr>
              <w:t>от 25.03.2020 № 38-п-55</w:t>
            </w:r>
            <w:r w:rsidRPr="001F0E7A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43</w:t>
            </w:r>
            <w:r w:rsidR="00BA045F" w:rsidRPr="001F0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29547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29547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1F0E7A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0" w:history="1">
              <w:r w:rsidRPr="001F0E7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1F0E7A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</w:t>
            </w:r>
            <w:r w:rsidR="001F0E7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0E7A">
              <w:rPr>
                <w:rFonts w:ascii="Times New Roman" w:hAnsi="Times New Roman" w:cs="Times New Roman"/>
                <w:color w:val="000000" w:themeColor="text1"/>
              </w:rPr>
              <w:t>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29547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  <w:r w:rsidR="0029547F" w:rsidRPr="001F0E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1F0E7A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1F0E7A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</w:t>
            </w:r>
            <w:r w:rsidR="001F0E7A">
              <w:rPr>
                <w:rFonts w:ascii="Times New Roman" w:hAnsi="Times New Roman" w:cs="Times New Roman"/>
              </w:rPr>
              <w:br/>
            </w:r>
            <w:r w:rsidRPr="001F0E7A">
              <w:rPr>
                <w:rFonts w:ascii="Times New Roman" w:hAnsi="Times New Roman" w:cs="Times New Roman"/>
              </w:rPr>
              <w:t>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C27C45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отловленных, безнадзорных и бродячих животных. Показатель – плановый. </w:t>
            </w:r>
          </w:p>
          <w:p w:rsidR="00BA045F" w:rsidRPr="001F0E7A" w:rsidRDefault="00656043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Источник информации:</w:t>
            </w:r>
            <w:r w:rsidR="00DE1BDE" w:rsidRPr="001F0E7A">
              <w:rPr>
                <w:rFonts w:ascii="Times New Roman" w:hAnsi="Times New Roman" w:cs="Times New Roman"/>
              </w:rPr>
              <w:t xml:space="preserve"> </w:t>
            </w:r>
            <w:r w:rsidR="00BA045F" w:rsidRPr="001F0E7A">
              <w:rPr>
                <w:rFonts w:ascii="Times New Roman" w:hAnsi="Times New Roman" w:cs="Times New Roman"/>
              </w:rPr>
              <w:t>ведомственная статистика департамента строительства, архитектуры и ЖКХ администрации района</w:t>
            </w:r>
            <w:r w:rsidRPr="001F0E7A">
              <w:rPr>
                <w:rFonts w:ascii="Times New Roman" w:hAnsi="Times New Roman" w:cs="Times New Roman"/>
              </w:rPr>
              <w:t>;</w:t>
            </w:r>
          </w:p>
          <w:p w:rsidR="00656043" w:rsidRPr="001F0E7A" w:rsidRDefault="00656043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ведомственная статистика администраций сельских поселений</w:t>
            </w:r>
          </w:p>
        </w:tc>
      </w:tr>
    </w:tbl>
    <w:p w:rsidR="007D4629" w:rsidRPr="001F0E7A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RPr="001F0E7A" w:rsidSect="001F0E7A">
          <w:pgSz w:w="16838" w:h="11905" w:orient="landscape" w:code="9"/>
          <w:pgMar w:top="1276" w:right="1134" w:bottom="1559" w:left="1418" w:header="567" w:footer="0" w:gutter="0"/>
          <w:cols w:space="720"/>
          <w:docGrid w:linePitch="299"/>
        </w:sectPr>
      </w:pPr>
    </w:p>
    <w:p w:rsidR="007D4629" w:rsidRPr="001F0E7A" w:rsidRDefault="007D4629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C0FEA" w:rsidRPr="001F0E7A" w:rsidRDefault="00DC0FEA" w:rsidP="001F0E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3795"/>
        <w:gridCol w:w="2437"/>
        <w:gridCol w:w="1814"/>
        <w:gridCol w:w="45"/>
        <w:gridCol w:w="1122"/>
        <w:gridCol w:w="1101"/>
        <w:gridCol w:w="175"/>
        <w:gridCol w:w="1276"/>
        <w:gridCol w:w="1134"/>
        <w:gridCol w:w="137"/>
        <w:gridCol w:w="1134"/>
      </w:tblGrid>
      <w:tr w:rsidR="00DC0FEA" w:rsidRPr="001F0E7A" w:rsidTr="00BF32D2">
        <w:trPr>
          <w:trHeight w:val="30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C0FEA" w:rsidRPr="001F0E7A" w:rsidTr="00BF32D2">
        <w:trPr>
          <w:trHeight w:val="36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C0FEA" w:rsidRPr="001F0E7A" w:rsidTr="00BF32D2">
        <w:trPr>
          <w:trHeight w:val="31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DC0FEA" w:rsidRPr="001F0E7A" w:rsidTr="00BF32D2">
        <w:trPr>
          <w:trHeight w:val="28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DC0FEA" w:rsidRPr="001F0E7A" w:rsidTr="00BF32D2">
        <w:trPr>
          <w:trHeight w:val="36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F0E7A" w:rsidTr="00BF32D2">
        <w:trPr>
          <w:trHeight w:val="70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C0FEA" w:rsidRPr="001F0E7A" w:rsidTr="00BF32D2">
        <w:trPr>
          <w:trHeight w:val="30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C0FEA" w:rsidRPr="001F0E7A" w:rsidTr="00BF32D2">
        <w:trPr>
          <w:trHeight w:val="262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F0E7A" w:rsidTr="00BF32D2">
        <w:trPr>
          <w:trHeight w:val="26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F0E7A" w:rsidTr="00BF32D2">
        <w:trPr>
          <w:trHeight w:val="262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1, 2, 7)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C0FEA" w:rsidRPr="001F0E7A" w:rsidTr="00BF32D2">
        <w:trPr>
          <w:trHeight w:val="6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C0FEA" w:rsidRPr="001F0E7A" w:rsidTr="00BF32D2">
        <w:trPr>
          <w:trHeight w:val="41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C0FEA" w:rsidRPr="001F0E7A" w:rsidTr="00BF32D2">
        <w:trPr>
          <w:trHeight w:val="82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C0FEA" w:rsidRPr="001F0E7A" w:rsidTr="00BF32D2">
        <w:trPr>
          <w:trHeight w:val="29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мясного скотоводства» (показатели 1, 7)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DC0FEA" w:rsidRPr="001F0E7A" w:rsidTr="00BF32D2">
        <w:trPr>
          <w:trHeight w:val="6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F0E7A" w:rsidTr="00BF32D2">
        <w:trPr>
          <w:trHeight w:val="125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C0FEA" w:rsidRPr="001F0E7A" w:rsidTr="00BF32D2">
        <w:trPr>
          <w:trHeight w:val="30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DC0FEA" w:rsidRPr="001F0E7A" w:rsidTr="00BF32D2">
        <w:trPr>
          <w:trHeight w:val="14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5)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F0E7A" w:rsidTr="00BF32D2">
        <w:trPr>
          <w:trHeight w:val="54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F0E7A" w:rsidTr="00BF32D2">
        <w:trPr>
          <w:trHeight w:val="158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C0FEA" w:rsidRPr="001F0E7A" w:rsidTr="00BF32D2">
        <w:trPr>
          <w:trHeight w:val="258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DC0FEA" w:rsidRPr="001F0E7A" w:rsidTr="00BF32D2">
        <w:trPr>
          <w:trHeight w:val="13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6)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F0E7A" w:rsidTr="00BF32D2">
        <w:trPr>
          <w:trHeight w:val="58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F0E7A" w:rsidTr="00BF32D2">
        <w:trPr>
          <w:trHeight w:val="132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C0FEA" w:rsidRPr="001F0E7A" w:rsidTr="00BF32D2">
        <w:trPr>
          <w:trHeight w:val="51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DC0FEA" w:rsidRPr="001F0E7A" w:rsidTr="00BF32D2">
        <w:trPr>
          <w:trHeight w:val="29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C0FEA" w:rsidRPr="001F0E7A" w:rsidTr="00BF32D2">
        <w:trPr>
          <w:trHeight w:val="691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F0E7A" w:rsidTr="00BF32D2">
        <w:trPr>
          <w:trHeight w:val="27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 на содержание  животных без владельцев в приюте для животных (в том числе: лечение, вакцинация, стерилизация, мечение)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мероприятий при  осуществлении деятельности по обращению с животными без владельцев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Горноправдинск)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 Селиярово)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Шапша)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Выкатной)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Кедровый)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4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Кышик)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Луговской)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Сибирский)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 Цингалы)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1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F0E7A" w:rsidTr="00BF32D2">
        <w:trPr>
          <w:trHeight w:val="26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F0E7A" w:rsidTr="00BF32D2">
        <w:trPr>
          <w:trHeight w:val="28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</w:tr>
      <w:tr w:rsidR="00DC0FEA" w:rsidRPr="001F0E7A" w:rsidTr="00BF32D2">
        <w:trPr>
          <w:trHeight w:val="28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</w:tr>
      <w:tr w:rsidR="00DC0FEA" w:rsidRPr="001F0E7A" w:rsidTr="00BF32D2">
        <w:trPr>
          <w:trHeight w:val="28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Горноправдинск)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0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9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комитет по финансам АХМР (МУ АСП  Селиярово)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1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Шапша)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Выкатной)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3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Кедровый)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1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9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Кышик)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Луговской)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6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Сибирский)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2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8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комитет по финансам АХМР (МУ АСП  Цингалы)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4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C0FEA" w:rsidRPr="001F0E7A" w:rsidTr="00BF32D2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42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F0E7A" w:rsidTr="00BF32D2">
        <w:trPr>
          <w:trHeight w:val="36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DC0FEA" w:rsidRPr="001F0E7A" w:rsidTr="00BF32D2">
        <w:trPr>
          <w:trHeight w:val="26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 осуществляющих традиционную хозяйственную деятельность» (показатели 10, 11)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C0FEA" w:rsidRPr="001F0E7A" w:rsidTr="00BF32D2">
        <w:trPr>
          <w:trHeight w:val="69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C0FEA" w:rsidRPr="001F0E7A" w:rsidTr="00BF32D2">
        <w:trPr>
          <w:trHeight w:val="51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C0FEA" w:rsidRPr="001F0E7A" w:rsidTr="00BF32D2">
        <w:trPr>
          <w:trHeight w:val="18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C0FEA" w:rsidRPr="001F0E7A" w:rsidTr="00BF32D2">
        <w:trPr>
          <w:trHeight w:val="55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C0FEA" w:rsidRPr="001F0E7A" w:rsidTr="00BF32D2">
        <w:trPr>
          <w:trHeight w:val="66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C0FEA" w:rsidRPr="001F0E7A" w:rsidTr="00BF32D2">
        <w:trPr>
          <w:trHeight w:val="123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C0FEA" w:rsidRPr="001F0E7A" w:rsidTr="00BF32D2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Поддержка 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68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13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F0E7A" w:rsidTr="00BF32D2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F0E7A" w:rsidTr="00BF32D2">
        <w:trPr>
          <w:trHeight w:val="288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C0FEA" w:rsidRPr="001F0E7A" w:rsidTr="00BF32D2">
        <w:trPr>
          <w:trHeight w:val="394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C0FEA" w:rsidRPr="001F0E7A" w:rsidTr="00BF32D2">
        <w:trPr>
          <w:trHeight w:val="125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C0FEA" w:rsidRPr="001F0E7A" w:rsidTr="00BF32D2">
        <w:trPr>
          <w:trHeight w:val="30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C0FEA" w:rsidRPr="001F0E7A" w:rsidTr="00BF32D2">
        <w:trPr>
          <w:trHeight w:val="272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C0FEA" w:rsidRPr="001F0E7A" w:rsidTr="00BF32D2">
        <w:trPr>
          <w:trHeight w:val="316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 2 (комитет по финансам АХМР (МУ АСП Горноправдинск)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 3 (комитет по финансам АХМР (МУ АСП Селиярово)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67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25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 4 (комитет по финансам АХМР (МУ АСП Шапша)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75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Соисполнитель5 (комитет по финансам АХМР (МУ АСП Выкатной)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Соисполнитель6 (комитет по финансам АХМР (МУ АСП Кедровый)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01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Соисполнитель 7 (комитет по финансам АХМР (МУ АСП Кышик)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 8 (комитет по финансам АХМР (МУ АСП Луговской)</w:t>
            </w:r>
          </w:p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 9 (комитет по финансам АХМР (МУ АСП Сибирский)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242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Соисполнитель 10 (комитет по финансам АХМР (МУ АСП Цингалы)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0FEA" w:rsidRPr="001F0E7A" w:rsidTr="00BF32D2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A" w:rsidRPr="001F0E7A" w:rsidRDefault="00DC0FEA" w:rsidP="00BF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F32D2" w:rsidRDefault="00BF32D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3</w:t>
      </w:r>
    </w:p>
    <w:p w:rsidR="007D4629" w:rsidRPr="001F0E7A" w:rsidRDefault="008F01BC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1F0E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490D"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258"/>
        <w:gridCol w:w="992"/>
        <w:gridCol w:w="992"/>
        <w:gridCol w:w="993"/>
        <w:gridCol w:w="992"/>
        <w:gridCol w:w="1003"/>
      </w:tblGrid>
      <w:tr w:rsidR="00BE5A6A" w:rsidRPr="001F0E7A" w:rsidTr="00BF32D2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Номер 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5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72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1F0E7A" w:rsidTr="00BF32D2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03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E5A6A" w:rsidRPr="001F0E7A" w:rsidTr="00BF32D2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1F0E7A" w:rsidRDefault="0098490D" w:rsidP="001F0E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1F0E7A">
        <w:rPr>
          <w:rFonts w:ascii="Times New Roman" w:hAnsi="Times New Roman" w:cs="Times New Roman"/>
          <w:vertAlign w:val="superscript"/>
        </w:rPr>
        <w:t>*</w:t>
      </w:r>
      <w:r w:rsidR="007D4629" w:rsidRPr="001F0E7A">
        <w:rPr>
          <w:rFonts w:ascii="Times New Roman" w:hAnsi="Times New Roman" w:cs="Times New Roman"/>
          <w:vertAlign w:val="superscript"/>
        </w:rPr>
        <w:t xml:space="preserve"> </w:t>
      </w:r>
      <w:r w:rsidR="007D4629" w:rsidRPr="001F0E7A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7D4629" w:rsidRPr="00BF32D2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 w:rsidRPr="001F0E7A">
        <w:rPr>
          <w:rFonts w:ascii="Times New Roman" w:hAnsi="Times New Roman" w:cs="Times New Roman"/>
          <w:sz w:val="28"/>
          <w:szCs w:val="28"/>
        </w:rPr>
        <w:t>заданий</w:t>
      </w:r>
      <w:r w:rsidR="0098490D" w:rsidRPr="001F0E7A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1F0E7A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1F0E7A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1F0E7A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BE5A6A" w:rsidRPr="001F0E7A" w:rsidRDefault="00BE5A6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1F0E7A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0534F2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="007D4629" w:rsidRPr="000534F2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20915" w:rsidRPr="001F0E7A" w:rsidRDefault="00A20915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503"/>
      </w:tblGrid>
      <w:tr w:rsidR="007D4629" w:rsidRPr="001F0E7A" w:rsidTr="000534F2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1F0E7A" w:rsidTr="000534F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1F0E7A" w:rsidTr="000534F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 на выполнение муниципальной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1F0E7A" w:rsidRDefault="007D462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1F0E7A" w:rsidTr="000534F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P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392"/>
      </w:tblGrid>
      <w:tr w:rsidR="007D4629" w:rsidRPr="001F0E7A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1F0E7A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0534F2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="007D4629" w:rsidRPr="000534F2">
        <w:rPr>
          <w:rFonts w:ascii="Times New Roman" w:hAnsi="Times New Roman" w:cs="Times New Roman"/>
        </w:rPr>
        <w:t>Отсу</w:t>
      </w:r>
      <w:r w:rsidR="00CA7C74" w:rsidRPr="000534F2">
        <w:rPr>
          <w:rFonts w:ascii="Times New Roman" w:hAnsi="Times New Roman" w:cs="Times New Roman"/>
        </w:rPr>
        <w:t>т</w:t>
      </w:r>
      <w:r w:rsidR="007D4629" w:rsidRPr="000534F2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D4629" w:rsidRPr="001F0E7A" w:rsidRDefault="007D4629" w:rsidP="001F0E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526"/>
      </w:tblGrid>
      <w:tr w:rsidR="007D4629" w:rsidRPr="001F0E7A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1F0E7A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1F0E7A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1F0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</w:t>
            </w:r>
            <w:r w:rsidR="00BF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0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98490D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 w:rsidRPr="001F0E7A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1F0E7A" w:rsidRDefault="007D4629" w:rsidP="001F0E7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1F0E7A" w:rsidRDefault="0098490D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Style w:val="af3"/>
        <w:tblW w:w="14175" w:type="dxa"/>
        <w:tblInd w:w="137" w:type="dxa"/>
        <w:tblLook w:val="04A0" w:firstRow="1" w:lastRow="0" w:firstColumn="1" w:lastColumn="0" w:noHBand="0" w:noVBand="1"/>
      </w:tblPr>
      <w:tblGrid>
        <w:gridCol w:w="680"/>
        <w:gridCol w:w="3922"/>
        <w:gridCol w:w="2370"/>
        <w:gridCol w:w="2370"/>
        <w:gridCol w:w="2370"/>
        <w:gridCol w:w="2463"/>
      </w:tblGrid>
      <w:tr w:rsidR="0098490D" w:rsidRPr="000534F2" w:rsidTr="000534F2">
        <w:tc>
          <w:tcPr>
            <w:tcW w:w="68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63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8490D" w:rsidRPr="000534F2" w:rsidTr="000534F2">
        <w:tc>
          <w:tcPr>
            <w:tcW w:w="68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98490D" w:rsidRPr="000534F2" w:rsidRDefault="0098490D" w:rsidP="0005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34F2">
        <w:rPr>
          <w:rFonts w:ascii="Times New Roman" w:eastAsia="Arial Unicode MS" w:hAnsi="Times New Roman" w:cs="Times New Roman"/>
          <w:sz w:val="20"/>
          <w:szCs w:val="20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Pr="001F0E7A" w:rsidRDefault="0076125A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6125A" w:rsidRPr="001F0E7A" w:rsidRDefault="0076125A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 w:rsidRPr="001F0E7A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</w:t>
      </w:r>
      <w:r w:rsidR="000534F2"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r w:rsidR="00B51B44" w:rsidRPr="001F0E7A">
        <w:rPr>
          <w:rFonts w:ascii="Times New Roman" w:eastAsia="Arial Unicode MS" w:hAnsi="Times New Roman" w:cs="Times New Roman"/>
          <w:sz w:val="28"/>
          <w:szCs w:val="28"/>
        </w:rPr>
        <w:t>Югры на 2019</w:t>
      </w:r>
      <w:r w:rsidR="000534F2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51B44" w:rsidRPr="001F0E7A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3"/>
        <w:gridCol w:w="3888"/>
        <w:gridCol w:w="2479"/>
        <w:gridCol w:w="2363"/>
        <w:gridCol w:w="2365"/>
        <w:gridCol w:w="2368"/>
      </w:tblGrid>
      <w:tr w:rsidR="0076125A" w:rsidRPr="000534F2" w:rsidTr="000534F2">
        <w:tc>
          <w:tcPr>
            <w:tcW w:w="81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</w:tcPr>
          <w:p w:rsidR="005D5F1E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5D5F1E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5D5F1E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76125A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</w:t>
            </w:r>
            <w:r w:rsidR="000534F2" w:rsidRPr="000534F2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а достижение </w:t>
            </w:r>
          </w:p>
          <w:p w:rsidR="0076125A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значений(уровней</w:t>
            </w:r>
            <w:r w:rsidR="0076125A" w:rsidRPr="000534F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  <w:r w:rsidR="005D5F1E"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5D5F1E" w:rsidRPr="000534F2">
              <w:rPr>
                <w:rFonts w:ascii="Times New Roman" w:eastAsia="Arial Unicode MS" w:hAnsi="Times New Roman"/>
                <w:sz w:val="24"/>
                <w:szCs w:val="24"/>
              </w:rPr>
              <w:t>тветственный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76125A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76125A" w:rsidRPr="000534F2" w:rsidTr="000534F2">
        <w:tc>
          <w:tcPr>
            <w:tcW w:w="81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820F3" w:rsidRPr="000534F2" w:rsidRDefault="00A20915" w:rsidP="001F0E7A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 w:rsidRPr="000534F2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="00D820F3" w:rsidRPr="000534F2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CD1004" w:rsidRPr="000534F2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526E3" w:rsidRPr="001F0E7A" w:rsidRDefault="00A526E3" w:rsidP="001F0E7A">
      <w:pPr>
        <w:pStyle w:val="FR1"/>
        <w:spacing w:line="240" w:lineRule="auto"/>
        <w:jc w:val="both"/>
        <w:rPr>
          <w:b w:val="0"/>
        </w:rPr>
      </w:pPr>
    </w:p>
    <w:p w:rsidR="00A526E3" w:rsidRPr="001F0E7A" w:rsidRDefault="00A526E3" w:rsidP="001F0E7A">
      <w:pPr>
        <w:pStyle w:val="FR1"/>
        <w:spacing w:line="240" w:lineRule="auto"/>
        <w:jc w:val="both"/>
        <w:rPr>
          <w:b w:val="0"/>
        </w:rPr>
        <w:sectPr w:rsidR="00A526E3" w:rsidRPr="001F0E7A" w:rsidSect="00BF32D2">
          <w:pgSz w:w="16838" w:h="11906" w:orient="landscape" w:code="9"/>
          <w:pgMar w:top="1276" w:right="1134" w:bottom="1559" w:left="1418" w:header="567" w:footer="0" w:gutter="0"/>
          <w:cols w:space="720"/>
        </w:sectPr>
      </w:pPr>
    </w:p>
    <w:p w:rsidR="00746BB3" w:rsidRPr="001F0E7A" w:rsidRDefault="00746BB3" w:rsidP="001F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 w:rsidR="000534F2">
        <w:rPr>
          <w:rFonts w:ascii="Times New Roman" w:eastAsia="Times New Roman" w:hAnsi="Times New Roman" w:cs="Times New Roman"/>
          <w:sz w:val="28"/>
          <w:szCs w:val="28"/>
        </w:rPr>
        <w:br/>
      </w: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8490D" w:rsidRPr="001F0E7A" w:rsidRDefault="00334C8A" w:rsidP="001F0E7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>3</w:t>
      </w:r>
      <w:r w:rsidR="0098490D" w:rsidRPr="001F0E7A">
        <w:rPr>
          <w:b w:val="0"/>
        </w:rPr>
        <w:t xml:space="preserve"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1F0E7A" w:rsidRDefault="0098490D" w:rsidP="001F0E7A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1F0E7A" w:rsidRDefault="0098490D" w:rsidP="001F0E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1F0E7A" w:rsidRDefault="0098490D" w:rsidP="001F0E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1F0E7A" w:rsidRDefault="006F3562" w:rsidP="000534F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8490D" w:rsidRPr="001F0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90D" w:rsidRPr="001F0E7A">
        <w:rPr>
          <w:rFonts w:ascii="Times New Roman" w:hAnsi="Times New Roman" w:cs="Times New Roman"/>
          <w:sz w:val="28"/>
          <w:szCs w:val="28"/>
        </w:rPr>
        <w:t xml:space="preserve"> Ханты-Манси</w:t>
      </w:r>
      <w:r w:rsidR="00A526E3" w:rsidRPr="001F0E7A">
        <w:rPr>
          <w:rFonts w:ascii="Times New Roman" w:hAnsi="Times New Roman" w:cs="Times New Roman"/>
          <w:sz w:val="28"/>
          <w:szCs w:val="28"/>
        </w:rPr>
        <w:t>йского район</w:t>
      </w:r>
      <w:r w:rsidR="005E702B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Р.И.Стадлер</w:t>
      </w:r>
      <w:proofErr w:type="spellEnd"/>
    </w:p>
    <w:p w:rsidR="007D4629" w:rsidRPr="001F0E7A" w:rsidRDefault="007D4629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1F0E7A" w:rsidSect="001F0E7A">
      <w:type w:val="continuous"/>
      <w:pgSz w:w="11906" w:h="16838"/>
      <w:pgMar w:top="1276" w:right="1134" w:bottom="1559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7A" w:rsidRDefault="001F0E7A" w:rsidP="007364EA">
      <w:pPr>
        <w:spacing w:after="0" w:line="240" w:lineRule="auto"/>
      </w:pPr>
      <w:r>
        <w:separator/>
      </w:r>
    </w:p>
  </w:endnote>
  <w:endnote w:type="continuationSeparator" w:id="0">
    <w:p w:rsidR="001F0E7A" w:rsidRDefault="001F0E7A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7A" w:rsidRDefault="001F0E7A" w:rsidP="007364EA">
      <w:pPr>
        <w:spacing w:after="0" w:line="240" w:lineRule="auto"/>
      </w:pPr>
      <w:r>
        <w:separator/>
      </w:r>
    </w:p>
  </w:footnote>
  <w:footnote w:type="continuationSeparator" w:id="0">
    <w:p w:rsidR="001F0E7A" w:rsidRDefault="001F0E7A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F0E7A" w:rsidRPr="00C87437" w:rsidRDefault="001F0E7A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63BA0">
          <w:rPr>
            <w:rFonts w:ascii="Times New Roman" w:hAnsi="Times New Roman" w:cs="Times New Roman"/>
            <w:noProof/>
            <w:sz w:val="26"/>
            <w:szCs w:val="26"/>
          </w:rPr>
          <w:t>24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419E6"/>
    <w:rsid w:val="00045A8A"/>
    <w:rsid w:val="000461D6"/>
    <w:rsid w:val="000534F2"/>
    <w:rsid w:val="0005425A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137EB"/>
    <w:rsid w:val="00120736"/>
    <w:rsid w:val="00124621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3081"/>
    <w:rsid w:val="00205F14"/>
    <w:rsid w:val="00206632"/>
    <w:rsid w:val="00207C9E"/>
    <w:rsid w:val="0021185D"/>
    <w:rsid w:val="00212149"/>
    <w:rsid w:val="0021235F"/>
    <w:rsid w:val="00213AD6"/>
    <w:rsid w:val="002147CA"/>
    <w:rsid w:val="00214907"/>
    <w:rsid w:val="00215AC0"/>
    <w:rsid w:val="002177A2"/>
    <w:rsid w:val="002271F3"/>
    <w:rsid w:val="002331E9"/>
    <w:rsid w:val="00234129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F39"/>
    <w:rsid w:val="002E5E71"/>
    <w:rsid w:val="002F226F"/>
    <w:rsid w:val="002F34D4"/>
    <w:rsid w:val="002F7309"/>
    <w:rsid w:val="002F7DF9"/>
    <w:rsid w:val="003035BC"/>
    <w:rsid w:val="00303E73"/>
    <w:rsid w:val="00305018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820FE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20AD"/>
    <w:rsid w:val="003F4900"/>
    <w:rsid w:val="0040084E"/>
    <w:rsid w:val="004060C6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B0E"/>
    <w:rsid w:val="00483BFD"/>
    <w:rsid w:val="00487139"/>
    <w:rsid w:val="0049208E"/>
    <w:rsid w:val="00494EDF"/>
    <w:rsid w:val="004A49AF"/>
    <w:rsid w:val="004A4FF3"/>
    <w:rsid w:val="004B4C6F"/>
    <w:rsid w:val="004C2720"/>
    <w:rsid w:val="004D0D26"/>
    <w:rsid w:val="004D42E5"/>
    <w:rsid w:val="004D5EFE"/>
    <w:rsid w:val="004D7EC0"/>
    <w:rsid w:val="004E26BC"/>
    <w:rsid w:val="004F2E2B"/>
    <w:rsid w:val="004F69DA"/>
    <w:rsid w:val="004F6B48"/>
    <w:rsid w:val="004F70EF"/>
    <w:rsid w:val="00504EC9"/>
    <w:rsid w:val="00510377"/>
    <w:rsid w:val="0051227B"/>
    <w:rsid w:val="00512FE2"/>
    <w:rsid w:val="00532BCD"/>
    <w:rsid w:val="00536410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B7CAF"/>
    <w:rsid w:val="005C09BE"/>
    <w:rsid w:val="005C2112"/>
    <w:rsid w:val="005C5FA0"/>
    <w:rsid w:val="005C785E"/>
    <w:rsid w:val="005D5F1E"/>
    <w:rsid w:val="005E08F1"/>
    <w:rsid w:val="005E5D0D"/>
    <w:rsid w:val="005E702B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45CD4"/>
    <w:rsid w:val="006544F4"/>
    <w:rsid w:val="00656043"/>
    <w:rsid w:val="006620EE"/>
    <w:rsid w:val="0066278D"/>
    <w:rsid w:val="00663367"/>
    <w:rsid w:val="006652DE"/>
    <w:rsid w:val="0067070C"/>
    <w:rsid w:val="00670B26"/>
    <w:rsid w:val="00673037"/>
    <w:rsid w:val="00673AED"/>
    <w:rsid w:val="00685C31"/>
    <w:rsid w:val="00686A02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3562"/>
    <w:rsid w:val="006F4638"/>
    <w:rsid w:val="006F5158"/>
    <w:rsid w:val="006F6F17"/>
    <w:rsid w:val="007107E5"/>
    <w:rsid w:val="00711DA5"/>
    <w:rsid w:val="00720794"/>
    <w:rsid w:val="00721BE8"/>
    <w:rsid w:val="00723116"/>
    <w:rsid w:val="007364EA"/>
    <w:rsid w:val="00737E47"/>
    <w:rsid w:val="007468BB"/>
    <w:rsid w:val="007469AA"/>
    <w:rsid w:val="00746BB3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C7F"/>
    <w:rsid w:val="007C275C"/>
    <w:rsid w:val="007D25A0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1A2A"/>
    <w:rsid w:val="0083434B"/>
    <w:rsid w:val="00835C0E"/>
    <w:rsid w:val="008425AA"/>
    <w:rsid w:val="00856AE8"/>
    <w:rsid w:val="00856BA7"/>
    <w:rsid w:val="0085708C"/>
    <w:rsid w:val="008633E8"/>
    <w:rsid w:val="00870BFC"/>
    <w:rsid w:val="00873CB8"/>
    <w:rsid w:val="0088264D"/>
    <w:rsid w:val="008865AA"/>
    <w:rsid w:val="00886E55"/>
    <w:rsid w:val="0088774E"/>
    <w:rsid w:val="008A4342"/>
    <w:rsid w:val="008A55F6"/>
    <w:rsid w:val="008A5A8B"/>
    <w:rsid w:val="008A6816"/>
    <w:rsid w:val="008B4E29"/>
    <w:rsid w:val="008B6B76"/>
    <w:rsid w:val="008B6D81"/>
    <w:rsid w:val="008C25DA"/>
    <w:rsid w:val="008C4A4E"/>
    <w:rsid w:val="008D1B4F"/>
    <w:rsid w:val="008D1E8B"/>
    <w:rsid w:val="008D2B00"/>
    <w:rsid w:val="008D44FD"/>
    <w:rsid w:val="008D6A2E"/>
    <w:rsid w:val="008E5187"/>
    <w:rsid w:val="008E636B"/>
    <w:rsid w:val="008F01BC"/>
    <w:rsid w:val="008F120E"/>
    <w:rsid w:val="008F3DE6"/>
    <w:rsid w:val="008F3E57"/>
    <w:rsid w:val="0090087B"/>
    <w:rsid w:val="0090105E"/>
    <w:rsid w:val="009024FF"/>
    <w:rsid w:val="00903ACB"/>
    <w:rsid w:val="0090699E"/>
    <w:rsid w:val="00906DA3"/>
    <w:rsid w:val="00910C2F"/>
    <w:rsid w:val="00914CA2"/>
    <w:rsid w:val="009222C7"/>
    <w:rsid w:val="0093310B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D3E81"/>
    <w:rsid w:val="009E0292"/>
    <w:rsid w:val="009E2F55"/>
    <w:rsid w:val="009E52BE"/>
    <w:rsid w:val="009E6D91"/>
    <w:rsid w:val="009F62CA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24EF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3622"/>
    <w:rsid w:val="00B04367"/>
    <w:rsid w:val="00B10F9F"/>
    <w:rsid w:val="00B117C1"/>
    <w:rsid w:val="00B11C10"/>
    <w:rsid w:val="00B12F2F"/>
    <w:rsid w:val="00B159FB"/>
    <w:rsid w:val="00B21D62"/>
    <w:rsid w:val="00B22E66"/>
    <w:rsid w:val="00B22F7F"/>
    <w:rsid w:val="00B30336"/>
    <w:rsid w:val="00B358A2"/>
    <w:rsid w:val="00B3623E"/>
    <w:rsid w:val="00B40E8B"/>
    <w:rsid w:val="00B41D5C"/>
    <w:rsid w:val="00B51B44"/>
    <w:rsid w:val="00B60002"/>
    <w:rsid w:val="00B6504A"/>
    <w:rsid w:val="00B65B30"/>
    <w:rsid w:val="00B71CDD"/>
    <w:rsid w:val="00B76047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4F5E"/>
    <w:rsid w:val="00BC71F4"/>
    <w:rsid w:val="00BD14D4"/>
    <w:rsid w:val="00BD2406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32D2"/>
    <w:rsid w:val="00BF5C9C"/>
    <w:rsid w:val="00C03278"/>
    <w:rsid w:val="00C1030E"/>
    <w:rsid w:val="00C1458E"/>
    <w:rsid w:val="00C27C45"/>
    <w:rsid w:val="00C34113"/>
    <w:rsid w:val="00C34F02"/>
    <w:rsid w:val="00C37372"/>
    <w:rsid w:val="00C42037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87DC8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100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25D6"/>
    <w:rsid w:val="00D87FC8"/>
    <w:rsid w:val="00D90845"/>
    <w:rsid w:val="00D932DD"/>
    <w:rsid w:val="00D935F2"/>
    <w:rsid w:val="00DA2B11"/>
    <w:rsid w:val="00DA4D29"/>
    <w:rsid w:val="00DA5D0D"/>
    <w:rsid w:val="00DB55A3"/>
    <w:rsid w:val="00DB595A"/>
    <w:rsid w:val="00DB7874"/>
    <w:rsid w:val="00DC0A3C"/>
    <w:rsid w:val="00DC0FEA"/>
    <w:rsid w:val="00DC591A"/>
    <w:rsid w:val="00DD21B7"/>
    <w:rsid w:val="00DD4936"/>
    <w:rsid w:val="00DD60CF"/>
    <w:rsid w:val="00DE1BDE"/>
    <w:rsid w:val="00DE63C7"/>
    <w:rsid w:val="00DF1E54"/>
    <w:rsid w:val="00DF71EB"/>
    <w:rsid w:val="00DF75A7"/>
    <w:rsid w:val="00E119D5"/>
    <w:rsid w:val="00E20B47"/>
    <w:rsid w:val="00E20C59"/>
    <w:rsid w:val="00E20F71"/>
    <w:rsid w:val="00E26D8F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2E23"/>
    <w:rsid w:val="00ED7132"/>
    <w:rsid w:val="00EE2D9A"/>
    <w:rsid w:val="00EF345A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6600"/>
    <w:rsid w:val="00F43663"/>
    <w:rsid w:val="00F4532B"/>
    <w:rsid w:val="00F47F09"/>
    <w:rsid w:val="00F57706"/>
    <w:rsid w:val="00F60484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0DCE-D0B2-475C-BE4D-A5C9456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C8C1FA1L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hyperlink" Target="consultantplus://offline/ref=70BEE17419D75759513F1662D6CA8247C88EB8B600AD397EDD230AB962907D561BA8L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F881AA1L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E8CF-1653-46A9-A73E-C3D25BEF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7</cp:revision>
  <cp:lastPrinted>2020-08-21T07:13:00Z</cp:lastPrinted>
  <dcterms:created xsi:type="dcterms:W3CDTF">2020-08-12T04:07:00Z</dcterms:created>
  <dcterms:modified xsi:type="dcterms:W3CDTF">2020-08-21T07:14:00Z</dcterms:modified>
</cp:coreProperties>
</file>