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5A" w:rsidRPr="00FC0E5A" w:rsidRDefault="00DF5DDA" w:rsidP="00FC0E5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FC0E5A" w:rsidRPr="00FC0E5A" w:rsidRDefault="00FC0E5A" w:rsidP="00FC0E5A">
      <w:pPr>
        <w:suppressAutoHyphens/>
        <w:jc w:val="center"/>
        <w:rPr>
          <w:sz w:val="28"/>
          <w:szCs w:val="28"/>
          <w:lang w:eastAsia="ar-SA"/>
        </w:rPr>
      </w:pPr>
    </w:p>
    <w:p w:rsidR="00FC0E5A" w:rsidRPr="00FC0E5A" w:rsidRDefault="00FC0E5A" w:rsidP="00FC0E5A">
      <w:pPr>
        <w:suppressAutoHyphens/>
        <w:jc w:val="center"/>
        <w:rPr>
          <w:sz w:val="28"/>
          <w:szCs w:val="28"/>
          <w:lang w:eastAsia="ar-SA"/>
        </w:rPr>
      </w:pPr>
      <w:r w:rsidRPr="00FC0E5A">
        <w:rPr>
          <w:sz w:val="28"/>
          <w:szCs w:val="28"/>
          <w:lang w:eastAsia="ar-SA"/>
        </w:rPr>
        <w:t>МУНИЦИПАЛЬНОЕ ОБРАЗОВАНИЕ</w:t>
      </w:r>
    </w:p>
    <w:p w:rsidR="00FC0E5A" w:rsidRPr="00FC0E5A" w:rsidRDefault="00FC0E5A" w:rsidP="00FC0E5A">
      <w:pPr>
        <w:jc w:val="center"/>
        <w:rPr>
          <w:sz w:val="28"/>
          <w:szCs w:val="28"/>
          <w:lang w:eastAsia="en-US"/>
        </w:rPr>
      </w:pPr>
      <w:r w:rsidRPr="00FC0E5A">
        <w:rPr>
          <w:sz w:val="28"/>
          <w:szCs w:val="28"/>
          <w:lang w:eastAsia="en-US"/>
        </w:rPr>
        <w:t>ХАНТЫ-МАНСИЙСКИЙ РАЙОН</w:t>
      </w:r>
    </w:p>
    <w:p w:rsidR="00FC0E5A" w:rsidRPr="00FC0E5A" w:rsidRDefault="00FC0E5A" w:rsidP="00FC0E5A">
      <w:pPr>
        <w:jc w:val="center"/>
        <w:rPr>
          <w:sz w:val="28"/>
          <w:szCs w:val="28"/>
          <w:lang w:eastAsia="en-US"/>
        </w:rPr>
      </w:pPr>
      <w:r w:rsidRPr="00FC0E5A">
        <w:rPr>
          <w:sz w:val="28"/>
          <w:szCs w:val="28"/>
          <w:lang w:eastAsia="en-US"/>
        </w:rPr>
        <w:t>Ханты-Мансийский автономный округ – Югра</w:t>
      </w:r>
    </w:p>
    <w:p w:rsidR="00FC0E5A" w:rsidRPr="00FC0E5A" w:rsidRDefault="00FC0E5A" w:rsidP="00FC0E5A">
      <w:pPr>
        <w:jc w:val="center"/>
        <w:rPr>
          <w:sz w:val="28"/>
          <w:szCs w:val="28"/>
          <w:lang w:eastAsia="en-US"/>
        </w:rPr>
      </w:pPr>
    </w:p>
    <w:p w:rsidR="00FC0E5A" w:rsidRPr="00FC0E5A" w:rsidRDefault="00FC0E5A" w:rsidP="00FC0E5A">
      <w:pPr>
        <w:jc w:val="center"/>
        <w:rPr>
          <w:b/>
          <w:sz w:val="28"/>
          <w:szCs w:val="28"/>
          <w:lang w:eastAsia="en-US"/>
        </w:rPr>
      </w:pPr>
      <w:r w:rsidRPr="00FC0E5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0E5A" w:rsidRPr="00FC0E5A" w:rsidRDefault="00FC0E5A" w:rsidP="00FC0E5A">
      <w:pPr>
        <w:jc w:val="center"/>
        <w:rPr>
          <w:b/>
          <w:sz w:val="28"/>
          <w:szCs w:val="28"/>
          <w:lang w:eastAsia="en-US"/>
        </w:rPr>
      </w:pPr>
    </w:p>
    <w:p w:rsidR="00FC0E5A" w:rsidRPr="00FC0E5A" w:rsidRDefault="00FC0E5A" w:rsidP="00FC0E5A">
      <w:pPr>
        <w:jc w:val="center"/>
        <w:rPr>
          <w:b/>
          <w:sz w:val="28"/>
          <w:szCs w:val="28"/>
          <w:lang w:eastAsia="en-US"/>
        </w:rPr>
      </w:pPr>
      <w:r w:rsidRPr="00FC0E5A">
        <w:rPr>
          <w:b/>
          <w:sz w:val="28"/>
          <w:szCs w:val="28"/>
          <w:lang w:eastAsia="en-US"/>
        </w:rPr>
        <w:t>П О С Т А Н О В Л Е Н И Е</w:t>
      </w:r>
    </w:p>
    <w:p w:rsidR="00FC0E5A" w:rsidRPr="00FC0E5A" w:rsidRDefault="00FC0E5A" w:rsidP="00FC0E5A">
      <w:pPr>
        <w:jc w:val="center"/>
        <w:rPr>
          <w:sz w:val="28"/>
          <w:szCs w:val="28"/>
          <w:lang w:eastAsia="en-US"/>
        </w:rPr>
      </w:pPr>
    </w:p>
    <w:p w:rsidR="00FC0E5A" w:rsidRPr="00FC0E5A" w:rsidRDefault="00FC0E5A" w:rsidP="00FC0E5A">
      <w:pPr>
        <w:rPr>
          <w:sz w:val="28"/>
          <w:szCs w:val="28"/>
          <w:lang w:eastAsia="en-US"/>
        </w:rPr>
      </w:pPr>
      <w:r w:rsidRPr="00FC0E5A">
        <w:rPr>
          <w:sz w:val="28"/>
          <w:szCs w:val="28"/>
          <w:lang w:eastAsia="en-US"/>
        </w:rPr>
        <w:t xml:space="preserve">от </w:t>
      </w:r>
      <w:r w:rsidR="005F42A2">
        <w:rPr>
          <w:sz w:val="28"/>
          <w:szCs w:val="28"/>
          <w:lang w:eastAsia="en-US"/>
        </w:rPr>
        <w:t>27.04.2020</w:t>
      </w:r>
      <w:r w:rsidRPr="00FC0E5A">
        <w:rPr>
          <w:sz w:val="28"/>
          <w:szCs w:val="28"/>
          <w:lang w:eastAsia="en-US"/>
        </w:rPr>
        <w:t xml:space="preserve">                                    </w:t>
      </w:r>
      <w:r w:rsidR="005F42A2"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FC0E5A">
        <w:rPr>
          <w:sz w:val="28"/>
          <w:szCs w:val="28"/>
          <w:lang w:eastAsia="en-US"/>
        </w:rPr>
        <w:t xml:space="preserve">                                                           № </w:t>
      </w:r>
      <w:r w:rsidR="005F42A2">
        <w:rPr>
          <w:sz w:val="28"/>
          <w:szCs w:val="28"/>
          <w:lang w:eastAsia="en-US"/>
        </w:rPr>
        <w:t>107</w:t>
      </w:r>
    </w:p>
    <w:p w:rsidR="00FC0E5A" w:rsidRPr="00FC0E5A" w:rsidRDefault="00FC0E5A" w:rsidP="00FC0E5A">
      <w:pPr>
        <w:rPr>
          <w:i/>
          <w:lang w:eastAsia="en-US"/>
        </w:rPr>
      </w:pPr>
      <w:r w:rsidRPr="00FC0E5A">
        <w:rPr>
          <w:i/>
          <w:lang w:eastAsia="en-US"/>
        </w:rPr>
        <w:t>г. Ханты-Мансийск</w:t>
      </w:r>
    </w:p>
    <w:p w:rsidR="00FC0E5A" w:rsidRDefault="00FC0E5A" w:rsidP="00FC0E5A">
      <w:pPr>
        <w:jc w:val="both"/>
        <w:rPr>
          <w:sz w:val="28"/>
          <w:szCs w:val="28"/>
        </w:rPr>
      </w:pPr>
    </w:p>
    <w:p w:rsidR="00643EC4" w:rsidRPr="00643EC4" w:rsidRDefault="00643EC4" w:rsidP="00FC0E5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FC0E5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FC0E5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FC0E5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FC0E5A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FC0E5A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FC0E5A">
      <w:pPr>
        <w:tabs>
          <w:tab w:val="left" w:pos="5103"/>
        </w:tabs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433A2F" w:rsidRDefault="00433A2F" w:rsidP="00FC0E5A">
      <w:pPr>
        <w:rPr>
          <w:sz w:val="28"/>
          <w:szCs w:val="28"/>
        </w:rPr>
      </w:pPr>
    </w:p>
    <w:p w:rsidR="00643EC4" w:rsidRPr="00433A2F" w:rsidRDefault="00643EC4" w:rsidP="00FC0E5A">
      <w:pPr>
        <w:ind w:firstLine="709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FC0E5A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FC0E5A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FC0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FC0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FC0E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FC0E5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Pr="00FC0E5A" w:rsidRDefault="00C90A2F" w:rsidP="00FC0E5A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D33AEC" w:rsidRPr="00D33AEC" w:rsidRDefault="00D33AEC" w:rsidP="00FC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Паспорт муниципальной программы</w:t>
      </w:r>
    </w:p>
    <w:p w:rsidR="0001671E" w:rsidRDefault="00D33AEC" w:rsidP="00FC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FC0E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FC0E5A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3E255D" w:rsidRPr="00D33AEC" w:rsidRDefault="009F3D65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  <w:r w:rsidR="00FC0E5A">
              <w:rPr>
                <w:sz w:val="28"/>
                <w:szCs w:val="28"/>
              </w:rPr>
              <w:br/>
            </w:r>
            <w:r w:rsidR="009765F0">
              <w:rPr>
                <w:sz w:val="28"/>
                <w:szCs w:val="28"/>
              </w:rPr>
              <w:t>49 656,5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FC0E5A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FC0E5A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FC0E5A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 xml:space="preserve">Уровень обеспеченности населения </w:t>
            </w:r>
            <w:r w:rsidRPr="003E255D">
              <w:rPr>
                <w:sz w:val="28"/>
                <w:szCs w:val="28"/>
              </w:rPr>
              <w:lastRenderedPageBreak/>
              <w:t>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FC0E5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FC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FC0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FC0E5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AF29EB">
              <w:rPr>
                <w:sz w:val="28"/>
                <w:szCs w:val="28"/>
              </w:rPr>
              <w:t>411 385,2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FC0E5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FC0E5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99 303,4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FC0E5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FC0E5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FC0E5A">
      <w:pPr>
        <w:rPr>
          <w:sz w:val="28"/>
          <w:szCs w:val="28"/>
        </w:rPr>
      </w:pPr>
    </w:p>
    <w:p w:rsidR="00366EDE" w:rsidRDefault="0001671E" w:rsidP="00FC0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FC0E5A">
      <w:pPr>
        <w:jc w:val="center"/>
        <w:rPr>
          <w:sz w:val="28"/>
          <w:szCs w:val="28"/>
        </w:rPr>
      </w:pPr>
    </w:p>
    <w:p w:rsidR="00366EDE" w:rsidRPr="004E1394" w:rsidRDefault="001738FF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Развитие направления сотрудничества с некоммерческими </w:t>
      </w:r>
      <w:r w:rsidRPr="0027296C">
        <w:rPr>
          <w:sz w:val="28"/>
          <w:szCs w:val="28"/>
        </w:rPr>
        <w:lastRenderedPageBreak/>
        <w:t>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FC0E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FC0E5A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FC0E5A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</w:t>
      </w:r>
      <w:r w:rsidRPr="00FF4DF6">
        <w:rPr>
          <w:rFonts w:ascii="Times New Roman" w:hAnsi="Times New Roman"/>
          <w:sz w:val="28"/>
          <w:szCs w:val="28"/>
        </w:rPr>
        <w:lastRenderedPageBreak/>
        <w:t>числе за: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FC0E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FC0E5A">
      <w:pPr>
        <w:pStyle w:val="ConsPlusNormal"/>
        <w:ind w:firstLine="720"/>
        <w:jc w:val="both"/>
        <w:rPr>
          <w:sz w:val="28"/>
          <w:szCs w:val="28"/>
        </w:rPr>
        <w:sectPr w:rsidR="00433A2F" w:rsidSect="00FC0E5A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FC0E5A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FC0E5A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FC0E5A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FC0E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FC0E5A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FC0E5A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FC0E5A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381053" w:rsidRDefault="0016545C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Default="0016545C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FC0E5A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381053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</w:t>
            </w:r>
            <w:r w:rsidRPr="00381053">
              <w:rPr>
                <w:sz w:val="20"/>
                <w:szCs w:val="20"/>
                <w:lang w:eastAsia="en-US"/>
              </w:rPr>
              <w:lastRenderedPageBreak/>
              <w:t>физической культуре и спорте»;</w:t>
            </w:r>
          </w:p>
          <w:p w:rsidR="00450881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FC0E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FC0E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FC0E5A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FC0E5A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>Чз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FC0E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</w:t>
            </w:r>
            <w:r w:rsidRPr="00045FE7">
              <w:rPr>
                <w:sz w:val="20"/>
                <w:szCs w:val="20"/>
                <w:lang w:eastAsia="en-US"/>
              </w:rPr>
              <w:lastRenderedPageBreak/>
              <w:t>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FC0E5A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FC0E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A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FC0E5A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DA786A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FC0E5A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наблюдения в сфере физической культуры и спорта по форме </w:t>
            </w:r>
          </w:p>
          <w:p w:rsidR="00DA786A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FC0E5A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450881" w:rsidRPr="007B41A4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450881" w:rsidRPr="00F803B0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Куд – количество человек, удовлетворенных качеством услуг, предоставляемых учреждениями культуры Ханты-Мансийского </w:t>
            </w:r>
            <w:r w:rsidRPr="00F803B0">
              <w:rPr>
                <w:sz w:val="20"/>
                <w:szCs w:val="20"/>
              </w:rPr>
              <w:lastRenderedPageBreak/>
              <w:t>района, из числа лиц, принявших участие в социологических опросах;</w:t>
            </w:r>
          </w:p>
          <w:p w:rsidR="00450881" w:rsidRPr="00F803B0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Дв= Чв/Чп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  <w:r w:rsidR="00FC0E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FC0E5A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</w:t>
            </w:r>
          </w:p>
          <w:p w:rsidR="00450881" w:rsidRPr="005B7B7E" w:rsidRDefault="00450881" w:rsidP="00FC0E5A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от 02.01.2016 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FC0E5A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Ду= Чв/Чу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FC0E5A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</w:p>
          <w:p w:rsidR="00450881" w:rsidRDefault="00450881" w:rsidP="00FC0E5A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lastRenderedPageBreak/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FC0E5A">
      <w:pPr>
        <w:jc w:val="both"/>
        <w:rPr>
          <w:sz w:val="20"/>
          <w:szCs w:val="20"/>
        </w:rPr>
      </w:pPr>
    </w:p>
    <w:p w:rsidR="00DA786A" w:rsidRDefault="00D33AEC" w:rsidP="00FC0E5A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FC0E5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FC0E5A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126"/>
        <w:gridCol w:w="992"/>
        <w:gridCol w:w="851"/>
        <w:gridCol w:w="992"/>
        <w:gridCol w:w="850"/>
        <w:gridCol w:w="851"/>
      </w:tblGrid>
      <w:tr w:rsidR="0064133E" w:rsidRPr="00D33AEC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FC0E5A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FC0E5A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722CBD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</w:t>
            </w:r>
            <w:r w:rsidRPr="00972B9B">
              <w:rPr>
                <w:sz w:val="20"/>
                <w:szCs w:val="20"/>
              </w:rPr>
              <w:lastRenderedPageBreak/>
              <w:t xml:space="preserve">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D945D5">
              <w:rPr>
                <w:sz w:val="20"/>
                <w:szCs w:val="20"/>
              </w:rPr>
              <w:lastRenderedPageBreak/>
              <w:t>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</w:t>
            </w:r>
            <w:r w:rsidR="00E86D32">
              <w:rPr>
                <w:sz w:val="20"/>
                <w:szCs w:val="20"/>
              </w:rPr>
              <w:t xml:space="preserve">, спорту и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FC0E5A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FC0E5A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2CBD" w:rsidRDefault="00722CBD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722CBD" w:rsidRPr="00972B9B" w:rsidRDefault="00722CBD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2CBD" w:rsidRPr="00D945D5" w:rsidRDefault="00722CBD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22CBD" w:rsidRPr="00D945D5" w:rsidRDefault="00722CBD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387 328,7</w:t>
            </w: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722CBD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22CBD" w:rsidRPr="00972B9B" w:rsidRDefault="00722CBD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22CBD" w:rsidRPr="00D945D5" w:rsidRDefault="00722CBD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2CBD" w:rsidRPr="00D945D5" w:rsidRDefault="00722CBD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722CBD" w:rsidRPr="00D945D5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22CBD" w:rsidRPr="00D945D5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2CBD" w:rsidRPr="00972B9B" w:rsidRDefault="00722CBD" w:rsidP="00FC0E5A">
            <w:pPr>
              <w:jc w:val="center"/>
              <w:rPr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387 328,7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328 427,3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328 427,3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FC4BB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FC4BBB" w:rsidRPr="00972B9B" w:rsidRDefault="00FC4BBB" w:rsidP="00FC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C4BB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FC4BBB" w:rsidRPr="00972B9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126" w:type="dxa"/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грантовой </w:t>
            </w:r>
            <w:r w:rsidRPr="00972B9B">
              <w:rPr>
                <w:sz w:val="20"/>
                <w:szCs w:val="20"/>
              </w:rPr>
              <w:lastRenderedPageBreak/>
              <w:t>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D945D5">
              <w:rPr>
                <w:sz w:val="20"/>
                <w:szCs w:val="20"/>
              </w:rPr>
              <w:lastRenderedPageBreak/>
              <w:t>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972B9B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411 385,2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99 303,4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411 055,4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411 038,1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397 441,3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397 111,5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397 094,2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0F1A7A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75120B" w:rsidRDefault="00FC4BBB" w:rsidP="00FC0E5A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</w:tcPr>
          <w:p w:rsidR="00FC4BBB" w:rsidRPr="0075120B" w:rsidRDefault="00FC4BBB" w:rsidP="00FC0E5A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157BC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75120B" w:rsidRDefault="00FC4BBB" w:rsidP="00FC0E5A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75120B" w:rsidRDefault="00FC4BBB" w:rsidP="00FC0E5A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2 085,5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Соисполнитель 2 – комитет по культуре, спорту и социальной политике </w:t>
            </w:r>
          </w:p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354 374,4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5B57E3" w:rsidRDefault="00FC4BBB" w:rsidP="00FC0E5A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FC4BBB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C4BBB" w:rsidRPr="00D945D5" w:rsidRDefault="00FC4BBB" w:rsidP="00FC0E5A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4BBB" w:rsidRPr="00D945D5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C4BBB" w:rsidRPr="00972B9B" w:rsidRDefault="00FC4BBB" w:rsidP="00FC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FC0E5A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FC0E5A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FC0E5A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FC0E5A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FC0E5A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107D07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FC0E5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FC0E5A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FC0E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FC0E5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DA786A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егиональный проект «Спорт – норма жизни»</w:t>
            </w:r>
          </w:p>
          <w:p w:rsidR="00466BDB" w:rsidRPr="00E51E37" w:rsidRDefault="00466BDB" w:rsidP="00FC0E5A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 w:rsidR="00433A2F"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DA786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FC0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FC0E5A">
        <w:trPr>
          <w:trHeight w:val="5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FC0E5A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822563" w:rsidP="00FC0E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FC0E5A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окружной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lastRenderedPageBreak/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lastRenderedPageBreak/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FC0E5A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FC0E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7" w:rsidRPr="00107D07" w:rsidRDefault="00107D07" w:rsidP="00FC0E5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FC0E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FC0E5A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FC0E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FC0E5A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FC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FC0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законодательства автономного округа, длительностью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FC0E5A">
            <w:r>
              <w:lastRenderedPageBreak/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</w:t>
            </w:r>
            <w:r w:rsidR="00D94863" w:rsidRPr="00CB7113">
              <w:lastRenderedPageBreak/>
              <w:t>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FC0E5A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FC0E5A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FC0E5A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FC0E5A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FC0E5A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0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FC0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FC0E5A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FC0E5A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FC0E5A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FC0E5A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FC0E5A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FC0E5A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Pr="00FC0E5A" w:rsidRDefault="003873C4" w:rsidP="00FC0E5A">
      <w:pPr>
        <w:rPr>
          <w:color w:val="000000"/>
          <w:sz w:val="14"/>
          <w:szCs w:val="28"/>
        </w:rPr>
      </w:pPr>
    </w:p>
    <w:p w:rsidR="00CB7113" w:rsidRDefault="00993623" w:rsidP="00FC0E5A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FC0E5A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FC0E5A" w:rsidRDefault="0053466A" w:rsidP="00FC0E5A">
      <w:pPr>
        <w:jc w:val="center"/>
        <w:rPr>
          <w:color w:val="000000"/>
          <w:sz w:val="14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FC0E5A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FC0E5A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FC0E5A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FC0E5A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</w:t>
            </w:r>
            <w:r w:rsidRPr="00815D14">
              <w:lastRenderedPageBreak/>
              <w:t>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FC0E5A">
            <w:pPr>
              <w:jc w:val="center"/>
            </w:pPr>
            <w:r>
              <w:lastRenderedPageBreak/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FC0E5A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FC0E5A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FC0E5A">
            <w:pPr>
              <w:jc w:val="center"/>
            </w:pPr>
            <w:r>
              <w:lastRenderedPageBreak/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FC0E5A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FC0E5A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FC0E5A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FC0E5A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FC0E5A">
      <w:pPr>
        <w:jc w:val="right"/>
        <w:rPr>
          <w:color w:val="000000"/>
        </w:rPr>
      </w:pPr>
    </w:p>
    <w:p w:rsidR="00CB7113" w:rsidRDefault="00993623" w:rsidP="00FC0E5A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FC0E5A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FC0E5A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FC0E5A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FC0E5A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FC0E5A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FC0E5A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FC0E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FC0E5A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FC0E5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FC0E5A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FC0E5A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FC0E5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FC0E5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>тий, направленны</w:t>
      </w:r>
      <w:r w:rsidR="00FC0E5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FC0E5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Pr="00FC0E5A" w:rsidRDefault="00822563" w:rsidP="00FC0E5A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0E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FC0E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FC0E5A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FC0E5A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FC0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FC0E5A">
      <w:pPr>
        <w:rPr>
          <w:sz w:val="28"/>
          <w:szCs w:val="28"/>
        </w:rPr>
      </w:pPr>
    </w:p>
    <w:p w:rsidR="006616DE" w:rsidRDefault="006616DE" w:rsidP="00FC0E5A">
      <w:pPr>
        <w:rPr>
          <w:sz w:val="28"/>
          <w:szCs w:val="28"/>
        </w:rPr>
      </w:pPr>
    </w:p>
    <w:p w:rsidR="006616DE" w:rsidRPr="003873C4" w:rsidRDefault="006616DE" w:rsidP="00FC0E5A">
      <w:pPr>
        <w:rPr>
          <w:sz w:val="28"/>
          <w:szCs w:val="28"/>
        </w:rPr>
      </w:pPr>
    </w:p>
    <w:p w:rsidR="00930517" w:rsidRDefault="003873C4" w:rsidP="00FC0E5A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FC0E5A">
      <w:headerReference w:type="default" r:id="rId10"/>
      <w:type w:val="continuous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DA" w:rsidRDefault="00DF5DDA" w:rsidP="00B078F8">
      <w:r>
        <w:separator/>
      </w:r>
    </w:p>
  </w:endnote>
  <w:endnote w:type="continuationSeparator" w:id="0">
    <w:p w:rsidR="00DF5DDA" w:rsidRDefault="00DF5DDA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DA" w:rsidRDefault="00DF5DDA" w:rsidP="00B078F8">
      <w:r>
        <w:separator/>
      </w:r>
    </w:p>
  </w:footnote>
  <w:footnote w:type="continuationSeparator" w:id="0">
    <w:p w:rsidR="00DF5DDA" w:rsidRDefault="00DF5DDA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32" w:rsidRPr="0001671E" w:rsidRDefault="00E86D32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F42A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32" w:rsidRDefault="00E86D3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F42A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2A2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2C6C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0B"/>
    <w:rsid w:val="0075126B"/>
    <w:rsid w:val="00752C47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5DDA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0E5A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24A4A7C-DCC6-4045-845E-2C4B0E4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38C9-FBB2-48A2-9811-6E1AEF1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20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12</cp:revision>
  <cp:lastPrinted>2020-04-28T07:26:00Z</cp:lastPrinted>
  <dcterms:created xsi:type="dcterms:W3CDTF">2019-11-12T05:40:00Z</dcterms:created>
  <dcterms:modified xsi:type="dcterms:W3CDTF">2020-04-28T07:26:00Z</dcterms:modified>
</cp:coreProperties>
</file>