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09.10.2018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№ </w:t>
      </w:r>
      <w:r w:rsidR="00F34CB1">
        <w:rPr>
          <w:rFonts w:ascii="Times New Roman" w:hAnsi="Times New Roman"/>
          <w:sz w:val="28"/>
          <w:szCs w:val="28"/>
        </w:rPr>
        <w:t>278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района от 8 ноября 2017 года № 305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956A7A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Мансийского района на 2018 – 2020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795047">
        <w:rPr>
          <w:rFonts w:ascii="Times New Roman" w:hAnsi="Times New Roman"/>
          <w:sz w:val="28"/>
          <w:szCs w:val="28"/>
        </w:rPr>
        <w:t>7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20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15816" w:rsidRPr="00315816" w:rsidRDefault="00682D68" w:rsidP="00164B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«Создание условий для ответственного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305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164B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315816" w:rsidRPr="00315816" w:rsidRDefault="005044DC" w:rsidP="00164B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315816" w:rsidRPr="00315816" w:rsidRDefault="005044DC" w:rsidP="00164B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A43CFE" w:rsidRDefault="005044DC" w:rsidP="00164B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резервного фонда администрации района в общем объеме расходов бюджета района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43CFE" w:rsidRDefault="00B52C26" w:rsidP="00164B7C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43CFE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43CFE" w:rsidRDefault="00B52C26" w:rsidP="00164B7C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A43CFE" w:rsidRDefault="00B52C26" w:rsidP="00164B7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164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AD07C5">
              <w:rPr>
                <w:rFonts w:ascii="Times New Roman" w:hAnsi="Times New Roman"/>
                <w:sz w:val="28"/>
                <w:szCs w:val="28"/>
              </w:rPr>
              <w:t> 110 455,4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07C5">
              <w:rPr>
                <w:rFonts w:ascii="Times New Roman" w:hAnsi="Times New Roman"/>
                <w:sz w:val="28"/>
                <w:szCs w:val="28"/>
              </w:rPr>
              <w:t>367 003,0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A43CFE" w:rsidRDefault="0070643E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A43CFE" w:rsidRDefault="0070643E" w:rsidP="0016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6A7A" w:rsidRDefault="00956A7A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Default="00807B1D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7A" w:rsidRPr="005044DC" w:rsidRDefault="00956A7A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программы</w:t>
      </w:r>
      <w:r w:rsidR="00AD07C5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«Создание условий для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ответственного управления муниципальными финансами, повышения устойчивости местных бюджетов Ханты-Мансийского района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</w:t>
      </w:r>
      <w:r w:rsidRPr="00315816">
        <w:rPr>
          <w:rFonts w:ascii="Times New Roman" w:hAnsi="Times New Roman"/>
          <w:sz w:val="28"/>
          <w:szCs w:val="28"/>
        </w:rPr>
        <w:lastRenderedPageBreak/>
        <w:t>модернизации экономики и социальной сферы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956A7A" w:rsidRPr="00315816" w:rsidRDefault="00956A7A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Ханты-Мансийского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с основными характеристиками бюджета района и результатами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его исполнения.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</w:t>
      </w:r>
      <w:r w:rsidR="00956A7A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</w:t>
      </w:r>
      <w:r w:rsidR="00164B7C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</w:t>
      </w:r>
      <w:r w:rsidR="00956A7A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 xml:space="preserve">Югры, </w:t>
      </w:r>
      <w:r w:rsidR="00956A7A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B6" w:rsidRDefault="004836D7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инвестиционной </w:t>
      </w:r>
    </w:p>
    <w:p w:rsidR="00AA0613" w:rsidRDefault="004836D7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FB7C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Развитие конкуренции</w:t>
      </w:r>
    </w:p>
    <w:p w:rsidR="00AA0613" w:rsidRDefault="002C5CD2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импортозамещению в Ханты-Мансийском районе, реализации стандарта развития конкуренции.</w:t>
      </w:r>
    </w:p>
    <w:p w:rsidR="00403B9C" w:rsidRDefault="00C60C41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AA0613" w:rsidRDefault="00AA0613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</w:t>
      </w:r>
      <w:r w:rsidR="00164B7C">
        <w:rPr>
          <w:rFonts w:ascii="Times New Roman" w:hAnsi="Times New Roman"/>
          <w:bCs/>
          <w:sz w:val="28"/>
          <w:szCs w:val="28"/>
        </w:rPr>
        <w:t>ановлением Правительства Ханты-М</w:t>
      </w:r>
      <w:r w:rsidR="000950DE" w:rsidRPr="00B84DEB">
        <w:rPr>
          <w:rFonts w:ascii="Times New Roman" w:hAnsi="Times New Roman"/>
          <w:bCs/>
          <w:sz w:val="28"/>
          <w:szCs w:val="28"/>
        </w:rPr>
        <w:t>ансийского автономного округа – Югры</w:t>
      </w:r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FB7CB6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FB7CB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FB7CB6" w:rsidP="00164B7C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816" w:rsidRPr="00EB07B7">
        <w:rPr>
          <w:sz w:val="28"/>
          <w:szCs w:val="28"/>
        </w:rPr>
        <w:t xml:space="preserve">Уровень </w:t>
      </w:r>
      <w:r w:rsidR="00315816"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164B7C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FB7CB6" w:rsidRPr="00315816">
        <w:rPr>
          <w:rFonts w:ascii="Times New Roman" w:hAnsi="Times New Roman"/>
          <w:sz w:val="28"/>
          <w:szCs w:val="28"/>
        </w:rPr>
        <w:t xml:space="preserve">округе </w:t>
      </w:r>
      <w:r w:rsidR="00164B7C" w:rsidRPr="00315816">
        <w:rPr>
          <w:rFonts w:ascii="Times New Roman" w:hAnsi="Times New Roman"/>
          <w:sz w:val="28"/>
          <w:szCs w:val="28"/>
        </w:rPr>
        <w:t>– Югре».</w:t>
      </w:r>
      <w:r w:rsidR="00164B7C">
        <w:rPr>
          <w:rFonts w:ascii="Times New Roman" w:hAnsi="Times New Roman"/>
          <w:sz w:val="28"/>
          <w:szCs w:val="28"/>
        </w:rPr>
        <w:t xml:space="preserve">     </w:t>
      </w:r>
      <w:r w:rsidR="00164B7C" w:rsidRPr="00315816">
        <w:rPr>
          <w:rFonts w:ascii="Times New Roman" w:hAnsi="Times New Roman"/>
          <w:sz w:val="28"/>
          <w:szCs w:val="28"/>
        </w:rPr>
        <w:t>Показатель</w:t>
      </w:r>
      <w:r w:rsidR="00164B7C">
        <w:rPr>
          <w:rFonts w:ascii="Times New Roman" w:hAnsi="Times New Roman"/>
          <w:sz w:val="28"/>
          <w:szCs w:val="28"/>
        </w:rPr>
        <w:t xml:space="preserve">     </w:t>
      </w:r>
      <w:r w:rsidR="00164B7C" w:rsidRPr="00315816">
        <w:rPr>
          <w:rFonts w:ascii="Times New Roman" w:hAnsi="Times New Roman"/>
          <w:sz w:val="28"/>
          <w:szCs w:val="28"/>
        </w:rPr>
        <w:t>рассчитывается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комитетом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по</w:t>
      </w:r>
      <w:r w:rsidR="00164B7C">
        <w:rPr>
          <w:rFonts w:ascii="Times New Roman" w:hAnsi="Times New Roman"/>
          <w:sz w:val="28"/>
          <w:szCs w:val="28"/>
        </w:rPr>
        <w:t xml:space="preserve">      </w:t>
      </w:r>
      <w:r w:rsidR="00164B7C" w:rsidRPr="00315816">
        <w:rPr>
          <w:rFonts w:ascii="Times New Roman" w:hAnsi="Times New Roman"/>
          <w:sz w:val="28"/>
          <w:szCs w:val="28"/>
        </w:rPr>
        <w:t>финансам</w:t>
      </w:r>
      <w:r w:rsidR="00164B7C">
        <w:rPr>
          <w:rFonts w:ascii="Times New Roman" w:hAnsi="Times New Roman"/>
          <w:sz w:val="28"/>
          <w:szCs w:val="28"/>
        </w:rPr>
        <w:t xml:space="preserve"> </w:t>
      </w:r>
    </w:p>
    <w:p w:rsid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района.</w:t>
      </w:r>
    </w:p>
    <w:p w:rsidR="00315816" w:rsidRPr="00EB07B7" w:rsidRDefault="00FB7CB6" w:rsidP="00164B7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816"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FB7CB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164B7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Р – показатель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Нал.</w:t>
      </w:r>
      <w:r w:rsidR="00315816" w:rsidRPr="00BD3679">
        <w:rPr>
          <w:rFonts w:ascii="Times New Roman" w:hAnsi="Times New Roman"/>
          <w:sz w:val="28"/>
          <w:szCs w:val="28"/>
        </w:rPr>
        <w:t>Д – фактическое поступление на</w:t>
      </w:r>
      <w:r>
        <w:rPr>
          <w:rFonts w:ascii="Times New Roman" w:hAnsi="Times New Roman"/>
          <w:sz w:val="28"/>
          <w:szCs w:val="28"/>
        </w:rPr>
        <w:t>логовых доходов за отчетный год</w:t>
      </w:r>
      <w:r w:rsidR="00315816" w:rsidRPr="00BD3679">
        <w:rPr>
          <w:rFonts w:ascii="Times New Roman" w:hAnsi="Times New Roman"/>
          <w:sz w:val="28"/>
          <w:szCs w:val="28"/>
        </w:rPr>
        <w:t xml:space="preserve"> без учета доходов по дополнительным нормативам отчислений от налога на доходы физических лиц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Ненал.</w:t>
      </w:r>
      <w:r w:rsidR="00315816" w:rsidRPr="00BD3679">
        <w:rPr>
          <w:rFonts w:ascii="Times New Roman" w:hAnsi="Times New Roman"/>
          <w:sz w:val="28"/>
          <w:szCs w:val="28"/>
        </w:rPr>
        <w:t xml:space="preserve">Д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0950DE"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ПД перв. – первоначально утвержденный план по доходам в отчетном году.</w:t>
      </w:r>
    </w:p>
    <w:p w:rsidR="00315816" w:rsidRPr="00BD3679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="00315816"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7245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="00434587">
        <w:rPr>
          <w:rFonts w:ascii="Times New Roman" w:hAnsi="Times New Roman"/>
          <w:sz w:val="28"/>
          <w:szCs w:val="28"/>
        </w:rPr>
        <w:t>факт. – фактическо</w:t>
      </w:r>
      <w:r w:rsidRPr="00315816">
        <w:rPr>
          <w:rFonts w:ascii="Times New Roman" w:hAnsi="Times New Roman"/>
          <w:sz w:val="28"/>
          <w:szCs w:val="28"/>
        </w:rPr>
        <w:t>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2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 xml:space="preserve">» (с изменениями и </w:t>
      </w:r>
      <w:r w:rsidRPr="00136BB7">
        <w:rPr>
          <w:rFonts w:ascii="Times New Roman" w:hAnsi="Times New Roman"/>
          <w:bCs/>
          <w:sz w:val="28"/>
          <w:szCs w:val="28"/>
        </w:rPr>
        <w:lastRenderedPageBreak/>
        <w:t>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724531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434587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автономном</w:t>
      </w:r>
      <w:r w:rsidR="006A2599"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округе – Югре».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органами администрации Ханты-Мансийского района, согласованной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с муниципальными образованиями сельских поселений района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</w:t>
      </w:r>
      <w:r w:rsidRPr="003429CF">
        <w:rPr>
          <w:rFonts w:ascii="Times New Roman" w:hAnsi="Times New Roman"/>
          <w:bCs/>
          <w:sz w:val="28"/>
          <w:szCs w:val="28"/>
        </w:rPr>
        <w:t>размещению заказов на поставки товаров, выполнение работ, оказание услуг для муниципальных нужд и нужд муниципальных учреждений и иных заказчиков</w:t>
      </w:r>
      <w:r w:rsidR="006A2599" w:rsidRPr="003429CF">
        <w:rPr>
          <w:rFonts w:ascii="Times New Roman" w:hAnsi="Times New Roman"/>
          <w:bCs/>
          <w:sz w:val="28"/>
          <w:szCs w:val="28"/>
        </w:rPr>
        <w:t>, с учетом внедрения технологий бережливого производства</w:t>
      </w:r>
      <w:r w:rsidRPr="003429CF">
        <w:rPr>
          <w:rFonts w:ascii="Times New Roman" w:hAnsi="Times New Roman"/>
          <w:bCs/>
          <w:sz w:val="28"/>
          <w:szCs w:val="28"/>
        </w:rPr>
        <w:t>.</w:t>
      </w:r>
    </w:p>
    <w:p w:rsidR="008A5B4F" w:rsidRDefault="008A5B4F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4F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материально-технического </w:t>
      </w:r>
      <w:r w:rsidR="00A5653F">
        <w:rPr>
          <w:rFonts w:ascii="Times New Roman" w:hAnsi="Times New Roman"/>
          <w:bCs/>
          <w:sz w:val="28"/>
          <w:szCs w:val="28"/>
        </w:rPr>
        <w:t>обеспечение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20D1" w:rsidRPr="00DC20D1" w:rsidRDefault="00DC20D1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0D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A5B4F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осуществляются в соответствии с </w:t>
      </w:r>
      <w:hyperlink r:id="rId13" w:history="1">
        <w:r w:rsidRPr="008A5B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8A5B4F">
        <w:rPr>
          <w:rFonts w:ascii="Times New Roman" w:hAnsi="Times New Roman"/>
          <w:bCs/>
          <w:sz w:val="28"/>
          <w:szCs w:val="28"/>
        </w:rPr>
        <w:t xml:space="preserve"> </w:t>
      </w:r>
      <w:r w:rsidR="008A5B4F" w:rsidRPr="008A5B4F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</w:t>
      </w:r>
      <w:r w:rsidRPr="00DC20D1">
        <w:rPr>
          <w:rFonts w:ascii="Times New Roman" w:hAnsi="Times New Roman"/>
          <w:bCs/>
          <w:sz w:val="28"/>
          <w:szCs w:val="28"/>
        </w:rPr>
        <w:t xml:space="preserve">, утвержденными постановлением </w:t>
      </w:r>
      <w:r w:rsidR="008A5B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A5B4F">
        <w:rPr>
          <w:rFonts w:ascii="Times New Roman" w:hAnsi="Times New Roman"/>
          <w:bCs/>
          <w:sz w:val="28"/>
          <w:szCs w:val="28"/>
        </w:rPr>
        <w:lastRenderedPageBreak/>
        <w:t>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от </w:t>
      </w:r>
      <w:r w:rsidR="008A5B4F">
        <w:rPr>
          <w:rFonts w:ascii="Times New Roman" w:hAnsi="Times New Roman"/>
          <w:bCs/>
          <w:sz w:val="28"/>
          <w:szCs w:val="28"/>
        </w:rPr>
        <w:t>1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апреля</w:t>
      </w:r>
      <w:r w:rsidRPr="00DC20D1">
        <w:rPr>
          <w:rFonts w:ascii="Times New Roman" w:hAnsi="Times New Roman"/>
          <w:bCs/>
          <w:sz w:val="28"/>
          <w:szCs w:val="28"/>
        </w:rPr>
        <w:t xml:space="preserve"> 201</w:t>
      </w:r>
      <w:r w:rsidR="008A5B4F">
        <w:rPr>
          <w:rFonts w:ascii="Times New Roman" w:hAnsi="Times New Roman"/>
          <w:bCs/>
          <w:sz w:val="28"/>
          <w:szCs w:val="28"/>
        </w:rPr>
        <w:t>5</w:t>
      </w:r>
      <w:r w:rsidRPr="00DC20D1">
        <w:rPr>
          <w:rFonts w:ascii="Times New Roman" w:hAnsi="Times New Roman"/>
          <w:bCs/>
          <w:sz w:val="28"/>
          <w:szCs w:val="28"/>
        </w:rPr>
        <w:t xml:space="preserve"> года </w:t>
      </w:r>
      <w:r w:rsidR="008A5B4F">
        <w:rPr>
          <w:rFonts w:ascii="Times New Roman" w:hAnsi="Times New Roman"/>
          <w:bCs/>
          <w:sz w:val="28"/>
          <w:szCs w:val="28"/>
        </w:rPr>
        <w:t>№ 64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«</w:t>
      </w:r>
      <w:r w:rsidR="008A5B4F" w:rsidRPr="008A5B4F">
        <w:rPr>
          <w:rFonts w:ascii="Times New Roman" w:hAnsi="Times New Roman"/>
          <w:bCs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</w:t>
      </w:r>
      <w:r w:rsidR="008A5B4F">
        <w:rPr>
          <w:rFonts w:ascii="Times New Roman" w:hAnsi="Times New Roman"/>
          <w:bCs/>
          <w:sz w:val="28"/>
          <w:szCs w:val="28"/>
        </w:rPr>
        <w:t>»</w:t>
      </w:r>
      <w:r w:rsidRPr="00DC20D1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9CF">
        <w:rPr>
          <w:rFonts w:ascii="Times New Roman" w:hAnsi="Times New Roman"/>
          <w:bCs/>
          <w:sz w:val="28"/>
          <w:szCs w:val="28"/>
        </w:rPr>
        <w:t>Деятельность</w:t>
      </w:r>
      <w:r w:rsidRPr="00315816">
        <w:rPr>
          <w:rFonts w:ascii="Times New Roman" w:hAnsi="Times New Roman"/>
          <w:bCs/>
          <w:sz w:val="28"/>
          <w:szCs w:val="28"/>
        </w:rPr>
        <w:t xml:space="preserve"> комитета по финансам направлена на проведение политики</w:t>
      </w:r>
      <w:r w:rsidR="00724531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необходимой для устойчивого развития экономики и функционирования бюджетной с</w:t>
      </w:r>
      <w:r w:rsidR="00724531">
        <w:rPr>
          <w:rFonts w:ascii="Times New Roman" w:hAnsi="Times New Roman"/>
          <w:bCs/>
          <w:sz w:val="28"/>
          <w:szCs w:val="28"/>
        </w:rPr>
        <w:t>истемы Ханты-Мансийского района,</w:t>
      </w:r>
      <w:r w:rsidR="00724531" w:rsidRPr="00724531">
        <w:rPr>
          <w:rFonts w:ascii="Times New Roman" w:hAnsi="Times New Roman"/>
          <w:bCs/>
          <w:sz w:val="28"/>
          <w:szCs w:val="28"/>
        </w:rPr>
        <w:t xml:space="preserve"> </w:t>
      </w:r>
      <w:r w:rsidR="00724531">
        <w:rPr>
          <w:rFonts w:ascii="Times New Roman" w:hAnsi="Times New Roman"/>
          <w:bCs/>
          <w:sz w:val="28"/>
          <w:szCs w:val="28"/>
        </w:rPr>
        <w:br/>
      </w:r>
      <w:r w:rsidR="00724531" w:rsidRPr="00315816">
        <w:rPr>
          <w:rFonts w:ascii="Times New Roman" w:hAnsi="Times New Roman"/>
          <w:bCs/>
          <w:sz w:val="28"/>
          <w:szCs w:val="28"/>
        </w:rPr>
        <w:t xml:space="preserve">в </w:t>
      </w:r>
      <w:r w:rsidR="00724531">
        <w:rPr>
          <w:rFonts w:ascii="Times New Roman" w:hAnsi="Times New Roman"/>
          <w:bCs/>
          <w:sz w:val="28"/>
          <w:szCs w:val="28"/>
        </w:rPr>
        <w:t>рамках установленных полномочий.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Default="00434587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B414B5" w:rsidP="0072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</w:t>
      </w:r>
      <w:r w:rsidR="00724531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164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16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B414B5" w:rsidP="0072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</w:t>
      </w:r>
      <w:r w:rsidR="003429CF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заимствований</w:t>
      </w:r>
      <w:r w:rsidR="00724531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434587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434587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</w:t>
      </w:r>
      <w:r w:rsidR="00724531">
        <w:rPr>
          <w:rFonts w:ascii="Times New Roman" w:hAnsi="Times New Roman"/>
          <w:sz w:val="28"/>
          <w:szCs w:val="28"/>
        </w:rPr>
        <w:t>и</w:t>
      </w:r>
      <w:r w:rsidR="00315816" w:rsidRPr="00315816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164B7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164B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164B7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164B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5F75A6" w:rsidTr="0043458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434587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434587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4345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164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164B7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164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16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16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16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  <w:gridCol w:w="1276"/>
        <w:gridCol w:w="1134"/>
        <w:gridCol w:w="1167"/>
        <w:gridCol w:w="1101"/>
      </w:tblGrid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Номер основного мероприя</w:t>
            </w:r>
            <w:r w:rsidR="00434587">
              <w:rPr>
                <w:rFonts w:ascii="Times New Roman" w:hAnsi="Times New Roman" w:cs="Times New Roman"/>
              </w:rPr>
              <w:t>-</w:t>
            </w:r>
            <w:r w:rsidRPr="00BE34B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43458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E34B7" w:rsidRPr="00BE34B7" w:rsidRDefault="00724531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402" w:type="dxa"/>
            <w:gridSpan w:val="3"/>
          </w:tcPr>
          <w:p w:rsidR="00BE34B7" w:rsidRPr="00BE34B7" w:rsidRDefault="00724531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434587">
        <w:tc>
          <w:tcPr>
            <w:tcW w:w="1242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BE34B7" w:rsidRPr="00BE34B7" w:rsidRDefault="0043458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724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  <w:r w:rsidR="00724531">
              <w:rPr>
                <w:rFonts w:ascii="Times New Roman" w:hAnsi="Times New Roman" w:cs="Times New Roman"/>
              </w:rPr>
              <w:t xml:space="preserve"> </w:t>
            </w: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536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164B7C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E5F">
              <w:rPr>
                <w:rFonts w:ascii="Times New Roman" w:hAnsi="Times New Roman" w:cs="Times New Roman"/>
              </w:rPr>
              <w:t> 110 455,4</w:t>
            </w:r>
          </w:p>
        </w:tc>
        <w:tc>
          <w:tcPr>
            <w:tcW w:w="1134" w:type="dxa"/>
          </w:tcPr>
          <w:p w:rsidR="00BE34B7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BE34B7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281143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724531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724531" w:rsidP="00164B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281143">
              <w:rPr>
                <w:rFonts w:ascii="Times New Roman" w:hAnsi="Times New Roman" w:cs="Times New Roman"/>
              </w:rPr>
              <w:t>:</w:t>
            </w:r>
          </w:p>
          <w:p w:rsidR="00D603A5" w:rsidRPr="00BE34B7" w:rsidRDefault="00D603A5" w:rsidP="00164B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16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16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164B7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164B7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3458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Default="00682D68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Default="00434587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Pr="008731CB" w:rsidRDefault="00434587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682D68" w:rsidP="00164B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 w:rsidR="0072453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К.Р.Минулин</w:t>
      </w: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1C" w:rsidRDefault="00A5321C" w:rsidP="00BC0C69">
      <w:pPr>
        <w:spacing w:after="0" w:line="240" w:lineRule="auto"/>
      </w:pPr>
      <w:r>
        <w:separator/>
      </w:r>
    </w:p>
  </w:endnote>
  <w:endnote w:type="continuationSeparator" w:id="0">
    <w:p w:rsidR="00A5321C" w:rsidRDefault="00A5321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99" w:rsidRDefault="006A259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A2599" w:rsidRDefault="006A25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1C" w:rsidRDefault="00A5321C" w:rsidP="00BC0C69">
      <w:pPr>
        <w:spacing w:after="0" w:line="240" w:lineRule="auto"/>
      </w:pPr>
      <w:r>
        <w:separator/>
      </w:r>
    </w:p>
  </w:footnote>
  <w:footnote w:type="continuationSeparator" w:id="0">
    <w:p w:rsidR="00A5321C" w:rsidRDefault="00A5321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99" w:rsidRDefault="006A259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CB1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99" w:rsidRDefault="006A25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4CB1">
      <w:rPr>
        <w:noProof/>
      </w:rPr>
      <w:t>1</w:t>
    </w:r>
    <w:r>
      <w:rPr>
        <w:noProof/>
      </w:rPr>
      <w:fldChar w:fldCharType="end"/>
    </w:r>
  </w:p>
  <w:p w:rsidR="006A2599" w:rsidRDefault="006A25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99" w:rsidRDefault="006A259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4CB1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2CD58-0672-4A8D-8BF7-6F04E63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2A906B724BB9A26E4A9BF14BCFEBBAB0298BECF19251A25B16E065DD2942576F8561051530F564E80568C9p3u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mrn.ru/documents/77/1809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EDDC-2E72-4418-B33C-AA572DDB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23</cp:revision>
  <cp:lastPrinted>2018-10-05T06:07:00Z</cp:lastPrinted>
  <dcterms:created xsi:type="dcterms:W3CDTF">2018-09-18T04:56:00Z</dcterms:created>
  <dcterms:modified xsi:type="dcterms:W3CDTF">2018-10-09T05:31:00Z</dcterms:modified>
</cp:coreProperties>
</file>