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8E" w:rsidRPr="00A91F8E" w:rsidRDefault="00A91F8E" w:rsidP="00A91F8E">
      <w:pPr>
        <w:suppressAutoHyphens/>
        <w:jc w:val="center"/>
        <w:rPr>
          <w:sz w:val="28"/>
          <w:szCs w:val="28"/>
          <w:lang w:eastAsia="ar-SA"/>
        </w:rPr>
      </w:pPr>
      <w:r w:rsidRPr="00A91F8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62EC11" wp14:editId="7D073E8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F8E" w:rsidRPr="00A91F8E" w:rsidRDefault="00A91F8E" w:rsidP="00A91F8E">
      <w:pPr>
        <w:suppressAutoHyphens/>
        <w:jc w:val="center"/>
        <w:rPr>
          <w:sz w:val="28"/>
          <w:szCs w:val="28"/>
          <w:lang w:eastAsia="ar-SA"/>
        </w:rPr>
      </w:pPr>
    </w:p>
    <w:p w:rsidR="00A91F8E" w:rsidRPr="00A91F8E" w:rsidRDefault="00A91F8E" w:rsidP="00A91F8E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МУНИЦИПАЛЬНОЕ ОБРАЗОВАНИЕ</w:t>
      </w:r>
    </w:p>
    <w:p w:rsidR="00A91F8E" w:rsidRPr="00A91F8E" w:rsidRDefault="00A91F8E" w:rsidP="00A91F8E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ХАНТЫ-МАНСИЙСКИЙ РАЙОН</w:t>
      </w:r>
    </w:p>
    <w:p w:rsidR="00A91F8E" w:rsidRPr="00A91F8E" w:rsidRDefault="00A91F8E" w:rsidP="00A91F8E">
      <w:pPr>
        <w:jc w:val="center"/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>Ханты-Мансийский автономный округ – Югра</w:t>
      </w:r>
    </w:p>
    <w:p w:rsidR="00A91F8E" w:rsidRPr="00A91F8E" w:rsidRDefault="00A91F8E" w:rsidP="00A91F8E">
      <w:pPr>
        <w:jc w:val="center"/>
        <w:rPr>
          <w:sz w:val="28"/>
          <w:szCs w:val="28"/>
          <w:lang w:eastAsia="en-US"/>
        </w:rPr>
      </w:pPr>
    </w:p>
    <w:p w:rsidR="00A91F8E" w:rsidRPr="00A91F8E" w:rsidRDefault="00A91F8E" w:rsidP="00A91F8E">
      <w:pPr>
        <w:jc w:val="center"/>
        <w:rPr>
          <w:b/>
          <w:sz w:val="28"/>
          <w:szCs w:val="28"/>
          <w:lang w:eastAsia="en-US"/>
        </w:rPr>
      </w:pPr>
      <w:r w:rsidRPr="00A91F8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91F8E" w:rsidRPr="00A91F8E" w:rsidRDefault="00A91F8E" w:rsidP="00A91F8E">
      <w:pPr>
        <w:jc w:val="center"/>
        <w:rPr>
          <w:b/>
          <w:sz w:val="28"/>
          <w:szCs w:val="28"/>
          <w:lang w:eastAsia="en-US"/>
        </w:rPr>
      </w:pPr>
    </w:p>
    <w:p w:rsidR="00A91F8E" w:rsidRPr="00A91F8E" w:rsidRDefault="00A91F8E" w:rsidP="00A91F8E">
      <w:pPr>
        <w:jc w:val="center"/>
        <w:rPr>
          <w:b/>
          <w:sz w:val="28"/>
          <w:szCs w:val="28"/>
          <w:lang w:eastAsia="en-US"/>
        </w:rPr>
      </w:pPr>
      <w:proofErr w:type="gramStart"/>
      <w:r w:rsidRPr="00A91F8E">
        <w:rPr>
          <w:b/>
          <w:sz w:val="28"/>
          <w:szCs w:val="28"/>
          <w:lang w:eastAsia="en-US"/>
        </w:rPr>
        <w:t>П</w:t>
      </w:r>
      <w:proofErr w:type="gramEnd"/>
      <w:r w:rsidRPr="00A91F8E">
        <w:rPr>
          <w:b/>
          <w:sz w:val="28"/>
          <w:szCs w:val="28"/>
          <w:lang w:eastAsia="en-US"/>
        </w:rPr>
        <w:t xml:space="preserve"> О С Т А Н О В Л Е Н И Е</w:t>
      </w:r>
    </w:p>
    <w:p w:rsidR="00A91F8E" w:rsidRPr="00A91F8E" w:rsidRDefault="00A91F8E" w:rsidP="00A91F8E">
      <w:pPr>
        <w:jc w:val="center"/>
        <w:rPr>
          <w:sz w:val="28"/>
          <w:szCs w:val="28"/>
          <w:lang w:eastAsia="en-US"/>
        </w:rPr>
      </w:pPr>
    </w:p>
    <w:p w:rsidR="00A91F8E" w:rsidRPr="00A91F8E" w:rsidRDefault="00A91F8E" w:rsidP="00A91F8E">
      <w:pPr>
        <w:rPr>
          <w:sz w:val="28"/>
          <w:szCs w:val="28"/>
          <w:lang w:eastAsia="en-US"/>
        </w:rPr>
      </w:pPr>
      <w:r w:rsidRPr="00A91F8E">
        <w:rPr>
          <w:sz w:val="28"/>
          <w:szCs w:val="28"/>
          <w:lang w:eastAsia="en-US"/>
        </w:rPr>
        <w:t xml:space="preserve">от </w:t>
      </w:r>
      <w:r w:rsidR="00A47A9A">
        <w:rPr>
          <w:sz w:val="28"/>
          <w:szCs w:val="28"/>
          <w:lang w:eastAsia="en-US"/>
        </w:rPr>
        <w:t>30.01.2017</w:t>
      </w:r>
      <w:r w:rsidRPr="00A91F8E">
        <w:rPr>
          <w:sz w:val="28"/>
          <w:szCs w:val="28"/>
          <w:lang w:eastAsia="en-US"/>
        </w:rPr>
        <w:t xml:space="preserve">                             </w:t>
      </w:r>
      <w:r w:rsidRPr="00A91F8E">
        <w:rPr>
          <w:sz w:val="28"/>
          <w:szCs w:val="28"/>
          <w:lang w:eastAsia="en-US"/>
        </w:rPr>
        <w:tab/>
      </w:r>
      <w:r w:rsidRPr="00A91F8E">
        <w:rPr>
          <w:sz w:val="28"/>
          <w:szCs w:val="28"/>
          <w:lang w:eastAsia="en-US"/>
        </w:rPr>
        <w:tab/>
      </w:r>
      <w:r w:rsidRPr="00A91F8E">
        <w:rPr>
          <w:sz w:val="28"/>
          <w:szCs w:val="28"/>
          <w:lang w:eastAsia="en-US"/>
        </w:rPr>
        <w:tab/>
        <w:t xml:space="preserve">                                   </w:t>
      </w:r>
      <w:r w:rsidR="00A47A9A">
        <w:rPr>
          <w:sz w:val="28"/>
          <w:szCs w:val="28"/>
          <w:lang w:eastAsia="en-US"/>
        </w:rPr>
        <w:t xml:space="preserve">    </w:t>
      </w:r>
      <w:r w:rsidRPr="00A91F8E">
        <w:rPr>
          <w:sz w:val="28"/>
          <w:szCs w:val="28"/>
          <w:lang w:eastAsia="en-US"/>
        </w:rPr>
        <w:t xml:space="preserve">№ </w:t>
      </w:r>
      <w:r w:rsidR="00A47A9A">
        <w:rPr>
          <w:sz w:val="28"/>
          <w:szCs w:val="28"/>
          <w:lang w:eastAsia="en-US"/>
        </w:rPr>
        <w:t>26</w:t>
      </w:r>
    </w:p>
    <w:p w:rsidR="00A91F8E" w:rsidRPr="00A91F8E" w:rsidRDefault="00A91F8E" w:rsidP="00A91F8E">
      <w:pPr>
        <w:rPr>
          <w:i/>
          <w:sz w:val="24"/>
          <w:szCs w:val="24"/>
          <w:lang w:eastAsia="en-US"/>
        </w:rPr>
      </w:pPr>
      <w:r w:rsidRPr="00A91F8E">
        <w:rPr>
          <w:i/>
          <w:sz w:val="24"/>
          <w:szCs w:val="24"/>
          <w:lang w:eastAsia="en-US"/>
        </w:rPr>
        <w:t>г. Ханты-Мансийск</w:t>
      </w:r>
    </w:p>
    <w:p w:rsidR="00445CF2" w:rsidRDefault="00445CF2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О мерах по реализации решения</w:t>
      </w: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D605A3" w:rsidRPr="00D37A48" w:rsidRDefault="00D605A3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7A48">
        <w:rPr>
          <w:rFonts w:ascii="Times New Roman" w:hAnsi="Times New Roman"/>
          <w:sz w:val="28"/>
          <w:szCs w:val="28"/>
        </w:rPr>
        <w:t xml:space="preserve">от </w:t>
      </w:r>
      <w:r w:rsidR="009A213C">
        <w:rPr>
          <w:rFonts w:ascii="Times New Roman" w:hAnsi="Times New Roman"/>
          <w:sz w:val="28"/>
          <w:szCs w:val="28"/>
        </w:rPr>
        <w:t>22</w:t>
      </w:r>
      <w:r w:rsidRPr="00D37A48">
        <w:rPr>
          <w:rFonts w:ascii="Times New Roman" w:hAnsi="Times New Roman"/>
          <w:sz w:val="28"/>
          <w:szCs w:val="28"/>
        </w:rPr>
        <w:t xml:space="preserve"> декабря 201</w:t>
      </w:r>
      <w:r w:rsidR="009A213C">
        <w:rPr>
          <w:rFonts w:ascii="Times New Roman" w:hAnsi="Times New Roman"/>
          <w:sz w:val="28"/>
          <w:szCs w:val="28"/>
        </w:rPr>
        <w:t>6</w:t>
      </w:r>
      <w:r w:rsidRPr="00D37A48">
        <w:rPr>
          <w:rFonts w:ascii="Times New Roman" w:hAnsi="Times New Roman"/>
          <w:sz w:val="28"/>
          <w:szCs w:val="28"/>
        </w:rPr>
        <w:t xml:space="preserve"> года № </w:t>
      </w:r>
      <w:r w:rsidR="009A213C">
        <w:rPr>
          <w:rFonts w:ascii="Times New Roman" w:hAnsi="Times New Roman"/>
          <w:sz w:val="28"/>
          <w:szCs w:val="28"/>
        </w:rPr>
        <w:t>42</w:t>
      </w:r>
    </w:p>
    <w:p w:rsidR="009A213C" w:rsidRPr="00F92F15" w:rsidRDefault="009A213C" w:rsidP="009A21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«О бюджете Ханты-Мансийского</w:t>
      </w:r>
    </w:p>
    <w:p w:rsidR="009A213C" w:rsidRPr="00F92F15" w:rsidRDefault="009A213C" w:rsidP="009A21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района на 2017 год и плановый</w:t>
      </w:r>
    </w:p>
    <w:p w:rsidR="009A213C" w:rsidRPr="00F92F15" w:rsidRDefault="009A213C" w:rsidP="009A213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F15">
        <w:rPr>
          <w:rFonts w:ascii="Times New Roman" w:hAnsi="Times New Roman"/>
          <w:sz w:val="28"/>
          <w:szCs w:val="28"/>
        </w:rPr>
        <w:t>период 2018 и 2019 годов»</w:t>
      </w:r>
    </w:p>
    <w:p w:rsidR="00DE3770" w:rsidRPr="00D37A48" w:rsidRDefault="00DE3770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3770" w:rsidRPr="00042C67" w:rsidRDefault="00205BC6" w:rsidP="00042C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42C67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10" w:history="1">
        <w:r w:rsidRPr="00042C67">
          <w:rPr>
            <w:rFonts w:ascii="Times New Roman" w:hAnsi="Times New Roman"/>
            <w:sz w:val="28"/>
            <w:szCs w:val="28"/>
          </w:rPr>
          <w:t>решения</w:t>
        </w:r>
      </w:hyperlink>
      <w:r w:rsidRPr="00042C67">
        <w:rPr>
          <w:rFonts w:ascii="Times New Roman" w:hAnsi="Times New Roman"/>
          <w:sz w:val="28"/>
          <w:szCs w:val="28"/>
        </w:rPr>
        <w:t xml:space="preserve"> Дум</w:t>
      </w:r>
      <w:r w:rsidR="00A066D5" w:rsidRPr="00042C67">
        <w:rPr>
          <w:rFonts w:ascii="Times New Roman" w:hAnsi="Times New Roman"/>
          <w:sz w:val="28"/>
          <w:szCs w:val="28"/>
        </w:rPr>
        <w:t xml:space="preserve">ы Ханты-Мансийского района </w:t>
      </w:r>
      <w:r w:rsidR="00042C67" w:rsidRPr="00042C67">
        <w:rPr>
          <w:rFonts w:ascii="Times New Roman" w:hAnsi="Times New Roman"/>
          <w:sz w:val="28"/>
          <w:szCs w:val="28"/>
        </w:rPr>
        <w:t xml:space="preserve">                </w:t>
      </w:r>
      <w:r w:rsidR="00E15E2D" w:rsidRPr="00042C67">
        <w:rPr>
          <w:rFonts w:ascii="Times New Roman" w:hAnsi="Times New Roman"/>
          <w:sz w:val="28"/>
          <w:szCs w:val="28"/>
        </w:rPr>
        <w:t xml:space="preserve">от </w:t>
      </w:r>
      <w:r w:rsidR="00042C67" w:rsidRPr="00042C67">
        <w:rPr>
          <w:rFonts w:ascii="Times New Roman" w:hAnsi="Times New Roman"/>
          <w:sz w:val="28"/>
          <w:szCs w:val="28"/>
        </w:rPr>
        <w:t>22</w:t>
      </w:r>
      <w:r w:rsidRPr="00042C67">
        <w:rPr>
          <w:rFonts w:ascii="Times New Roman" w:hAnsi="Times New Roman"/>
          <w:sz w:val="28"/>
          <w:szCs w:val="28"/>
        </w:rPr>
        <w:t xml:space="preserve"> </w:t>
      </w:r>
      <w:r w:rsidR="00E15E2D" w:rsidRPr="00042C67">
        <w:rPr>
          <w:rFonts w:ascii="Times New Roman" w:hAnsi="Times New Roman"/>
          <w:sz w:val="28"/>
          <w:szCs w:val="28"/>
        </w:rPr>
        <w:t>дека</w:t>
      </w:r>
      <w:r w:rsidR="00A066D5" w:rsidRPr="00042C67">
        <w:rPr>
          <w:rFonts w:ascii="Times New Roman" w:hAnsi="Times New Roman"/>
          <w:sz w:val="28"/>
          <w:szCs w:val="28"/>
        </w:rPr>
        <w:t xml:space="preserve">бря </w:t>
      </w:r>
      <w:r w:rsidRPr="00042C67">
        <w:rPr>
          <w:rFonts w:ascii="Times New Roman" w:hAnsi="Times New Roman"/>
          <w:sz w:val="28"/>
          <w:szCs w:val="28"/>
        </w:rPr>
        <w:t>201</w:t>
      </w:r>
      <w:r w:rsidR="00042C67" w:rsidRPr="00042C67">
        <w:rPr>
          <w:rFonts w:ascii="Times New Roman" w:hAnsi="Times New Roman"/>
          <w:sz w:val="28"/>
          <w:szCs w:val="28"/>
        </w:rPr>
        <w:t>6</w:t>
      </w:r>
      <w:r w:rsidRPr="00042C67">
        <w:rPr>
          <w:rFonts w:ascii="Times New Roman" w:hAnsi="Times New Roman"/>
          <w:sz w:val="28"/>
          <w:szCs w:val="28"/>
        </w:rPr>
        <w:t xml:space="preserve"> года </w:t>
      </w:r>
      <w:r w:rsidR="00A066D5" w:rsidRPr="00042C67">
        <w:rPr>
          <w:rFonts w:ascii="Times New Roman" w:hAnsi="Times New Roman"/>
          <w:sz w:val="28"/>
          <w:szCs w:val="28"/>
        </w:rPr>
        <w:t>№</w:t>
      </w:r>
      <w:r w:rsidR="00035112" w:rsidRPr="00042C67">
        <w:rPr>
          <w:rFonts w:ascii="Times New Roman" w:hAnsi="Times New Roman"/>
          <w:sz w:val="28"/>
          <w:szCs w:val="28"/>
        </w:rPr>
        <w:t xml:space="preserve"> </w:t>
      </w:r>
      <w:r w:rsidR="00042C67" w:rsidRPr="00042C67">
        <w:rPr>
          <w:rFonts w:ascii="Times New Roman" w:hAnsi="Times New Roman"/>
          <w:sz w:val="28"/>
          <w:szCs w:val="28"/>
        </w:rPr>
        <w:t>42</w:t>
      </w:r>
      <w:r w:rsidR="00A066D5" w:rsidRPr="00042C67">
        <w:rPr>
          <w:rFonts w:ascii="Times New Roman" w:hAnsi="Times New Roman"/>
          <w:sz w:val="28"/>
          <w:szCs w:val="28"/>
        </w:rPr>
        <w:t xml:space="preserve"> </w:t>
      </w:r>
      <w:r w:rsidR="00577552" w:rsidRPr="00042C67">
        <w:rPr>
          <w:rFonts w:ascii="Times New Roman" w:hAnsi="Times New Roman"/>
          <w:sz w:val="28"/>
          <w:szCs w:val="28"/>
        </w:rPr>
        <w:t>«</w:t>
      </w:r>
      <w:r w:rsidRPr="00042C67">
        <w:rPr>
          <w:rFonts w:ascii="Times New Roman" w:hAnsi="Times New Roman"/>
          <w:sz w:val="28"/>
          <w:szCs w:val="28"/>
        </w:rPr>
        <w:t xml:space="preserve">О бюджете </w:t>
      </w:r>
      <w:r w:rsidR="00A066D5" w:rsidRPr="00042C67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42C67" w:rsidRPr="00042C67">
        <w:rPr>
          <w:rFonts w:ascii="Times New Roman" w:hAnsi="Times New Roman"/>
          <w:sz w:val="28"/>
          <w:szCs w:val="28"/>
        </w:rPr>
        <w:t>на 2017 год и плановый период 2018 и 2019 годов</w:t>
      </w:r>
      <w:r w:rsidR="00577552" w:rsidRPr="00042C67">
        <w:rPr>
          <w:rFonts w:ascii="Times New Roman" w:hAnsi="Times New Roman"/>
          <w:sz w:val="28"/>
          <w:szCs w:val="28"/>
        </w:rPr>
        <w:t>»</w:t>
      </w:r>
      <w:r w:rsidR="00D605A3" w:rsidRPr="00042C67">
        <w:rPr>
          <w:rFonts w:ascii="Times New Roman" w:hAnsi="Times New Roman"/>
          <w:sz w:val="28"/>
          <w:szCs w:val="28"/>
        </w:rPr>
        <w:t>:</w:t>
      </w:r>
    </w:p>
    <w:p w:rsidR="00DE3770" w:rsidRPr="00D67FF0" w:rsidRDefault="00DE3770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03A" w:rsidRPr="00D67FF0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67FF0">
        <w:rPr>
          <w:rFonts w:ascii="Times New Roman" w:hAnsi="Times New Roman"/>
          <w:sz w:val="28"/>
          <w:szCs w:val="28"/>
        </w:rPr>
        <w:t xml:space="preserve">1. </w:t>
      </w:r>
      <w:r w:rsidR="00205BC6" w:rsidRPr="00D67FF0">
        <w:rPr>
          <w:rFonts w:ascii="Times New Roman" w:hAnsi="Times New Roman"/>
          <w:sz w:val="28"/>
          <w:szCs w:val="28"/>
        </w:rPr>
        <w:t>Принять</w:t>
      </w:r>
      <w:r w:rsidR="00DE3770" w:rsidRPr="00D67FF0">
        <w:rPr>
          <w:rFonts w:ascii="Times New Roman" w:hAnsi="Times New Roman"/>
          <w:sz w:val="28"/>
          <w:szCs w:val="28"/>
        </w:rPr>
        <w:t xml:space="preserve"> </w:t>
      </w:r>
      <w:r w:rsidR="00205BC6" w:rsidRPr="00D67FF0">
        <w:rPr>
          <w:rFonts w:ascii="Times New Roman" w:hAnsi="Times New Roman"/>
          <w:sz w:val="28"/>
          <w:szCs w:val="28"/>
        </w:rPr>
        <w:t>к</w:t>
      </w:r>
      <w:r w:rsidR="00DE3770" w:rsidRPr="00D67FF0">
        <w:rPr>
          <w:rFonts w:ascii="Times New Roman" w:hAnsi="Times New Roman"/>
          <w:sz w:val="28"/>
          <w:szCs w:val="28"/>
        </w:rPr>
        <w:t xml:space="preserve"> </w:t>
      </w:r>
      <w:r w:rsidR="00205BC6" w:rsidRPr="00D67FF0">
        <w:rPr>
          <w:rFonts w:ascii="Times New Roman" w:hAnsi="Times New Roman"/>
          <w:sz w:val="28"/>
          <w:szCs w:val="28"/>
        </w:rPr>
        <w:t xml:space="preserve">исполнению </w:t>
      </w:r>
      <w:r w:rsidR="00F51A8F">
        <w:fldChar w:fldCharType="begin"/>
      </w:r>
      <w:r w:rsidR="00F51A8F">
        <w:instrText xml:space="preserve"> HYPERLINK "consultantplus://offline/ref=2C69E2858C4C65B810ED2DD260DC98D06A181F9BE8B6DEC0FD4CE36A5D4DB6F555XBJ" </w:instrText>
      </w:r>
      <w:r w:rsidR="00F51A8F">
        <w:fldChar w:fldCharType="separate"/>
      </w:r>
      <w:r w:rsidR="00205BC6" w:rsidRPr="00D67FF0">
        <w:rPr>
          <w:rFonts w:ascii="Times New Roman" w:hAnsi="Times New Roman"/>
          <w:sz w:val="28"/>
          <w:szCs w:val="28"/>
        </w:rPr>
        <w:t>бюджет</w:t>
      </w:r>
      <w:r w:rsidR="00F51A8F">
        <w:rPr>
          <w:rFonts w:ascii="Times New Roman" w:hAnsi="Times New Roman"/>
          <w:sz w:val="28"/>
          <w:szCs w:val="28"/>
        </w:rPr>
        <w:fldChar w:fldCharType="end"/>
      </w:r>
      <w:r w:rsidR="00205BC6" w:rsidRPr="00D67FF0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DE3770" w:rsidRPr="00D67FF0">
        <w:rPr>
          <w:rFonts w:ascii="Times New Roman" w:hAnsi="Times New Roman"/>
          <w:sz w:val="28"/>
          <w:szCs w:val="28"/>
        </w:rPr>
        <w:t xml:space="preserve"> </w:t>
      </w:r>
      <w:r w:rsidR="00205BC6" w:rsidRPr="00D67FF0">
        <w:rPr>
          <w:rFonts w:ascii="Times New Roman" w:hAnsi="Times New Roman"/>
          <w:sz w:val="28"/>
          <w:szCs w:val="28"/>
        </w:rPr>
        <w:t xml:space="preserve">района </w:t>
      </w:r>
      <w:r w:rsidR="009E0BBD" w:rsidRPr="00D67FF0">
        <w:rPr>
          <w:rFonts w:ascii="Times New Roman" w:hAnsi="Times New Roman"/>
          <w:sz w:val="28"/>
          <w:szCs w:val="28"/>
        </w:rPr>
        <w:t xml:space="preserve">                 </w:t>
      </w:r>
      <w:r w:rsidR="00B36978" w:rsidRPr="00D67FF0">
        <w:rPr>
          <w:rFonts w:ascii="Times New Roman" w:hAnsi="Times New Roman"/>
          <w:sz w:val="28"/>
          <w:szCs w:val="28"/>
        </w:rPr>
        <w:t>на 2017 год и плановый период 2018 и 2019 годов</w:t>
      </w:r>
      <w:r w:rsidR="00205BC6" w:rsidRPr="00D67FF0">
        <w:rPr>
          <w:rFonts w:ascii="Times New Roman" w:hAnsi="Times New Roman"/>
          <w:sz w:val="28"/>
          <w:szCs w:val="28"/>
        </w:rPr>
        <w:t xml:space="preserve"> (далее </w:t>
      </w:r>
      <w:r w:rsidR="00DE3770" w:rsidRPr="00D67FF0">
        <w:rPr>
          <w:rFonts w:ascii="Times New Roman" w:hAnsi="Times New Roman"/>
          <w:sz w:val="28"/>
          <w:szCs w:val="28"/>
        </w:rPr>
        <w:t>–</w:t>
      </w:r>
      <w:r w:rsidR="00205BC6" w:rsidRPr="00D67FF0">
        <w:rPr>
          <w:rFonts w:ascii="Times New Roman" w:hAnsi="Times New Roman"/>
          <w:sz w:val="28"/>
          <w:szCs w:val="28"/>
        </w:rPr>
        <w:t xml:space="preserve"> бюджет района).</w:t>
      </w:r>
    </w:p>
    <w:p w:rsidR="007A703A" w:rsidRPr="00920C05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67FF0">
        <w:rPr>
          <w:rFonts w:ascii="Times New Roman" w:hAnsi="Times New Roman"/>
          <w:sz w:val="28"/>
          <w:szCs w:val="28"/>
        </w:rPr>
        <w:t xml:space="preserve">2. </w:t>
      </w:r>
      <w:r w:rsidR="00107E9E" w:rsidRPr="00D67FF0">
        <w:rPr>
          <w:rFonts w:ascii="Times New Roman" w:hAnsi="Times New Roman"/>
          <w:sz w:val="28"/>
          <w:szCs w:val="28"/>
        </w:rPr>
        <w:t>Утвердить план мероприятий по росту доходов</w:t>
      </w:r>
      <w:r w:rsidR="00A21A0E" w:rsidRPr="00D67FF0">
        <w:rPr>
          <w:rFonts w:ascii="Times New Roman" w:hAnsi="Times New Roman"/>
          <w:sz w:val="28"/>
          <w:szCs w:val="28"/>
        </w:rPr>
        <w:t>,</w:t>
      </w:r>
      <w:r w:rsidR="00107E9E" w:rsidRPr="00D67FF0">
        <w:rPr>
          <w:rFonts w:ascii="Times New Roman" w:hAnsi="Times New Roman"/>
          <w:sz w:val="28"/>
          <w:szCs w:val="28"/>
        </w:rPr>
        <w:t xml:space="preserve"> оптимизации расходов бюджета </w:t>
      </w:r>
      <w:r w:rsidR="00A21A0E" w:rsidRPr="00D67FF0">
        <w:rPr>
          <w:rFonts w:ascii="Times New Roman" w:hAnsi="Times New Roman"/>
          <w:sz w:val="28"/>
          <w:szCs w:val="28"/>
        </w:rPr>
        <w:t xml:space="preserve">и сокращению </w:t>
      </w:r>
      <w:r w:rsidR="00952AB5" w:rsidRPr="00D67FF0">
        <w:rPr>
          <w:rFonts w:ascii="Times New Roman" w:hAnsi="Times New Roman"/>
          <w:sz w:val="28"/>
          <w:szCs w:val="28"/>
        </w:rPr>
        <w:t>муниципального</w:t>
      </w:r>
      <w:r w:rsidR="00A21A0E" w:rsidRPr="00D67FF0">
        <w:rPr>
          <w:rFonts w:ascii="Times New Roman" w:hAnsi="Times New Roman"/>
          <w:sz w:val="28"/>
          <w:szCs w:val="28"/>
        </w:rPr>
        <w:t xml:space="preserve"> долга </w:t>
      </w:r>
      <w:r w:rsidR="00107E9E" w:rsidRPr="00D67FF0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EF2C34" w:rsidRPr="00D67FF0">
        <w:rPr>
          <w:rFonts w:ascii="Times New Roman" w:hAnsi="Times New Roman"/>
          <w:sz w:val="28"/>
          <w:szCs w:val="28"/>
        </w:rPr>
        <w:t>района</w:t>
      </w:r>
      <w:r w:rsidR="00577552" w:rsidRPr="00D67FF0">
        <w:rPr>
          <w:rFonts w:ascii="Times New Roman" w:hAnsi="Times New Roman"/>
          <w:sz w:val="28"/>
          <w:szCs w:val="28"/>
        </w:rPr>
        <w:t xml:space="preserve"> (далее также</w:t>
      </w:r>
      <w:r w:rsidR="00EF2C34" w:rsidRPr="00D67FF0">
        <w:rPr>
          <w:rFonts w:ascii="Times New Roman" w:hAnsi="Times New Roman"/>
          <w:sz w:val="28"/>
          <w:szCs w:val="28"/>
        </w:rPr>
        <w:t xml:space="preserve"> </w:t>
      </w:r>
      <w:r w:rsidR="00577552" w:rsidRPr="00D67FF0">
        <w:rPr>
          <w:rFonts w:ascii="Times New Roman" w:hAnsi="Times New Roman"/>
          <w:sz w:val="28"/>
          <w:szCs w:val="28"/>
        </w:rPr>
        <w:t>–</w:t>
      </w:r>
      <w:r w:rsidR="00EF2C34" w:rsidRPr="00D67FF0">
        <w:rPr>
          <w:rFonts w:ascii="Times New Roman" w:hAnsi="Times New Roman"/>
          <w:sz w:val="28"/>
          <w:szCs w:val="28"/>
        </w:rPr>
        <w:t xml:space="preserve"> район</w:t>
      </w:r>
      <w:r w:rsidR="00107E9E" w:rsidRPr="00D67FF0">
        <w:rPr>
          <w:rFonts w:ascii="Times New Roman" w:hAnsi="Times New Roman"/>
          <w:sz w:val="28"/>
          <w:szCs w:val="28"/>
        </w:rPr>
        <w:t>)</w:t>
      </w:r>
      <w:r w:rsidR="00577552" w:rsidRPr="00D67FF0">
        <w:rPr>
          <w:rFonts w:ascii="Times New Roman" w:hAnsi="Times New Roman"/>
          <w:sz w:val="28"/>
          <w:szCs w:val="28"/>
        </w:rPr>
        <w:t xml:space="preserve"> </w:t>
      </w:r>
      <w:r w:rsidR="00D67FF0" w:rsidRPr="00D67FF0">
        <w:rPr>
          <w:rFonts w:ascii="Times New Roman" w:hAnsi="Times New Roman"/>
          <w:sz w:val="28"/>
          <w:szCs w:val="28"/>
        </w:rPr>
        <w:t>на 2017 год и плановый период 2018 и 2019 годов</w:t>
      </w:r>
      <w:r w:rsidR="00107E9E" w:rsidRPr="00D67FF0">
        <w:rPr>
          <w:rFonts w:ascii="Times New Roman" w:hAnsi="Times New Roman"/>
          <w:sz w:val="28"/>
          <w:szCs w:val="28"/>
        </w:rPr>
        <w:t xml:space="preserve"> </w:t>
      </w:r>
      <w:r w:rsidRPr="00920C05">
        <w:rPr>
          <w:rFonts w:ascii="Times New Roman" w:hAnsi="Times New Roman"/>
          <w:sz w:val="28"/>
          <w:szCs w:val="28"/>
        </w:rPr>
        <w:t>(далее – План мероприятий</w:t>
      </w:r>
      <w:r w:rsidR="001C54C4" w:rsidRPr="00920C05">
        <w:rPr>
          <w:rFonts w:ascii="Times New Roman" w:hAnsi="Times New Roman"/>
          <w:sz w:val="28"/>
          <w:szCs w:val="28"/>
        </w:rPr>
        <w:t>)</w:t>
      </w:r>
      <w:r w:rsidRPr="00920C0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A214A" w:rsidRPr="00920C05">
        <w:rPr>
          <w:rFonts w:ascii="Times New Roman" w:hAnsi="Times New Roman"/>
          <w:sz w:val="28"/>
          <w:szCs w:val="28"/>
        </w:rPr>
        <w:t>.</w:t>
      </w:r>
    </w:p>
    <w:p w:rsidR="00426CDB" w:rsidRPr="00920C05" w:rsidRDefault="00D605A3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0C05">
        <w:rPr>
          <w:rFonts w:ascii="Times New Roman" w:hAnsi="Times New Roman"/>
          <w:sz w:val="28"/>
          <w:szCs w:val="28"/>
        </w:rPr>
        <w:t xml:space="preserve">3. </w:t>
      </w:r>
      <w:r w:rsidR="007F0B1A" w:rsidRPr="00920C05">
        <w:rPr>
          <w:rFonts w:ascii="Times New Roman" w:hAnsi="Times New Roman"/>
          <w:sz w:val="28"/>
          <w:szCs w:val="28"/>
        </w:rPr>
        <w:t>Органам местного самоуправления Ханты-М</w:t>
      </w:r>
      <w:r w:rsidR="00ED6F61" w:rsidRPr="00920C05">
        <w:rPr>
          <w:rFonts w:ascii="Times New Roman" w:hAnsi="Times New Roman"/>
          <w:sz w:val="28"/>
          <w:szCs w:val="28"/>
        </w:rPr>
        <w:t>ансийского района ежеквартально</w:t>
      </w:r>
      <w:r w:rsidR="007F0B1A" w:rsidRPr="00920C05">
        <w:rPr>
          <w:rFonts w:ascii="Times New Roman" w:hAnsi="Times New Roman"/>
          <w:sz w:val="28"/>
          <w:szCs w:val="28"/>
        </w:rPr>
        <w:t xml:space="preserve"> до </w:t>
      </w:r>
      <w:r w:rsidR="00920C05" w:rsidRPr="00920C05">
        <w:rPr>
          <w:rFonts w:ascii="Times New Roman" w:hAnsi="Times New Roman"/>
          <w:sz w:val="28"/>
          <w:szCs w:val="28"/>
        </w:rPr>
        <w:t>3</w:t>
      </w:r>
      <w:r w:rsidR="007F0B1A" w:rsidRPr="00920C05">
        <w:rPr>
          <w:rFonts w:ascii="Times New Roman" w:hAnsi="Times New Roman"/>
          <w:sz w:val="28"/>
          <w:szCs w:val="28"/>
        </w:rPr>
        <w:t xml:space="preserve"> </w:t>
      </w:r>
      <w:r w:rsidR="00ED6F61" w:rsidRPr="00920C05">
        <w:rPr>
          <w:rFonts w:ascii="Times New Roman" w:hAnsi="Times New Roman"/>
          <w:sz w:val="28"/>
          <w:szCs w:val="28"/>
        </w:rPr>
        <w:t>числа месяца, следующего за отче</w:t>
      </w:r>
      <w:r w:rsidR="007F0B1A" w:rsidRPr="00920C05">
        <w:rPr>
          <w:rFonts w:ascii="Times New Roman" w:hAnsi="Times New Roman"/>
          <w:sz w:val="28"/>
          <w:szCs w:val="28"/>
        </w:rPr>
        <w:t>тным кварталом, представлять в комитет по финансам</w:t>
      </w:r>
      <w:r w:rsidR="00DD7E65" w:rsidRPr="00920C05">
        <w:rPr>
          <w:rFonts w:ascii="Times New Roman" w:hAnsi="Times New Roman"/>
          <w:sz w:val="28"/>
          <w:szCs w:val="28"/>
        </w:rPr>
        <w:t xml:space="preserve"> </w:t>
      </w:r>
      <w:r w:rsidRPr="00920C05">
        <w:rPr>
          <w:rFonts w:ascii="Times New Roman" w:hAnsi="Times New Roman"/>
          <w:sz w:val="28"/>
          <w:szCs w:val="28"/>
        </w:rPr>
        <w:t xml:space="preserve">администрации </w:t>
      </w:r>
      <w:r w:rsidR="00DD7E65" w:rsidRPr="00920C05">
        <w:rPr>
          <w:rFonts w:ascii="Times New Roman" w:hAnsi="Times New Roman"/>
          <w:sz w:val="28"/>
          <w:szCs w:val="28"/>
        </w:rPr>
        <w:t>Ханты-</w:t>
      </w:r>
      <w:r w:rsidR="009B19FB" w:rsidRPr="00920C05">
        <w:rPr>
          <w:rFonts w:ascii="Times New Roman" w:hAnsi="Times New Roman"/>
          <w:sz w:val="28"/>
          <w:szCs w:val="28"/>
        </w:rPr>
        <w:t>М</w:t>
      </w:r>
      <w:r w:rsidR="00DD7E65" w:rsidRPr="00920C05">
        <w:rPr>
          <w:rFonts w:ascii="Times New Roman" w:hAnsi="Times New Roman"/>
          <w:sz w:val="28"/>
          <w:szCs w:val="28"/>
        </w:rPr>
        <w:t>ансийского района</w:t>
      </w:r>
      <w:r w:rsidR="00A40F80" w:rsidRPr="00920C05">
        <w:rPr>
          <w:rFonts w:ascii="Times New Roman" w:hAnsi="Times New Roman"/>
          <w:sz w:val="28"/>
          <w:szCs w:val="28"/>
        </w:rPr>
        <w:t xml:space="preserve"> информацию о выполнении </w:t>
      </w:r>
      <w:r w:rsidRPr="00920C05">
        <w:rPr>
          <w:rFonts w:ascii="Times New Roman" w:hAnsi="Times New Roman"/>
          <w:sz w:val="28"/>
          <w:szCs w:val="28"/>
        </w:rPr>
        <w:t>П</w:t>
      </w:r>
      <w:r w:rsidR="00A40F80" w:rsidRPr="00920C05">
        <w:rPr>
          <w:rFonts w:ascii="Times New Roman" w:hAnsi="Times New Roman"/>
          <w:sz w:val="28"/>
          <w:szCs w:val="28"/>
        </w:rPr>
        <w:t xml:space="preserve">лана мероприятий </w:t>
      </w:r>
      <w:r w:rsidR="00521541" w:rsidRPr="00920C05">
        <w:rPr>
          <w:rFonts w:ascii="Times New Roman" w:hAnsi="Times New Roman"/>
          <w:sz w:val="28"/>
          <w:szCs w:val="28"/>
        </w:rPr>
        <w:t xml:space="preserve">в соответствии </w:t>
      </w:r>
      <w:r w:rsidRPr="00920C05">
        <w:rPr>
          <w:rFonts w:ascii="Times New Roman" w:hAnsi="Times New Roman"/>
          <w:sz w:val="28"/>
          <w:szCs w:val="28"/>
        </w:rPr>
        <w:t xml:space="preserve">             </w:t>
      </w:r>
      <w:r w:rsidR="00521541" w:rsidRPr="00920C05">
        <w:rPr>
          <w:rFonts w:ascii="Times New Roman" w:hAnsi="Times New Roman"/>
          <w:sz w:val="28"/>
          <w:szCs w:val="28"/>
        </w:rPr>
        <w:t>с приложением к настоящему постановлению.</w:t>
      </w:r>
    </w:p>
    <w:p w:rsidR="00801BDD" w:rsidRDefault="00D605A3" w:rsidP="00801B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20C05">
        <w:rPr>
          <w:rFonts w:ascii="Times New Roman" w:hAnsi="Times New Roman"/>
          <w:sz w:val="28"/>
          <w:szCs w:val="28"/>
        </w:rPr>
        <w:t>4. Главным администраторам</w:t>
      </w:r>
      <w:r w:rsidRPr="00E91A72">
        <w:rPr>
          <w:rFonts w:ascii="Times New Roman" w:hAnsi="Times New Roman"/>
          <w:sz w:val="28"/>
          <w:szCs w:val="28"/>
        </w:rPr>
        <w:t xml:space="preserve"> доходов бюджета района в</w:t>
      </w:r>
      <w:r w:rsidR="00DE3770" w:rsidRPr="00E91A72">
        <w:rPr>
          <w:rFonts w:ascii="Times New Roman" w:hAnsi="Times New Roman"/>
          <w:sz w:val="28"/>
          <w:szCs w:val="28"/>
        </w:rPr>
        <w:t xml:space="preserve"> </w:t>
      </w:r>
      <w:r w:rsidR="00205BC6" w:rsidRPr="00E91A72">
        <w:rPr>
          <w:rFonts w:ascii="Times New Roman" w:hAnsi="Times New Roman"/>
          <w:sz w:val="28"/>
          <w:szCs w:val="28"/>
        </w:rPr>
        <w:t>целях повышения уровня</w:t>
      </w:r>
      <w:r w:rsidR="00DE3770" w:rsidRPr="0065244A">
        <w:rPr>
          <w:rFonts w:ascii="Times New Roman" w:hAnsi="Times New Roman"/>
          <w:sz w:val="28"/>
          <w:szCs w:val="28"/>
        </w:rPr>
        <w:t xml:space="preserve"> </w:t>
      </w:r>
      <w:r w:rsidR="00205BC6" w:rsidRPr="0065244A">
        <w:rPr>
          <w:rFonts w:ascii="Times New Roman" w:hAnsi="Times New Roman"/>
          <w:sz w:val="28"/>
          <w:szCs w:val="28"/>
        </w:rPr>
        <w:t>администрирования</w:t>
      </w:r>
      <w:r w:rsidR="00DE3770" w:rsidRPr="0065244A">
        <w:rPr>
          <w:rFonts w:ascii="Times New Roman" w:hAnsi="Times New Roman"/>
          <w:sz w:val="28"/>
          <w:szCs w:val="28"/>
        </w:rPr>
        <w:t xml:space="preserve"> </w:t>
      </w:r>
      <w:r w:rsidR="00205BC6" w:rsidRPr="0065244A">
        <w:rPr>
          <w:rFonts w:ascii="Times New Roman" w:hAnsi="Times New Roman"/>
          <w:sz w:val="28"/>
          <w:szCs w:val="28"/>
        </w:rPr>
        <w:t>доходов</w:t>
      </w:r>
      <w:r w:rsidR="00D51B57" w:rsidRPr="0065244A">
        <w:rPr>
          <w:rFonts w:ascii="Times New Roman" w:hAnsi="Times New Roman"/>
          <w:sz w:val="28"/>
          <w:szCs w:val="28"/>
        </w:rPr>
        <w:t xml:space="preserve"> при исполнении бюджета района</w:t>
      </w:r>
      <w:r w:rsidR="00162B04" w:rsidRPr="0065244A">
        <w:rPr>
          <w:rFonts w:ascii="Times New Roman" w:hAnsi="Times New Roman"/>
          <w:sz w:val="28"/>
          <w:szCs w:val="28"/>
        </w:rPr>
        <w:t>, а также в целях оперативного формирования ожидаемой оценки поступления доходов в бюджет</w:t>
      </w:r>
      <w:r w:rsidR="00577552" w:rsidRPr="0065244A">
        <w:rPr>
          <w:rFonts w:ascii="Times New Roman" w:hAnsi="Times New Roman"/>
          <w:sz w:val="28"/>
          <w:szCs w:val="28"/>
        </w:rPr>
        <w:t xml:space="preserve"> района</w:t>
      </w:r>
      <w:r w:rsidR="002B755C" w:rsidRPr="0065244A">
        <w:rPr>
          <w:rFonts w:ascii="Times New Roman" w:hAnsi="Times New Roman"/>
          <w:sz w:val="28"/>
          <w:szCs w:val="28"/>
        </w:rPr>
        <w:t xml:space="preserve"> </w:t>
      </w:r>
      <w:r w:rsidR="00024239" w:rsidRPr="0065244A">
        <w:rPr>
          <w:rFonts w:ascii="Times New Roman" w:hAnsi="Times New Roman"/>
          <w:sz w:val="28"/>
          <w:szCs w:val="28"/>
        </w:rPr>
        <w:t>представлять в к</w:t>
      </w:r>
      <w:r w:rsidR="000D06D3" w:rsidRPr="0065244A">
        <w:rPr>
          <w:rFonts w:ascii="Times New Roman" w:hAnsi="Times New Roman"/>
          <w:sz w:val="28"/>
          <w:szCs w:val="28"/>
        </w:rPr>
        <w:t xml:space="preserve">омитет </w:t>
      </w:r>
      <w:r w:rsidRPr="0065244A">
        <w:rPr>
          <w:rFonts w:ascii="Times New Roman" w:hAnsi="Times New Roman"/>
          <w:sz w:val="28"/>
          <w:szCs w:val="28"/>
        </w:rPr>
        <w:t xml:space="preserve">                         </w:t>
      </w:r>
      <w:r w:rsidR="000D06D3" w:rsidRPr="0065244A">
        <w:rPr>
          <w:rFonts w:ascii="Times New Roman" w:hAnsi="Times New Roman"/>
          <w:sz w:val="28"/>
          <w:szCs w:val="28"/>
        </w:rPr>
        <w:t xml:space="preserve">по финансам </w:t>
      </w:r>
      <w:r w:rsidR="000D06D3" w:rsidRPr="006B1371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205BC6" w:rsidRPr="006B1371">
        <w:rPr>
          <w:rFonts w:ascii="Times New Roman" w:hAnsi="Times New Roman"/>
          <w:sz w:val="28"/>
          <w:szCs w:val="28"/>
        </w:rPr>
        <w:t>:</w:t>
      </w:r>
    </w:p>
    <w:p w:rsidR="00801BDD" w:rsidRDefault="00801BDD" w:rsidP="00801B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91F8E">
        <w:rPr>
          <w:rFonts w:ascii="Times New Roman" w:hAnsi="Times New Roman"/>
          <w:sz w:val="28"/>
          <w:szCs w:val="28"/>
        </w:rPr>
        <w:t>Е</w:t>
      </w:r>
      <w:r w:rsidR="00EA3FD5" w:rsidRPr="006B1371">
        <w:rPr>
          <w:rFonts w:ascii="Times New Roman" w:hAnsi="Times New Roman"/>
          <w:sz w:val="28"/>
          <w:szCs w:val="28"/>
        </w:rPr>
        <w:t>жемесячно до 15-го числа месяца, следующего за отчетным месяцем, ожидаемую оценку поступлений доходов в 201</w:t>
      </w:r>
      <w:r w:rsidR="006B1371" w:rsidRPr="006B1371">
        <w:rPr>
          <w:rFonts w:ascii="Times New Roman" w:hAnsi="Times New Roman"/>
          <w:sz w:val="28"/>
          <w:szCs w:val="28"/>
        </w:rPr>
        <w:t>7</w:t>
      </w:r>
      <w:r w:rsidR="00EA3FD5" w:rsidRPr="006B1371">
        <w:rPr>
          <w:rFonts w:ascii="Times New Roman" w:hAnsi="Times New Roman"/>
          <w:sz w:val="28"/>
          <w:szCs w:val="28"/>
        </w:rPr>
        <w:t xml:space="preserve"> году с разбивкой по месяцам с учетом фактического </w:t>
      </w:r>
      <w:r w:rsidR="001728BE" w:rsidRPr="006B1371">
        <w:rPr>
          <w:rFonts w:ascii="Times New Roman" w:hAnsi="Times New Roman"/>
          <w:sz w:val="28"/>
          <w:szCs w:val="28"/>
        </w:rPr>
        <w:t>поступления за истекший период</w:t>
      </w:r>
      <w:r w:rsidR="00173C5F">
        <w:rPr>
          <w:rFonts w:ascii="Times New Roman" w:hAnsi="Times New Roman"/>
          <w:sz w:val="28"/>
          <w:szCs w:val="28"/>
        </w:rPr>
        <w:t>.</w:t>
      </w:r>
    </w:p>
    <w:p w:rsidR="00801BDD" w:rsidRDefault="00801BDD" w:rsidP="00801B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gramStart"/>
      <w:r w:rsidR="00A91F8E">
        <w:rPr>
          <w:rFonts w:ascii="Times New Roman" w:hAnsi="Times New Roman"/>
          <w:sz w:val="28"/>
          <w:szCs w:val="28"/>
        </w:rPr>
        <w:t>Е</w:t>
      </w:r>
      <w:r w:rsidR="00EA3FD5" w:rsidRPr="00D44AD2">
        <w:rPr>
          <w:rFonts w:ascii="Times New Roman" w:hAnsi="Times New Roman"/>
          <w:sz w:val="28"/>
          <w:szCs w:val="28"/>
        </w:rPr>
        <w:t>жеквартально до 15-го числа месяца, следующего за отчетным кварталом, информацию</w:t>
      </w:r>
      <w:r w:rsidR="00FC00A3" w:rsidRPr="00D44AD2">
        <w:rPr>
          <w:rFonts w:ascii="Times New Roman" w:hAnsi="Times New Roman"/>
          <w:sz w:val="28"/>
          <w:szCs w:val="28"/>
        </w:rPr>
        <w:t xml:space="preserve"> </w:t>
      </w:r>
      <w:r w:rsidR="00EA3FD5" w:rsidRPr="00D44AD2">
        <w:rPr>
          <w:rFonts w:ascii="Times New Roman" w:hAnsi="Times New Roman"/>
          <w:sz w:val="28"/>
          <w:szCs w:val="28"/>
        </w:rPr>
        <w:t xml:space="preserve">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доходов, </w:t>
      </w:r>
      <w:r w:rsidR="006B1371" w:rsidRPr="00D44AD2">
        <w:rPr>
          <w:rFonts w:ascii="Times New Roman" w:hAnsi="Times New Roman"/>
          <w:sz w:val="28"/>
          <w:szCs w:val="28"/>
        </w:rPr>
        <w:t>администрируемых соответствующим главным администратором доходов</w:t>
      </w:r>
      <w:r w:rsidR="00173C5F">
        <w:rPr>
          <w:rFonts w:ascii="Times New Roman" w:hAnsi="Times New Roman"/>
          <w:sz w:val="28"/>
          <w:szCs w:val="28"/>
        </w:rPr>
        <w:t>.</w:t>
      </w:r>
      <w:proofErr w:type="gramEnd"/>
    </w:p>
    <w:p w:rsidR="00216387" w:rsidRPr="00D44AD2" w:rsidRDefault="00801BDD" w:rsidP="00801B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91F8E">
        <w:rPr>
          <w:rFonts w:ascii="Times New Roman" w:hAnsi="Times New Roman"/>
          <w:sz w:val="28"/>
          <w:szCs w:val="28"/>
        </w:rPr>
        <w:t>Е</w:t>
      </w:r>
      <w:r w:rsidR="00EA3FD5" w:rsidRPr="00D44AD2">
        <w:rPr>
          <w:rFonts w:ascii="Times New Roman" w:hAnsi="Times New Roman"/>
          <w:sz w:val="28"/>
          <w:szCs w:val="28"/>
        </w:rPr>
        <w:t>жегодно до 20-го числа месяца, следующего за отчетным финансовым годом, аналитическую информацию</w:t>
      </w:r>
      <w:r w:rsidR="00173C5F">
        <w:rPr>
          <w:rFonts w:ascii="Times New Roman" w:hAnsi="Times New Roman"/>
          <w:sz w:val="28"/>
          <w:szCs w:val="28"/>
        </w:rPr>
        <w:t>.</w:t>
      </w:r>
    </w:p>
    <w:p w:rsidR="00D44AD2" w:rsidRDefault="00A91F8E" w:rsidP="00D44AD2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3FD5" w:rsidRPr="006B1371">
        <w:rPr>
          <w:rFonts w:ascii="Times New Roman" w:hAnsi="Times New Roman"/>
          <w:sz w:val="28"/>
          <w:szCs w:val="28"/>
        </w:rPr>
        <w:t xml:space="preserve">б исполнении </w:t>
      </w:r>
      <w:r w:rsidR="001C11E1" w:rsidRPr="006B1371">
        <w:rPr>
          <w:rFonts w:ascii="Times New Roman" w:hAnsi="Times New Roman"/>
          <w:sz w:val="28"/>
          <w:szCs w:val="28"/>
        </w:rPr>
        <w:t xml:space="preserve">уточненного годового плана доходов </w:t>
      </w:r>
      <w:r w:rsidR="00EA3FD5" w:rsidRPr="006B1371">
        <w:rPr>
          <w:rFonts w:ascii="Times New Roman" w:hAnsi="Times New Roman"/>
          <w:sz w:val="28"/>
          <w:szCs w:val="28"/>
        </w:rPr>
        <w:t xml:space="preserve">по кодам бюджетной классификации доходов, </w:t>
      </w:r>
      <w:r w:rsidR="001C11E1" w:rsidRPr="006B1371">
        <w:rPr>
          <w:rFonts w:ascii="Times New Roman" w:hAnsi="Times New Roman"/>
          <w:sz w:val="28"/>
          <w:szCs w:val="28"/>
        </w:rPr>
        <w:t>администрируемых соответствующим главным администратором</w:t>
      </w:r>
      <w:r w:rsidR="00D229F5" w:rsidRPr="006B1371">
        <w:rPr>
          <w:rFonts w:ascii="Times New Roman" w:hAnsi="Times New Roman"/>
          <w:sz w:val="28"/>
          <w:szCs w:val="28"/>
        </w:rPr>
        <w:t>,</w:t>
      </w:r>
      <w:r w:rsidR="009E0BBD" w:rsidRPr="006B1371">
        <w:rPr>
          <w:rFonts w:ascii="Times New Roman" w:hAnsi="Times New Roman"/>
          <w:sz w:val="28"/>
          <w:szCs w:val="28"/>
        </w:rPr>
        <w:t xml:space="preserve"> </w:t>
      </w:r>
      <w:r w:rsidR="00EA3FD5" w:rsidRPr="006B1371">
        <w:rPr>
          <w:rFonts w:ascii="Times New Roman" w:hAnsi="Times New Roman"/>
          <w:sz w:val="28"/>
          <w:szCs w:val="28"/>
        </w:rPr>
        <w:t xml:space="preserve">с обоснованием причин возникших отклонений фактических </w:t>
      </w:r>
      <w:r w:rsidR="00EA3FD5" w:rsidRPr="004854D7">
        <w:rPr>
          <w:rFonts w:ascii="Times New Roman" w:hAnsi="Times New Roman"/>
          <w:sz w:val="28"/>
          <w:szCs w:val="28"/>
        </w:rPr>
        <w:t>поступлений от уточненного плана</w:t>
      </w:r>
      <w:r w:rsidR="00173C5F">
        <w:rPr>
          <w:rFonts w:ascii="Times New Roman" w:hAnsi="Times New Roman"/>
          <w:sz w:val="28"/>
          <w:szCs w:val="28"/>
        </w:rPr>
        <w:t>.</w:t>
      </w:r>
    </w:p>
    <w:p w:rsidR="00AA79E8" w:rsidRPr="00D44AD2" w:rsidRDefault="00A91F8E" w:rsidP="00D44AD2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EA3FD5" w:rsidRPr="00D44AD2">
        <w:rPr>
          <w:rFonts w:ascii="Times New Roman" w:hAnsi="Times New Roman"/>
          <w:sz w:val="28"/>
          <w:szCs w:val="28"/>
        </w:rPr>
        <w:t xml:space="preserve"> причинах отклонений фактического поступления доходов</w:t>
      </w:r>
      <w:r w:rsidR="00AE676D" w:rsidRPr="00D44AD2">
        <w:rPr>
          <w:rFonts w:ascii="Times New Roman" w:hAnsi="Times New Roman"/>
          <w:sz w:val="28"/>
          <w:szCs w:val="28"/>
        </w:rPr>
        <w:t xml:space="preserve"> </w:t>
      </w:r>
      <w:r w:rsidR="009E0BBD" w:rsidRPr="00D44AD2">
        <w:rPr>
          <w:rFonts w:ascii="Times New Roman" w:hAnsi="Times New Roman"/>
          <w:sz w:val="28"/>
          <w:szCs w:val="28"/>
        </w:rPr>
        <w:t xml:space="preserve">                        </w:t>
      </w:r>
      <w:r w:rsidR="00EA3FD5" w:rsidRPr="00D44AD2">
        <w:rPr>
          <w:rFonts w:ascii="Times New Roman" w:hAnsi="Times New Roman"/>
          <w:sz w:val="28"/>
          <w:szCs w:val="28"/>
        </w:rPr>
        <w:t xml:space="preserve">в отчетном финансовом году от фактического поступления доходов </w:t>
      </w:r>
      <w:r w:rsidR="009E0BBD" w:rsidRPr="00D44AD2">
        <w:rPr>
          <w:rFonts w:ascii="Times New Roman" w:hAnsi="Times New Roman"/>
          <w:sz w:val="28"/>
          <w:szCs w:val="28"/>
        </w:rPr>
        <w:t xml:space="preserve">                    </w:t>
      </w:r>
      <w:r w:rsidR="00EA3FD5" w:rsidRPr="00D44AD2">
        <w:rPr>
          <w:rFonts w:ascii="Times New Roman" w:hAnsi="Times New Roman"/>
          <w:sz w:val="28"/>
          <w:szCs w:val="28"/>
        </w:rPr>
        <w:t>в прошедшем финансовом году</w:t>
      </w:r>
      <w:r w:rsidR="001C11E1" w:rsidRPr="00D44AD2">
        <w:rPr>
          <w:rFonts w:ascii="Times New Roman" w:hAnsi="Times New Roman"/>
          <w:sz w:val="28"/>
          <w:szCs w:val="28"/>
        </w:rPr>
        <w:t xml:space="preserve"> по кодам бюджетной классификации доходов, администрируемых соответствующим главным администратором</w:t>
      </w:r>
      <w:r w:rsidR="00EA3FD5" w:rsidRPr="00D44AD2">
        <w:rPr>
          <w:rFonts w:ascii="Times New Roman" w:hAnsi="Times New Roman"/>
          <w:sz w:val="28"/>
          <w:szCs w:val="28"/>
        </w:rPr>
        <w:t>.</w:t>
      </w:r>
      <w:proofErr w:type="gramEnd"/>
    </w:p>
    <w:p w:rsidR="00DE3770" w:rsidRPr="002F7B8A" w:rsidRDefault="00216387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854D7">
        <w:rPr>
          <w:rFonts w:ascii="Times New Roman" w:hAnsi="Times New Roman"/>
          <w:sz w:val="28"/>
          <w:szCs w:val="28"/>
        </w:rPr>
        <w:t>5</w:t>
      </w:r>
      <w:r w:rsidRPr="002F7B8A">
        <w:rPr>
          <w:rFonts w:ascii="Times New Roman" w:hAnsi="Times New Roman"/>
          <w:sz w:val="28"/>
          <w:szCs w:val="28"/>
        </w:rPr>
        <w:t xml:space="preserve">. </w:t>
      </w:r>
      <w:r w:rsidR="00205BC6" w:rsidRPr="002F7B8A">
        <w:rPr>
          <w:rFonts w:ascii="Times New Roman" w:hAnsi="Times New Roman"/>
          <w:sz w:val="28"/>
          <w:szCs w:val="28"/>
        </w:rPr>
        <w:t>Главным распорядителям средств бюджета Ханты-Мансийского района:</w:t>
      </w:r>
    </w:p>
    <w:p w:rsidR="002F7B8A" w:rsidRPr="002F7B8A" w:rsidRDefault="00A91F8E" w:rsidP="002F7B8A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5BC6" w:rsidRPr="002F7B8A">
        <w:rPr>
          <w:rFonts w:ascii="Times New Roman" w:hAnsi="Times New Roman"/>
          <w:sz w:val="28"/>
          <w:szCs w:val="28"/>
        </w:rPr>
        <w:t xml:space="preserve">беспечить исполнение бюджета района с учетом основных направлений налоговой и бюджетной политики </w:t>
      </w:r>
      <w:r w:rsidR="00733812" w:rsidRPr="002F7B8A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2F7B8A" w:rsidRPr="002F7B8A">
        <w:rPr>
          <w:rFonts w:ascii="Times New Roman" w:hAnsi="Times New Roman"/>
          <w:sz w:val="28"/>
          <w:szCs w:val="28"/>
        </w:rPr>
        <w:t>7</w:t>
      </w:r>
      <w:r w:rsidR="004B3DCE" w:rsidRPr="002F7B8A">
        <w:rPr>
          <w:rFonts w:ascii="Times New Roman" w:hAnsi="Times New Roman"/>
          <w:sz w:val="28"/>
          <w:szCs w:val="28"/>
        </w:rPr>
        <w:t xml:space="preserve"> </w:t>
      </w:r>
      <w:r w:rsidR="00205BC6" w:rsidRPr="002F7B8A">
        <w:rPr>
          <w:rFonts w:ascii="Times New Roman" w:hAnsi="Times New Roman"/>
          <w:sz w:val="28"/>
          <w:szCs w:val="28"/>
        </w:rPr>
        <w:t>год</w:t>
      </w:r>
      <w:r w:rsidR="002F7B8A" w:rsidRPr="002F7B8A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="00173C5F">
        <w:rPr>
          <w:rFonts w:ascii="Times New Roman" w:hAnsi="Times New Roman"/>
          <w:sz w:val="28"/>
          <w:szCs w:val="28"/>
        </w:rPr>
        <w:t>.</w:t>
      </w:r>
    </w:p>
    <w:p w:rsidR="004A576D" w:rsidRPr="0005337C" w:rsidRDefault="004462F2" w:rsidP="002F7B8A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5BC6" w:rsidRPr="002F7B8A">
        <w:rPr>
          <w:rFonts w:ascii="Times New Roman" w:hAnsi="Times New Roman"/>
          <w:sz w:val="28"/>
          <w:szCs w:val="28"/>
        </w:rPr>
        <w:t>беспечить</w:t>
      </w:r>
      <w:r w:rsidR="00DE3770" w:rsidRPr="002F7B8A">
        <w:rPr>
          <w:rFonts w:ascii="Times New Roman" w:hAnsi="Times New Roman"/>
          <w:sz w:val="28"/>
          <w:szCs w:val="28"/>
        </w:rPr>
        <w:t xml:space="preserve"> </w:t>
      </w:r>
      <w:r w:rsidR="00205BC6" w:rsidRPr="002F7B8A">
        <w:rPr>
          <w:rFonts w:ascii="Times New Roman" w:hAnsi="Times New Roman"/>
          <w:sz w:val="28"/>
          <w:szCs w:val="28"/>
        </w:rPr>
        <w:t>в пределах</w:t>
      </w:r>
      <w:r w:rsidR="00DE3770" w:rsidRPr="002F7B8A">
        <w:rPr>
          <w:rFonts w:ascii="Times New Roman" w:hAnsi="Times New Roman"/>
          <w:sz w:val="28"/>
          <w:szCs w:val="28"/>
        </w:rPr>
        <w:t xml:space="preserve"> </w:t>
      </w:r>
      <w:r w:rsidR="00205BC6" w:rsidRPr="002F7B8A">
        <w:rPr>
          <w:rFonts w:ascii="Times New Roman" w:hAnsi="Times New Roman"/>
          <w:sz w:val="28"/>
          <w:szCs w:val="28"/>
        </w:rPr>
        <w:t>доведенных</w:t>
      </w:r>
      <w:r w:rsidR="00DE3770" w:rsidRPr="002F7B8A">
        <w:rPr>
          <w:rFonts w:ascii="Times New Roman" w:hAnsi="Times New Roman"/>
          <w:sz w:val="28"/>
          <w:szCs w:val="28"/>
        </w:rPr>
        <w:t xml:space="preserve"> </w:t>
      </w:r>
      <w:r w:rsidR="00205BC6" w:rsidRPr="002F7B8A">
        <w:rPr>
          <w:rFonts w:ascii="Times New Roman" w:hAnsi="Times New Roman"/>
          <w:sz w:val="28"/>
          <w:szCs w:val="28"/>
        </w:rPr>
        <w:t>лимитов</w:t>
      </w:r>
      <w:r w:rsidR="00DE3770" w:rsidRPr="002F7B8A">
        <w:rPr>
          <w:rFonts w:ascii="Times New Roman" w:hAnsi="Times New Roman"/>
          <w:sz w:val="28"/>
          <w:szCs w:val="28"/>
        </w:rPr>
        <w:t xml:space="preserve"> </w:t>
      </w:r>
      <w:r w:rsidR="00205BC6" w:rsidRPr="002F7B8A">
        <w:rPr>
          <w:rFonts w:ascii="Times New Roman" w:hAnsi="Times New Roman"/>
          <w:sz w:val="28"/>
          <w:szCs w:val="28"/>
        </w:rPr>
        <w:t>бюджетных обязатель</w:t>
      </w:r>
      <w:proofErr w:type="gramStart"/>
      <w:r w:rsidR="00205BC6" w:rsidRPr="002F7B8A">
        <w:rPr>
          <w:rFonts w:ascii="Times New Roman" w:hAnsi="Times New Roman"/>
          <w:sz w:val="28"/>
          <w:szCs w:val="28"/>
        </w:rPr>
        <w:t>ств</w:t>
      </w:r>
      <w:r w:rsidR="007F34DC" w:rsidRPr="002F7B8A">
        <w:rPr>
          <w:rFonts w:ascii="Times New Roman" w:hAnsi="Times New Roman"/>
          <w:sz w:val="28"/>
          <w:szCs w:val="28"/>
        </w:rPr>
        <w:t xml:space="preserve"> св</w:t>
      </w:r>
      <w:proofErr w:type="gramEnd"/>
      <w:r w:rsidR="007F34DC" w:rsidRPr="002F7B8A">
        <w:rPr>
          <w:rFonts w:ascii="Times New Roman" w:hAnsi="Times New Roman"/>
          <w:sz w:val="28"/>
          <w:szCs w:val="28"/>
        </w:rPr>
        <w:t xml:space="preserve">оевременное </w:t>
      </w:r>
      <w:r w:rsidR="00205BC6" w:rsidRPr="002F7B8A">
        <w:rPr>
          <w:rFonts w:ascii="Times New Roman" w:hAnsi="Times New Roman"/>
          <w:sz w:val="28"/>
          <w:szCs w:val="28"/>
        </w:rPr>
        <w:t xml:space="preserve">исполнение </w:t>
      </w:r>
      <w:r w:rsidR="007F34DC" w:rsidRPr="002F7B8A">
        <w:rPr>
          <w:rFonts w:ascii="Times New Roman" w:hAnsi="Times New Roman"/>
          <w:sz w:val="28"/>
          <w:szCs w:val="28"/>
        </w:rPr>
        <w:t>расходных</w:t>
      </w:r>
      <w:r w:rsidR="00205BC6" w:rsidRPr="002F7B8A">
        <w:rPr>
          <w:rFonts w:ascii="Times New Roman" w:hAnsi="Times New Roman"/>
          <w:sz w:val="28"/>
          <w:szCs w:val="28"/>
        </w:rPr>
        <w:t xml:space="preserve"> обязательств бюджета района, а также недопущение возникновения просроче</w:t>
      </w:r>
      <w:r w:rsidR="00DE3770" w:rsidRPr="002F7B8A">
        <w:rPr>
          <w:rFonts w:ascii="Times New Roman" w:hAnsi="Times New Roman"/>
          <w:sz w:val="28"/>
          <w:szCs w:val="28"/>
        </w:rPr>
        <w:t xml:space="preserve">нной кредиторской </w:t>
      </w:r>
      <w:r w:rsidR="00DE3770" w:rsidRPr="0005337C">
        <w:rPr>
          <w:rFonts w:ascii="Times New Roman" w:hAnsi="Times New Roman"/>
          <w:sz w:val="28"/>
          <w:szCs w:val="28"/>
        </w:rPr>
        <w:t>задолженности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05337C" w:rsidRDefault="004462F2" w:rsidP="002F7B8A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337C" w:rsidRPr="0005337C">
        <w:rPr>
          <w:rFonts w:ascii="Times New Roman" w:hAnsi="Times New Roman"/>
          <w:sz w:val="28"/>
          <w:szCs w:val="28"/>
        </w:rPr>
        <w:t xml:space="preserve">родолжить работу по повышению качества и доступности оказываемых </w:t>
      </w:r>
      <w:r w:rsidR="0005337C">
        <w:rPr>
          <w:rFonts w:ascii="Times New Roman" w:hAnsi="Times New Roman"/>
          <w:sz w:val="28"/>
          <w:szCs w:val="28"/>
        </w:rPr>
        <w:t>муниципальных</w:t>
      </w:r>
      <w:r w:rsidR="0005337C" w:rsidRPr="0005337C">
        <w:rPr>
          <w:rFonts w:ascii="Times New Roman" w:hAnsi="Times New Roman"/>
          <w:sz w:val="28"/>
          <w:szCs w:val="28"/>
        </w:rPr>
        <w:t xml:space="preserve"> услуг, оптимизации расходов на финансовое обеспечение выполнения </w:t>
      </w:r>
      <w:r w:rsidR="0005337C">
        <w:rPr>
          <w:rFonts w:ascii="Times New Roman" w:hAnsi="Times New Roman"/>
          <w:sz w:val="28"/>
          <w:szCs w:val="28"/>
        </w:rPr>
        <w:t>муниципальных заданий</w:t>
      </w:r>
      <w:r w:rsidR="0005337C" w:rsidRPr="0005337C">
        <w:rPr>
          <w:rFonts w:ascii="Times New Roman" w:hAnsi="Times New Roman"/>
          <w:sz w:val="28"/>
          <w:szCs w:val="28"/>
        </w:rPr>
        <w:t xml:space="preserve">, обеспечению доступа к бюджетным средствам, предусмотренным на оказание социальных услуг, </w:t>
      </w:r>
      <w:r w:rsidR="005218EB" w:rsidRPr="0005337C">
        <w:rPr>
          <w:rFonts w:ascii="Times New Roman" w:hAnsi="Times New Roman"/>
          <w:sz w:val="28"/>
          <w:szCs w:val="28"/>
        </w:rPr>
        <w:t>некоммерческим</w:t>
      </w:r>
      <w:r w:rsidR="0005337C" w:rsidRPr="0005337C">
        <w:rPr>
          <w:rFonts w:ascii="Times New Roman" w:hAnsi="Times New Roman"/>
          <w:sz w:val="28"/>
          <w:szCs w:val="28"/>
        </w:rPr>
        <w:t xml:space="preserve"> организациям посредством реализации соответствующих мероприятий </w:t>
      </w:r>
      <w:r w:rsidR="005218EB">
        <w:rPr>
          <w:rFonts w:ascii="Times New Roman" w:hAnsi="Times New Roman"/>
          <w:sz w:val="28"/>
          <w:szCs w:val="28"/>
        </w:rPr>
        <w:t>муниципальных программ Ханты-Мансийского района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FE0CF4" w:rsidRPr="005A23A7" w:rsidRDefault="004462F2" w:rsidP="002F7B8A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0CF4" w:rsidRPr="00FE0CF4">
        <w:rPr>
          <w:rFonts w:ascii="Times New Roman" w:hAnsi="Times New Roman"/>
          <w:sz w:val="28"/>
          <w:szCs w:val="28"/>
        </w:rPr>
        <w:t xml:space="preserve">беспечить осуществление </w:t>
      </w:r>
      <w:proofErr w:type="gramStart"/>
      <w:r w:rsidR="00FE0CF4" w:rsidRPr="00FE0C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E0CF4" w:rsidRPr="00FE0CF4">
        <w:rPr>
          <w:rFonts w:ascii="Times New Roman" w:hAnsi="Times New Roman"/>
          <w:sz w:val="28"/>
          <w:szCs w:val="28"/>
        </w:rPr>
        <w:t xml:space="preserve"> исполнением </w:t>
      </w:r>
      <w:r w:rsidR="00FE0CF4">
        <w:rPr>
          <w:rFonts w:ascii="Times New Roman" w:hAnsi="Times New Roman"/>
          <w:sz w:val="28"/>
          <w:szCs w:val="28"/>
        </w:rPr>
        <w:t>муниципальных</w:t>
      </w:r>
      <w:r w:rsidR="00FE0CF4" w:rsidRPr="00FE0CF4">
        <w:rPr>
          <w:rFonts w:ascii="Times New Roman" w:hAnsi="Times New Roman"/>
          <w:sz w:val="28"/>
          <w:szCs w:val="28"/>
        </w:rPr>
        <w:t xml:space="preserve"> заданий и своевременным размещением </w:t>
      </w:r>
      <w:r w:rsidR="00FE0CF4">
        <w:rPr>
          <w:rFonts w:ascii="Times New Roman" w:hAnsi="Times New Roman"/>
          <w:sz w:val="28"/>
          <w:szCs w:val="28"/>
        </w:rPr>
        <w:t>муниципальных заданий</w:t>
      </w:r>
      <w:r w:rsidR="00FE0CF4" w:rsidRPr="00FE0CF4">
        <w:rPr>
          <w:rFonts w:ascii="Times New Roman" w:hAnsi="Times New Roman"/>
          <w:sz w:val="28"/>
          <w:szCs w:val="28"/>
        </w:rPr>
        <w:t xml:space="preserve"> в </w:t>
      </w:r>
      <w:r w:rsidR="00FE0CF4" w:rsidRPr="005A23A7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B878BB" w:rsidRPr="005A23A7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5A23A7" w:rsidRPr="005A23A7">
        <w:rPr>
          <w:rFonts w:ascii="Times New Roman" w:hAnsi="Times New Roman"/>
          <w:sz w:val="28"/>
          <w:szCs w:val="28"/>
        </w:rPr>
        <w:t xml:space="preserve">беспечить реализацию и своевременное внесение изменений в соглашения, заключаемые с отраслевыми департаментами автономного округа (в целях реализации региональных </w:t>
      </w:r>
      <w:r w:rsidR="00B31326">
        <w:rPr>
          <w:rFonts w:ascii="Times New Roman" w:hAnsi="Times New Roman"/>
          <w:sz w:val="28"/>
          <w:szCs w:val="28"/>
        </w:rPr>
        <w:t>«</w:t>
      </w:r>
      <w:r w:rsidR="005A23A7" w:rsidRPr="005A23A7">
        <w:rPr>
          <w:rFonts w:ascii="Times New Roman" w:hAnsi="Times New Roman"/>
          <w:sz w:val="28"/>
          <w:szCs w:val="28"/>
        </w:rPr>
        <w:t>дорожных карт</w:t>
      </w:r>
      <w:r w:rsidR="00B31326">
        <w:rPr>
          <w:rFonts w:ascii="Times New Roman" w:hAnsi="Times New Roman"/>
          <w:sz w:val="28"/>
          <w:szCs w:val="28"/>
        </w:rPr>
        <w:t>»</w:t>
      </w:r>
      <w:r w:rsidR="005A23A7" w:rsidRPr="005A23A7">
        <w:rPr>
          <w:rFonts w:ascii="Times New Roman" w:hAnsi="Times New Roman"/>
          <w:sz w:val="28"/>
          <w:szCs w:val="28"/>
        </w:rPr>
        <w:t>), направленные на обеспечение достижения целевых показателей (нормативов) оптимизации сети муниципальных учреждений и поэтапного повышения оплаты труда отдельных категорий работников муниципальных учреждений сферы образования и культуры</w:t>
      </w:r>
      <w:r w:rsidR="0082459F">
        <w:rPr>
          <w:rFonts w:ascii="Times New Roman" w:hAnsi="Times New Roman"/>
          <w:sz w:val="28"/>
          <w:szCs w:val="28"/>
        </w:rPr>
        <w:t>.</w:t>
      </w:r>
      <w:proofErr w:type="gramEnd"/>
    </w:p>
    <w:p w:rsidR="00B878BB" w:rsidRPr="00FE0CF4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5A95" w:rsidRPr="00FE0CF4">
        <w:rPr>
          <w:rFonts w:ascii="Times New Roman" w:hAnsi="Times New Roman"/>
          <w:sz w:val="28"/>
          <w:szCs w:val="28"/>
        </w:rPr>
        <w:t xml:space="preserve">беспечить эффективное использование межбюджетных трансфертов, полученных в форме субсидий, субвенций и иных межбюджетных трансфертов из федерального </w:t>
      </w:r>
      <w:r w:rsidR="00855FB8" w:rsidRPr="00FE0CF4">
        <w:rPr>
          <w:rFonts w:ascii="Times New Roman" w:hAnsi="Times New Roman"/>
          <w:sz w:val="28"/>
          <w:szCs w:val="28"/>
        </w:rPr>
        <w:t xml:space="preserve">и регионального </w:t>
      </w:r>
      <w:r w:rsidR="00B25A95" w:rsidRPr="00FE0CF4">
        <w:rPr>
          <w:rFonts w:ascii="Times New Roman" w:hAnsi="Times New Roman"/>
          <w:sz w:val="28"/>
          <w:szCs w:val="28"/>
        </w:rPr>
        <w:t>бюджета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B878BB" w:rsidRPr="00872766" w:rsidRDefault="000434D7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B878BB" w:rsidRPr="00FE0CF4">
        <w:rPr>
          <w:rFonts w:ascii="Times New Roman" w:hAnsi="Times New Roman"/>
          <w:sz w:val="28"/>
          <w:szCs w:val="28"/>
        </w:rPr>
        <w:t xml:space="preserve">беспечить подписание соглашений с главными распорядителями средств окружного бюджета, осуществляющими </w:t>
      </w:r>
      <w:r w:rsidR="00B878BB" w:rsidRPr="00872766">
        <w:rPr>
          <w:rFonts w:ascii="Times New Roman" w:hAnsi="Times New Roman"/>
          <w:sz w:val="28"/>
          <w:szCs w:val="28"/>
        </w:rPr>
        <w:t xml:space="preserve">предоставление межбюджетных субсидий, </w:t>
      </w:r>
      <w:r w:rsidR="00FE0CF4" w:rsidRPr="00872766">
        <w:rPr>
          <w:rFonts w:ascii="Times New Roman" w:hAnsi="Times New Roman"/>
          <w:sz w:val="28"/>
          <w:szCs w:val="28"/>
        </w:rPr>
        <w:t xml:space="preserve">а их копии </w:t>
      </w:r>
      <w:r w:rsidR="00B878BB" w:rsidRPr="00872766">
        <w:rPr>
          <w:rFonts w:ascii="Times New Roman" w:hAnsi="Times New Roman"/>
          <w:sz w:val="28"/>
          <w:szCs w:val="28"/>
        </w:rPr>
        <w:t>по мере подписания предоставл</w:t>
      </w:r>
      <w:r w:rsidR="00FE0CF4" w:rsidRPr="00872766">
        <w:rPr>
          <w:rFonts w:ascii="Times New Roman" w:hAnsi="Times New Roman"/>
          <w:sz w:val="28"/>
          <w:szCs w:val="28"/>
        </w:rPr>
        <w:t>ять</w:t>
      </w:r>
      <w:r w:rsidR="00B878BB" w:rsidRPr="00872766">
        <w:rPr>
          <w:rFonts w:ascii="Times New Roman" w:hAnsi="Times New Roman"/>
          <w:sz w:val="28"/>
          <w:szCs w:val="28"/>
        </w:rPr>
        <w:t xml:space="preserve"> в комитет по финансам администрации Ханты-Мансийского района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872766" w:rsidRPr="00872766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2766" w:rsidRPr="00872766">
        <w:rPr>
          <w:rFonts w:ascii="Times New Roman" w:hAnsi="Times New Roman"/>
          <w:sz w:val="28"/>
          <w:szCs w:val="28"/>
        </w:rPr>
        <w:t>беспечить соблюдение условий и достижение целевых показателей, предусмотренных заключенными соглашениями о предоставлении межбюджетных субсидий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6208A1" w:rsidRPr="0001365B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B72BB3" w:rsidRPr="0001365B">
        <w:rPr>
          <w:rFonts w:ascii="Times New Roman" w:hAnsi="Times New Roman"/>
          <w:sz w:val="28"/>
          <w:szCs w:val="28"/>
        </w:rPr>
        <w:t xml:space="preserve">е принимать решения, приводящие к увеличению численности работников бюджетной сферы и органов местного самоуправления, </w:t>
      </w:r>
      <w:r w:rsidR="006208A1" w:rsidRPr="0001365B">
        <w:rPr>
          <w:rFonts w:ascii="Times New Roman" w:hAnsi="Times New Roman"/>
          <w:sz w:val="28"/>
          <w:szCs w:val="28"/>
        </w:rPr>
        <w:t>з</w:t>
      </w:r>
      <w:r w:rsidR="00B72BB3" w:rsidRPr="0001365B">
        <w:rPr>
          <w:rFonts w:ascii="Times New Roman" w:hAnsi="Times New Roman"/>
          <w:sz w:val="28"/>
          <w:szCs w:val="28"/>
        </w:rPr>
        <w:t>а исключением случаев, когда увеличение численности работников бюджетной сферы и органов местного самоуправления необходимо для реализации переданных государственных полномочий</w:t>
      </w:r>
      <w:r w:rsidR="00D44AD2" w:rsidRPr="0001365B">
        <w:rPr>
          <w:rFonts w:ascii="Times New Roman" w:hAnsi="Times New Roman"/>
          <w:sz w:val="28"/>
          <w:szCs w:val="28"/>
        </w:rPr>
        <w:t xml:space="preserve">                            </w:t>
      </w:r>
      <w:r w:rsidR="00ED6F61" w:rsidRPr="0001365B">
        <w:rPr>
          <w:rFonts w:ascii="Times New Roman" w:hAnsi="Times New Roman"/>
          <w:sz w:val="28"/>
          <w:szCs w:val="28"/>
        </w:rPr>
        <w:t xml:space="preserve">       </w:t>
      </w:r>
      <w:r w:rsidR="00B72BB3" w:rsidRPr="0001365B">
        <w:rPr>
          <w:rFonts w:ascii="Times New Roman" w:hAnsi="Times New Roman"/>
          <w:sz w:val="28"/>
          <w:szCs w:val="28"/>
        </w:rPr>
        <w:t>и федеральных законов, предусматривающих расширение полномочий органов местного самоуправления, а также связано с вводом новых объе</w:t>
      </w:r>
      <w:r w:rsidR="00BC19C9" w:rsidRPr="0001365B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82459F">
        <w:rPr>
          <w:rFonts w:ascii="Times New Roman" w:hAnsi="Times New Roman"/>
          <w:sz w:val="28"/>
          <w:szCs w:val="28"/>
        </w:rPr>
        <w:t>.</w:t>
      </w:r>
      <w:proofErr w:type="gramEnd"/>
    </w:p>
    <w:p w:rsidR="006208A1" w:rsidRPr="0001365B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5239" w:rsidRPr="0001365B">
        <w:rPr>
          <w:rFonts w:ascii="Times New Roman" w:hAnsi="Times New Roman"/>
          <w:sz w:val="28"/>
          <w:szCs w:val="28"/>
        </w:rPr>
        <w:t xml:space="preserve">е </w:t>
      </w:r>
      <w:r w:rsidR="006C6F27" w:rsidRPr="0001365B">
        <w:rPr>
          <w:rFonts w:ascii="Times New Roman" w:hAnsi="Times New Roman"/>
          <w:sz w:val="28"/>
          <w:szCs w:val="28"/>
        </w:rPr>
        <w:t>допускать превышение нормативов расходов на содержание органов местного самоуправления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BC19C9" w:rsidRPr="0001365B" w:rsidRDefault="004462F2" w:rsidP="00ED6F61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71225" w:rsidRPr="0001365B">
        <w:rPr>
          <w:rFonts w:ascii="Times New Roman" w:hAnsi="Times New Roman"/>
          <w:sz w:val="28"/>
          <w:szCs w:val="28"/>
        </w:rPr>
        <w:t>беспечить повышение эффективности бюджетных расходов,</w:t>
      </w:r>
      <w:r w:rsidR="00ED6F61" w:rsidRPr="0001365B">
        <w:rPr>
          <w:rFonts w:ascii="Times New Roman" w:hAnsi="Times New Roman"/>
          <w:sz w:val="28"/>
          <w:szCs w:val="28"/>
        </w:rPr>
        <w:t xml:space="preserve">  </w:t>
      </w:r>
      <w:r w:rsidR="00A71225" w:rsidRPr="0001365B">
        <w:rPr>
          <w:rFonts w:ascii="Times New Roman" w:hAnsi="Times New Roman"/>
          <w:sz w:val="28"/>
          <w:szCs w:val="28"/>
        </w:rPr>
        <w:t xml:space="preserve"> в том числе не допускать необоснованного увеличения количества</w:t>
      </w:r>
      <w:r w:rsidR="00FB7D77" w:rsidRPr="0001365B">
        <w:rPr>
          <w:rFonts w:ascii="Times New Roman" w:hAnsi="Times New Roman"/>
          <w:sz w:val="28"/>
          <w:szCs w:val="28"/>
        </w:rPr>
        <w:t xml:space="preserve"> принимаемых расходных обязательств, принять меры по оптимизации действующих расходных обязательств</w:t>
      </w:r>
      <w:r w:rsidR="00D44AD2" w:rsidRPr="0001365B">
        <w:rPr>
          <w:rFonts w:ascii="Times New Roman" w:hAnsi="Times New Roman"/>
          <w:sz w:val="28"/>
          <w:szCs w:val="28"/>
        </w:rPr>
        <w:t>.</w:t>
      </w:r>
    </w:p>
    <w:p w:rsidR="004B492A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4AD2">
        <w:rPr>
          <w:rFonts w:ascii="Times New Roman" w:hAnsi="Times New Roman"/>
          <w:sz w:val="28"/>
          <w:szCs w:val="28"/>
        </w:rPr>
        <w:t xml:space="preserve">6. </w:t>
      </w:r>
      <w:r w:rsidR="00D44AD2">
        <w:rPr>
          <w:rFonts w:ascii="Times New Roman" w:hAnsi="Times New Roman"/>
          <w:sz w:val="28"/>
          <w:szCs w:val="28"/>
        </w:rPr>
        <w:t>У</w:t>
      </w:r>
      <w:r w:rsidR="00CD674F" w:rsidRPr="00D44AD2">
        <w:rPr>
          <w:rFonts w:ascii="Times New Roman" w:hAnsi="Times New Roman"/>
          <w:sz w:val="28"/>
          <w:szCs w:val="28"/>
        </w:rPr>
        <w:t>становить</w:t>
      </w:r>
      <w:r w:rsidR="00CD674F" w:rsidRPr="009A58C2">
        <w:rPr>
          <w:rFonts w:ascii="Times New Roman" w:hAnsi="Times New Roman"/>
          <w:sz w:val="28"/>
          <w:szCs w:val="28"/>
        </w:rPr>
        <w:t xml:space="preserve">, что заключение и оплата получателями средств бюджета </w:t>
      </w:r>
      <w:r w:rsidR="00D87A28" w:rsidRPr="009A58C2">
        <w:rPr>
          <w:rFonts w:ascii="Times New Roman" w:hAnsi="Times New Roman"/>
          <w:sz w:val="28"/>
          <w:szCs w:val="28"/>
        </w:rPr>
        <w:t>района</w:t>
      </w:r>
      <w:r w:rsidR="00CD674F" w:rsidRPr="009A58C2">
        <w:rPr>
          <w:rFonts w:ascii="Times New Roman" w:hAnsi="Times New Roman"/>
          <w:sz w:val="28"/>
          <w:szCs w:val="28"/>
        </w:rPr>
        <w:t xml:space="preserve"> </w:t>
      </w:r>
      <w:r w:rsidR="00D87A28" w:rsidRPr="009A58C2">
        <w:rPr>
          <w:rFonts w:ascii="Times New Roman" w:hAnsi="Times New Roman"/>
          <w:sz w:val="28"/>
          <w:szCs w:val="28"/>
        </w:rPr>
        <w:t>муниципальных</w:t>
      </w:r>
      <w:r w:rsidR="00CD674F" w:rsidRPr="009A58C2">
        <w:rPr>
          <w:rFonts w:ascii="Times New Roman" w:hAnsi="Times New Roman"/>
          <w:sz w:val="28"/>
          <w:szCs w:val="28"/>
        </w:rPr>
        <w:t xml:space="preserve"> контрактов и иных обязательств, исполнение которых осуществляется за счет ср</w:t>
      </w:r>
      <w:r w:rsidR="00D87A28" w:rsidRPr="009A58C2">
        <w:rPr>
          <w:rFonts w:ascii="Times New Roman" w:hAnsi="Times New Roman"/>
          <w:sz w:val="28"/>
          <w:szCs w:val="28"/>
        </w:rPr>
        <w:t>едств бюджета района</w:t>
      </w:r>
      <w:r w:rsidR="00CD674F" w:rsidRPr="009A58C2">
        <w:rPr>
          <w:rFonts w:ascii="Times New Roman" w:hAnsi="Times New Roman"/>
          <w:sz w:val="28"/>
          <w:szCs w:val="28"/>
        </w:rPr>
        <w:t xml:space="preserve"> </w:t>
      </w:r>
      <w:r w:rsidR="006208A1" w:rsidRPr="009A58C2">
        <w:rPr>
          <w:rFonts w:ascii="Times New Roman" w:hAnsi="Times New Roman"/>
          <w:sz w:val="28"/>
          <w:szCs w:val="28"/>
        </w:rPr>
        <w:t xml:space="preserve">     </w:t>
      </w:r>
      <w:r w:rsidR="009E0BBD" w:rsidRPr="009A58C2">
        <w:rPr>
          <w:rFonts w:ascii="Times New Roman" w:hAnsi="Times New Roman"/>
          <w:sz w:val="28"/>
          <w:szCs w:val="28"/>
        </w:rPr>
        <w:t xml:space="preserve">    </w:t>
      </w:r>
      <w:r w:rsidR="00CD674F" w:rsidRPr="009A58C2">
        <w:rPr>
          <w:rFonts w:ascii="Times New Roman" w:hAnsi="Times New Roman"/>
          <w:sz w:val="28"/>
          <w:szCs w:val="28"/>
        </w:rPr>
        <w:t>в 201</w:t>
      </w:r>
      <w:r w:rsidR="008E3D78">
        <w:rPr>
          <w:rFonts w:ascii="Times New Roman" w:hAnsi="Times New Roman"/>
          <w:sz w:val="28"/>
          <w:szCs w:val="28"/>
        </w:rPr>
        <w:t>7</w:t>
      </w:r>
      <w:r w:rsidR="00CD674F" w:rsidRPr="009A58C2">
        <w:rPr>
          <w:rFonts w:ascii="Times New Roman" w:hAnsi="Times New Roman"/>
          <w:sz w:val="28"/>
          <w:szCs w:val="28"/>
        </w:rPr>
        <w:t xml:space="preserve"> году, осуществляются в </w:t>
      </w:r>
      <w:proofErr w:type="gramStart"/>
      <w:r w:rsidR="00CD674F" w:rsidRPr="009A58C2">
        <w:rPr>
          <w:rFonts w:ascii="Times New Roman" w:hAnsi="Times New Roman"/>
          <w:sz w:val="28"/>
          <w:szCs w:val="28"/>
        </w:rPr>
        <w:t>пределах</w:t>
      </w:r>
      <w:proofErr w:type="gramEnd"/>
      <w:r w:rsidR="00CD674F" w:rsidRPr="009A58C2">
        <w:rPr>
          <w:rFonts w:ascii="Times New Roman" w:hAnsi="Times New Roman"/>
          <w:sz w:val="28"/>
          <w:szCs w:val="28"/>
        </w:rPr>
        <w:t xml:space="preserve"> доведенных до них лимитов бюджетных обязательств в соответствии с бюджетной классифика</w:t>
      </w:r>
      <w:r w:rsidR="00CD674F" w:rsidRPr="004B492A">
        <w:rPr>
          <w:rFonts w:ascii="Times New Roman" w:hAnsi="Times New Roman"/>
          <w:sz w:val="28"/>
          <w:szCs w:val="28"/>
        </w:rPr>
        <w:t>цией Российской Федерации, с учетом принятых и неисполненных обязательств.</w:t>
      </w:r>
    </w:p>
    <w:p w:rsidR="00D44AD2" w:rsidRPr="00904794" w:rsidRDefault="00BC19C9" w:rsidP="00ED6F6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04794">
        <w:rPr>
          <w:rFonts w:ascii="Times New Roman" w:hAnsi="Times New Roman"/>
          <w:sz w:val="28"/>
          <w:szCs w:val="28"/>
        </w:rPr>
        <w:t xml:space="preserve">7. </w:t>
      </w:r>
      <w:r w:rsidR="00CD674F" w:rsidRPr="00904794">
        <w:rPr>
          <w:rFonts w:ascii="Times New Roman" w:hAnsi="Times New Roman"/>
          <w:sz w:val="28"/>
          <w:szCs w:val="28"/>
        </w:rPr>
        <w:t xml:space="preserve">Установить, что </w:t>
      </w:r>
      <w:r w:rsidR="006208A1" w:rsidRPr="00904794">
        <w:rPr>
          <w:rFonts w:ascii="Times New Roman" w:hAnsi="Times New Roman"/>
          <w:sz w:val="28"/>
          <w:szCs w:val="28"/>
        </w:rPr>
        <w:t>муниципальные заказчики</w:t>
      </w:r>
      <w:r w:rsidR="00D44AD2" w:rsidRPr="00904794">
        <w:rPr>
          <w:rFonts w:ascii="Times New Roman" w:hAnsi="Times New Roman"/>
          <w:sz w:val="28"/>
          <w:szCs w:val="28"/>
        </w:rPr>
        <w:t>:</w:t>
      </w:r>
    </w:p>
    <w:p w:rsidR="00BE63D8" w:rsidRDefault="004462F2" w:rsidP="00BE63D8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94" w:rsidRPr="00904794">
        <w:rPr>
          <w:rFonts w:ascii="Times New Roman" w:hAnsi="Times New Roman"/>
          <w:sz w:val="28"/>
          <w:szCs w:val="28"/>
        </w:rPr>
        <w:t xml:space="preserve">существляют оплату по заключенным договорам (контрактам) о поставке товаров, выполнении работ, оказании услуг после подтверждения поставки товаров, выполнения (оказания) предусмотренных указанными договорами (контрактами) работ (услуг), их этапов, если возможность авансовых платежей не установлена </w:t>
      </w:r>
      <w:r w:rsidR="00904794">
        <w:rPr>
          <w:rFonts w:ascii="Times New Roman" w:hAnsi="Times New Roman"/>
          <w:sz w:val="28"/>
          <w:szCs w:val="28"/>
        </w:rPr>
        <w:t xml:space="preserve">правовыми </w:t>
      </w:r>
      <w:r w:rsidR="00904794" w:rsidRPr="00904794">
        <w:rPr>
          <w:rFonts w:ascii="Times New Roman" w:hAnsi="Times New Roman"/>
          <w:sz w:val="28"/>
          <w:szCs w:val="28"/>
        </w:rPr>
        <w:t xml:space="preserve">актами </w:t>
      </w:r>
      <w:r w:rsidR="00904794">
        <w:rPr>
          <w:rFonts w:ascii="Times New Roman" w:hAnsi="Times New Roman"/>
          <w:sz w:val="28"/>
          <w:szCs w:val="28"/>
        </w:rPr>
        <w:t>Ханты-Мансийского района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BE63D8" w:rsidRPr="00BE63D8" w:rsidRDefault="004462F2" w:rsidP="00BE63D8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BE63D8">
        <w:rPr>
          <w:rFonts w:ascii="Times New Roman" w:hAnsi="Times New Roman"/>
          <w:sz w:val="28"/>
          <w:szCs w:val="28"/>
        </w:rPr>
        <w:t xml:space="preserve">праве </w:t>
      </w:r>
      <w:r w:rsidR="00BE63D8" w:rsidRPr="00BE63D8">
        <w:rPr>
          <w:rFonts w:ascii="Times New Roman" w:hAnsi="Times New Roman"/>
          <w:sz w:val="28"/>
          <w:szCs w:val="28"/>
        </w:rPr>
        <w:t xml:space="preserve">предусматривать авансовый платёж в </w:t>
      </w:r>
      <w:r w:rsidR="00CD674F" w:rsidRPr="00BE63D8">
        <w:rPr>
          <w:rFonts w:ascii="Times New Roman" w:hAnsi="Times New Roman"/>
          <w:sz w:val="28"/>
          <w:szCs w:val="28"/>
        </w:rPr>
        <w:t xml:space="preserve">размере до </w:t>
      </w:r>
      <w:r w:rsidR="00445CF2">
        <w:rPr>
          <w:rFonts w:ascii="Times New Roman" w:hAnsi="Times New Roman"/>
          <w:sz w:val="28"/>
          <w:szCs w:val="28"/>
        </w:rPr>
        <w:t xml:space="preserve">      </w:t>
      </w:r>
      <w:r w:rsidR="00CD674F" w:rsidRPr="00BE63D8">
        <w:rPr>
          <w:rFonts w:ascii="Times New Roman" w:hAnsi="Times New Roman"/>
          <w:sz w:val="28"/>
          <w:szCs w:val="28"/>
        </w:rPr>
        <w:t>100 процентов от суммы договора (контракта) – о</w:t>
      </w:r>
      <w:r w:rsidR="008F58F6" w:rsidRPr="00BE63D8">
        <w:rPr>
          <w:rFonts w:ascii="Times New Roman" w:hAnsi="Times New Roman"/>
          <w:sz w:val="28"/>
          <w:szCs w:val="28"/>
        </w:rPr>
        <w:t xml:space="preserve"> </w:t>
      </w:r>
      <w:r w:rsidR="00CD674F" w:rsidRPr="00BE63D8">
        <w:rPr>
          <w:rFonts w:ascii="Times New Roman" w:hAnsi="Times New Roman"/>
          <w:sz w:val="28"/>
          <w:szCs w:val="28"/>
        </w:rPr>
        <w:t>предоставлении услуг связи;</w:t>
      </w:r>
      <w:r w:rsidR="00BE63D8" w:rsidRPr="00BE63D8">
        <w:rPr>
          <w:rFonts w:ascii="Times New Roman" w:hAnsi="Times New Roman"/>
          <w:sz w:val="28"/>
          <w:szCs w:val="28"/>
        </w:rPr>
        <w:t xml:space="preserve"> закупке печатных и электронных изданий (в том числе о подписке на периодические печатные и электронные издания, об оказании услуг по предоставлению доступа к электронным изданиям), </w:t>
      </w:r>
      <w:r w:rsidR="00CD674F" w:rsidRPr="00BE63D8">
        <w:rPr>
          <w:rFonts w:ascii="Times New Roman" w:hAnsi="Times New Roman"/>
          <w:sz w:val="28"/>
          <w:szCs w:val="28"/>
        </w:rPr>
        <w:t>об обучении на курсах повышения квалификации; об участии в семинарах, совещаниях;</w:t>
      </w:r>
      <w:proofErr w:type="gramEnd"/>
      <w:r w:rsidR="00CD674F" w:rsidRPr="00BE63D8">
        <w:rPr>
          <w:rFonts w:ascii="Times New Roman" w:hAnsi="Times New Roman"/>
          <w:sz w:val="28"/>
          <w:szCs w:val="28"/>
        </w:rPr>
        <w:t xml:space="preserve"> на приобретение ави</w:t>
      </w:r>
      <w:proofErr w:type="gramStart"/>
      <w:r w:rsidR="00CD674F" w:rsidRPr="00BE63D8">
        <w:rPr>
          <w:rFonts w:ascii="Times New Roman" w:hAnsi="Times New Roman"/>
          <w:sz w:val="28"/>
          <w:szCs w:val="28"/>
        </w:rPr>
        <w:t>а-</w:t>
      </w:r>
      <w:proofErr w:type="gramEnd"/>
      <w:r w:rsidR="00CD674F" w:rsidRPr="00BE63D8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</w:t>
      </w:r>
      <w:r w:rsidR="00402C8A" w:rsidRPr="00BE63D8">
        <w:rPr>
          <w:rFonts w:ascii="Times New Roman" w:hAnsi="Times New Roman"/>
          <w:sz w:val="28"/>
          <w:szCs w:val="28"/>
        </w:rPr>
        <w:t xml:space="preserve"> </w:t>
      </w:r>
      <w:r w:rsidR="00CD674F" w:rsidRPr="00BE63D8">
        <w:rPr>
          <w:rFonts w:ascii="Times New Roman" w:hAnsi="Times New Roman"/>
          <w:sz w:val="28"/>
          <w:szCs w:val="28"/>
        </w:rPr>
        <w:t>и пригородным</w:t>
      </w:r>
      <w:r w:rsidR="001C54C4" w:rsidRPr="00BE63D8">
        <w:rPr>
          <w:rFonts w:ascii="Times New Roman" w:hAnsi="Times New Roman"/>
          <w:sz w:val="28"/>
          <w:szCs w:val="28"/>
        </w:rPr>
        <w:t xml:space="preserve"> транспортом; </w:t>
      </w:r>
      <w:r w:rsidR="00BC6540" w:rsidRPr="00BE63D8">
        <w:rPr>
          <w:rFonts w:ascii="Times New Roman" w:hAnsi="Times New Roman"/>
          <w:sz w:val="28"/>
          <w:szCs w:val="28"/>
        </w:rPr>
        <w:t>о приобретении продукции (товаров) для обеспеч</w:t>
      </w:r>
      <w:r w:rsidR="00ED6F61" w:rsidRPr="00BE63D8">
        <w:rPr>
          <w:rFonts w:ascii="Times New Roman" w:hAnsi="Times New Roman"/>
          <w:sz w:val="28"/>
          <w:szCs w:val="28"/>
        </w:rPr>
        <w:t>ения поставки в районы и населе</w:t>
      </w:r>
      <w:r w:rsidR="00BC6540" w:rsidRPr="00BE63D8">
        <w:rPr>
          <w:rFonts w:ascii="Times New Roman" w:hAnsi="Times New Roman"/>
          <w:sz w:val="28"/>
          <w:szCs w:val="28"/>
        </w:rPr>
        <w:t>нные</w:t>
      </w:r>
      <w:r w:rsidR="00F261AF" w:rsidRPr="00BE63D8">
        <w:rPr>
          <w:rFonts w:ascii="Times New Roman" w:hAnsi="Times New Roman"/>
          <w:sz w:val="28"/>
          <w:szCs w:val="28"/>
        </w:rPr>
        <w:t xml:space="preserve"> пункты на </w:t>
      </w:r>
      <w:r w:rsidR="00F261AF" w:rsidRPr="00BE63D8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E8307E" w:rsidRPr="00BE63D8">
        <w:rPr>
          <w:rFonts w:ascii="Times New Roman" w:hAnsi="Times New Roman"/>
          <w:sz w:val="28"/>
          <w:szCs w:val="28"/>
        </w:rPr>
        <w:t>автономного округа</w:t>
      </w:r>
      <w:r w:rsidR="00F261AF" w:rsidRPr="00BE63D8">
        <w:rPr>
          <w:rFonts w:ascii="Times New Roman" w:hAnsi="Times New Roman"/>
          <w:sz w:val="28"/>
          <w:szCs w:val="28"/>
        </w:rPr>
        <w:t xml:space="preserve"> с ограниченными сроками завоза грузов; </w:t>
      </w:r>
      <w:r w:rsidR="00CD674F" w:rsidRPr="00BE63D8">
        <w:rPr>
          <w:rFonts w:ascii="Times New Roman" w:hAnsi="Times New Roman"/>
          <w:sz w:val="28"/>
          <w:szCs w:val="28"/>
        </w:rPr>
        <w:t>о предоставлении грантов, присужденных по ито</w:t>
      </w:r>
      <w:r w:rsidR="00011BA7" w:rsidRPr="00BE63D8">
        <w:rPr>
          <w:rFonts w:ascii="Times New Roman" w:hAnsi="Times New Roman"/>
          <w:sz w:val="28"/>
          <w:szCs w:val="28"/>
        </w:rPr>
        <w:t xml:space="preserve">гам конкурсов </w:t>
      </w:r>
      <w:r w:rsidR="00C31861" w:rsidRPr="00BE63D8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E63D8">
        <w:rPr>
          <w:rFonts w:ascii="Times New Roman" w:hAnsi="Times New Roman"/>
          <w:sz w:val="28"/>
          <w:szCs w:val="28"/>
        </w:rPr>
        <w:t xml:space="preserve">; по обязательному страхованию лиц, замещающих </w:t>
      </w:r>
      <w:r w:rsidR="00C31861" w:rsidRPr="00BE63D8">
        <w:rPr>
          <w:rFonts w:ascii="Times New Roman" w:hAnsi="Times New Roman"/>
          <w:sz w:val="28"/>
          <w:szCs w:val="28"/>
        </w:rPr>
        <w:t>муниципальные</w:t>
      </w:r>
      <w:r w:rsidR="00CD674F" w:rsidRPr="00BE63D8">
        <w:rPr>
          <w:rFonts w:ascii="Times New Roman" w:hAnsi="Times New Roman"/>
          <w:sz w:val="28"/>
          <w:szCs w:val="28"/>
        </w:rPr>
        <w:t xml:space="preserve"> должности </w:t>
      </w:r>
      <w:r w:rsidR="00C31861" w:rsidRPr="00BE63D8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E63D8">
        <w:rPr>
          <w:rFonts w:ascii="Times New Roman" w:hAnsi="Times New Roman"/>
          <w:sz w:val="28"/>
          <w:szCs w:val="28"/>
        </w:rPr>
        <w:t xml:space="preserve">, лиц, замещающих должности </w:t>
      </w:r>
      <w:r w:rsidR="004B4F33" w:rsidRPr="00BE63D8">
        <w:rPr>
          <w:rFonts w:ascii="Times New Roman" w:hAnsi="Times New Roman"/>
          <w:sz w:val="28"/>
          <w:szCs w:val="28"/>
        </w:rPr>
        <w:t>муниципальной</w:t>
      </w:r>
      <w:r w:rsidR="00CD674F" w:rsidRPr="00BE63D8">
        <w:rPr>
          <w:rFonts w:ascii="Times New Roman" w:hAnsi="Times New Roman"/>
          <w:sz w:val="28"/>
          <w:szCs w:val="28"/>
        </w:rPr>
        <w:t xml:space="preserve"> службы </w:t>
      </w:r>
      <w:r w:rsidR="004B4F33" w:rsidRPr="00BE63D8">
        <w:rPr>
          <w:rFonts w:ascii="Times New Roman" w:hAnsi="Times New Roman"/>
          <w:sz w:val="28"/>
          <w:szCs w:val="28"/>
        </w:rPr>
        <w:t>Ханты-Мансийского района</w:t>
      </w:r>
      <w:r w:rsidR="00CD674F" w:rsidRPr="00BE63D8">
        <w:rPr>
          <w:rFonts w:ascii="Times New Roman" w:hAnsi="Times New Roman"/>
          <w:sz w:val="28"/>
          <w:szCs w:val="28"/>
        </w:rPr>
        <w:t>;</w:t>
      </w:r>
      <w:r w:rsidR="00CD674F" w:rsidRPr="00BE63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674F" w:rsidRPr="00BE63D8">
        <w:rPr>
          <w:rFonts w:ascii="Times New Roman" w:hAnsi="Times New Roman"/>
          <w:sz w:val="28"/>
          <w:szCs w:val="28"/>
        </w:rPr>
        <w:t>по обязательному страхованию гражданской ответственности владельцев транспортных средств</w:t>
      </w:r>
      <w:r w:rsidR="004B3DCE" w:rsidRPr="00BE63D8">
        <w:rPr>
          <w:rFonts w:ascii="Times New Roman" w:hAnsi="Times New Roman"/>
          <w:sz w:val="28"/>
          <w:szCs w:val="28"/>
        </w:rPr>
        <w:t>;</w:t>
      </w:r>
      <w:r w:rsidR="00E0318D" w:rsidRPr="00BE63D8">
        <w:rPr>
          <w:rFonts w:ascii="Times New Roman" w:hAnsi="Times New Roman"/>
          <w:sz w:val="28"/>
          <w:szCs w:val="28"/>
        </w:rPr>
        <w:t xml:space="preserve"> </w:t>
      </w:r>
      <w:r w:rsidR="00ED6F61" w:rsidRPr="00BE63D8">
        <w:rPr>
          <w:rFonts w:ascii="Times New Roman" w:hAnsi="Times New Roman"/>
          <w:sz w:val="28"/>
          <w:szCs w:val="28"/>
        </w:rPr>
        <w:t xml:space="preserve">по </w:t>
      </w:r>
      <w:r w:rsidR="00E0318D" w:rsidRPr="00BE63D8">
        <w:rPr>
          <w:rFonts w:ascii="Times New Roman" w:hAnsi="Times New Roman"/>
          <w:sz w:val="28"/>
          <w:szCs w:val="28"/>
        </w:rPr>
        <w:t>аренд</w:t>
      </w:r>
      <w:r w:rsidR="00ED6F61" w:rsidRPr="00BE63D8">
        <w:rPr>
          <w:rFonts w:ascii="Times New Roman" w:hAnsi="Times New Roman"/>
          <w:sz w:val="28"/>
          <w:szCs w:val="28"/>
        </w:rPr>
        <w:t>е</w:t>
      </w:r>
      <w:r w:rsidR="00E0318D" w:rsidRPr="00BE63D8">
        <w:rPr>
          <w:rFonts w:ascii="Times New Roman" w:hAnsi="Times New Roman"/>
          <w:sz w:val="28"/>
          <w:szCs w:val="28"/>
        </w:rPr>
        <w:t xml:space="preserve"> нежилых помещений для нужд органов администрации Ханты-Мансийского района, созданных</w:t>
      </w:r>
      <w:r w:rsidR="00ED6F61" w:rsidRPr="00BE63D8">
        <w:rPr>
          <w:rFonts w:ascii="Times New Roman" w:hAnsi="Times New Roman"/>
          <w:sz w:val="28"/>
          <w:szCs w:val="28"/>
        </w:rPr>
        <w:t xml:space="preserve"> </w:t>
      </w:r>
      <w:r w:rsidR="00E0318D" w:rsidRPr="00BE63D8">
        <w:rPr>
          <w:rFonts w:ascii="Times New Roman" w:hAnsi="Times New Roman"/>
          <w:sz w:val="28"/>
          <w:szCs w:val="28"/>
        </w:rPr>
        <w:t>в целях обеспечения исполнения полномочий администрации Ханты-Мансийского района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375096" w:rsidRPr="00BE63D8" w:rsidRDefault="004462F2" w:rsidP="00BE63D8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63D8" w:rsidRPr="00BE63D8">
        <w:rPr>
          <w:rFonts w:ascii="Times New Roman" w:hAnsi="Times New Roman"/>
          <w:sz w:val="28"/>
          <w:szCs w:val="28"/>
        </w:rPr>
        <w:t>праве осуществлять оплату по договорам (контрактам) энергоснабжения, теплоснабжения, газоснабжения, холодного водоснабжения и водоотведения в порядке, установленном Правительством Российской Федерации.</w:t>
      </w:r>
    </w:p>
    <w:p w:rsidR="00493D6B" w:rsidRPr="008E3D78" w:rsidRDefault="00493D6B" w:rsidP="000434D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D78">
        <w:rPr>
          <w:rFonts w:ascii="Times New Roman" w:hAnsi="Times New Roman"/>
          <w:sz w:val="28"/>
          <w:szCs w:val="28"/>
        </w:rPr>
        <w:t>Установить, что органы местного самоуправления района при реализации муниципальных «доро</w:t>
      </w:r>
      <w:r w:rsidR="00445CF2">
        <w:rPr>
          <w:rFonts w:ascii="Times New Roman" w:hAnsi="Times New Roman"/>
          <w:sz w:val="28"/>
          <w:szCs w:val="28"/>
        </w:rPr>
        <w:t xml:space="preserve">жных карт» в сферах образования </w:t>
      </w:r>
      <w:r w:rsidRPr="008E3D78">
        <w:rPr>
          <w:rFonts w:ascii="Times New Roman" w:hAnsi="Times New Roman"/>
          <w:sz w:val="28"/>
          <w:szCs w:val="28"/>
        </w:rPr>
        <w:t>и культуры в 201</w:t>
      </w:r>
      <w:r w:rsidR="008E3D78" w:rsidRPr="008E3D78">
        <w:rPr>
          <w:rFonts w:ascii="Times New Roman" w:hAnsi="Times New Roman"/>
          <w:sz w:val="28"/>
          <w:szCs w:val="28"/>
        </w:rPr>
        <w:t>7</w:t>
      </w:r>
      <w:r w:rsidRPr="008E3D78">
        <w:rPr>
          <w:rFonts w:ascii="Times New Roman" w:hAnsi="Times New Roman"/>
          <w:sz w:val="28"/>
          <w:szCs w:val="28"/>
        </w:rPr>
        <w:t xml:space="preserve"> году:</w:t>
      </w:r>
    </w:p>
    <w:p w:rsidR="00493D6B" w:rsidRPr="00554D33" w:rsidRDefault="00D90068" w:rsidP="00554D33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93D6B" w:rsidRPr="008E3D78">
        <w:rPr>
          <w:rFonts w:ascii="Times New Roman" w:hAnsi="Times New Roman" w:cs="Times New Roman"/>
          <w:sz w:val="28"/>
          <w:szCs w:val="28"/>
        </w:rPr>
        <w:t xml:space="preserve">беспечивают </w:t>
      </w:r>
      <w:r w:rsidR="008E3D78" w:rsidRPr="008E3D78">
        <w:rPr>
          <w:rFonts w:ascii="Times New Roman" w:hAnsi="Times New Roman" w:cs="Times New Roman"/>
          <w:sz w:val="28"/>
          <w:szCs w:val="28"/>
        </w:rPr>
        <w:t>за сч</w:t>
      </w:r>
      <w:r w:rsidR="000434D7">
        <w:rPr>
          <w:rFonts w:ascii="Times New Roman" w:hAnsi="Times New Roman" w:cs="Times New Roman"/>
          <w:sz w:val="28"/>
          <w:szCs w:val="28"/>
        </w:rPr>
        <w:t>е</w:t>
      </w:r>
      <w:r w:rsidR="008E3D78" w:rsidRPr="008E3D78">
        <w:rPr>
          <w:rFonts w:ascii="Times New Roman" w:hAnsi="Times New Roman" w:cs="Times New Roman"/>
          <w:sz w:val="28"/>
          <w:szCs w:val="28"/>
        </w:rPr>
        <w:t>т всех источников выполнение установленных соотношений по уровню номинальной</w:t>
      </w:r>
      <w:r w:rsidR="00493D6B" w:rsidRPr="008E3D78">
        <w:rPr>
          <w:rFonts w:ascii="Times New Roman" w:hAnsi="Times New Roman" w:cs="Times New Roman"/>
          <w:sz w:val="28"/>
          <w:szCs w:val="28"/>
        </w:rPr>
        <w:t xml:space="preserve"> заработной платы в среднем по отдельным категориям работников бюджетной с</w:t>
      </w:r>
      <w:r w:rsidR="00ED6F61" w:rsidRPr="008E3D78">
        <w:rPr>
          <w:rFonts w:ascii="Times New Roman" w:hAnsi="Times New Roman" w:cs="Times New Roman"/>
          <w:sz w:val="28"/>
          <w:szCs w:val="28"/>
        </w:rPr>
        <w:t>феры, подпадающим под действие у</w:t>
      </w:r>
      <w:r w:rsidR="00493D6B" w:rsidRPr="008E3D78">
        <w:rPr>
          <w:rFonts w:ascii="Times New Roman" w:hAnsi="Times New Roman" w:cs="Times New Roman"/>
          <w:sz w:val="28"/>
          <w:szCs w:val="28"/>
        </w:rPr>
        <w:t>казов Президента Российской Федерации от 7 мая 2012 года</w:t>
      </w:r>
      <w:r w:rsidR="00ED6F61" w:rsidRPr="008E3D78">
        <w:rPr>
          <w:rFonts w:ascii="Times New Roman" w:hAnsi="Times New Roman" w:cs="Times New Roman"/>
          <w:sz w:val="28"/>
          <w:szCs w:val="28"/>
        </w:rPr>
        <w:t xml:space="preserve"> </w:t>
      </w:r>
      <w:r w:rsidR="00493D6B" w:rsidRPr="008E3D78">
        <w:rPr>
          <w:rFonts w:ascii="Times New Roman" w:hAnsi="Times New Roman" w:cs="Times New Roman"/>
          <w:sz w:val="28"/>
          <w:szCs w:val="28"/>
        </w:rPr>
        <w:t xml:space="preserve">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</w:t>
      </w:r>
      <w:r w:rsidR="00ED6F61" w:rsidRPr="008E3D78">
        <w:rPr>
          <w:rFonts w:ascii="Times New Roman" w:hAnsi="Times New Roman" w:cs="Times New Roman"/>
          <w:sz w:val="28"/>
          <w:szCs w:val="28"/>
        </w:rPr>
        <w:t>–</w:t>
      </w:r>
      <w:r w:rsidR="00493D6B" w:rsidRPr="008E3D78">
        <w:rPr>
          <w:rFonts w:ascii="Times New Roman" w:hAnsi="Times New Roman" w:cs="Times New Roman"/>
          <w:sz w:val="28"/>
          <w:szCs w:val="28"/>
        </w:rPr>
        <w:t xml:space="preserve"> 2017 годы» (далее </w:t>
      </w:r>
      <w:r w:rsidR="00ED6F61" w:rsidRPr="008E3D78">
        <w:rPr>
          <w:rFonts w:ascii="Times New Roman" w:hAnsi="Times New Roman" w:cs="Times New Roman"/>
          <w:sz w:val="28"/>
          <w:szCs w:val="28"/>
        </w:rPr>
        <w:t>–</w:t>
      </w:r>
      <w:r w:rsidR="00493D6B" w:rsidRPr="008E3D78">
        <w:rPr>
          <w:rFonts w:ascii="Times New Roman" w:hAnsi="Times New Roman" w:cs="Times New Roman"/>
          <w:sz w:val="28"/>
          <w:szCs w:val="28"/>
        </w:rPr>
        <w:t xml:space="preserve"> отдельные</w:t>
      </w:r>
      <w:proofErr w:type="gramEnd"/>
      <w:r w:rsidR="00493D6B" w:rsidRPr="008E3D78">
        <w:rPr>
          <w:rFonts w:ascii="Times New Roman" w:hAnsi="Times New Roman" w:cs="Times New Roman"/>
          <w:sz w:val="28"/>
          <w:szCs w:val="28"/>
        </w:rPr>
        <w:t xml:space="preserve"> категории работников бюджетной сферы), в </w:t>
      </w:r>
      <w:r w:rsidR="008E3D78" w:rsidRPr="008E3D78">
        <w:rPr>
          <w:rFonts w:ascii="Times New Roman" w:hAnsi="Times New Roman" w:cs="Times New Roman"/>
          <w:sz w:val="28"/>
          <w:szCs w:val="28"/>
        </w:rPr>
        <w:t>том числе за сч</w:t>
      </w:r>
      <w:r w:rsidR="000434D7">
        <w:rPr>
          <w:rFonts w:ascii="Times New Roman" w:hAnsi="Times New Roman" w:cs="Times New Roman"/>
          <w:sz w:val="28"/>
          <w:szCs w:val="28"/>
        </w:rPr>
        <w:t>е</w:t>
      </w:r>
      <w:r w:rsidR="008E3D78" w:rsidRPr="008E3D78">
        <w:rPr>
          <w:rFonts w:ascii="Times New Roman" w:hAnsi="Times New Roman" w:cs="Times New Roman"/>
          <w:sz w:val="28"/>
          <w:szCs w:val="28"/>
        </w:rPr>
        <w:t xml:space="preserve">т </w:t>
      </w:r>
      <w:r w:rsidR="008E3D78" w:rsidRPr="00554D33">
        <w:rPr>
          <w:rFonts w:ascii="Times New Roman" w:hAnsi="Times New Roman" w:cs="Times New Roman"/>
          <w:sz w:val="28"/>
          <w:szCs w:val="28"/>
        </w:rPr>
        <w:t>оптимизации и повышения эффективности расходов в курируемой сфере</w:t>
      </w:r>
      <w:r w:rsidR="0082459F">
        <w:rPr>
          <w:rFonts w:ascii="Times New Roman" w:hAnsi="Times New Roman" w:cs="Times New Roman"/>
          <w:sz w:val="28"/>
          <w:szCs w:val="28"/>
        </w:rPr>
        <w:t>.</w:t>
      </w:r>
    </w:p>
    <w:p w:rsidR="00554D33" w:rsidRPr="00554D33" w:rsidRDefault="00D90068" w:rsidP="00554D33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4D33" w:rsidRPr="00554D33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554D33">
        <w:rPr>
          <w:rFonts w:ascii="Times New Roman" w:hAnsi="Times New Roman" w:cs="Times New Roman"/>
          <w:sz w:val="28"/>
          <w:szCs w:val="28"/>
        </w:rPr>
        <w:t>комитет по финансам администрации Ханты-Мансийского района</w:t>
      </w:r>
      <w:r w:rsidR="00554D33" w:rsidRPr="00554D33">
        <w:rPr>
          <w:rFonts w:ascii="Times New Roman" w:hAnsi="Times New Roman" w:cs="Times New Roman"/>
          <w:sz w:val="28"/>
          <w:szCs w:val="28"/>
        </w:rPr>
        <w:t xml:space="preserve"> расчеты повышения </w:t>
      </w:r>
      <w:proofErr w:type="gramStart"/>
      <w:r w:rsidR="00554D33" w:rsidRPr="00554D33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554D33" w:rsidRPr="00554D33">
        <w:rPr>
          <w:rFonts w:ascii="Times New Roman" w:hAnsi="Times New Roman" w:cs="Times New Roman"/>
          <w:sz w:val="28"/>
          <w:szCs w:val="28"/>
        </w:rPr>
        <w:t xml:space="preserve"> и предварительно согласовывают с ним значения целевых показателей корректировки </w:t>
      </w:r>
      <w:r w:rsidR="00554D33">
        <w:rPr>
          <w:rFonts w:ascii="Times New Roman" w:hAnsi="Times New Roman" w:cs="Times New Roman"/>
          <w:sz w:val="28"/>
          <w:szCs w:val="28"/>
        </w:rPr>
        <w:t>муниципальных</w:t>
      </w:r>
      <w:r w:rsidR="00554D33" w:rsidRPr="00554D33">
        <w:rPr>
          <w:rFonts w:ascii="Times New Roman" w:hAnsi="Times New Roman" w:cs="Times New Roman"/>
          <w:sz w:val="28"/>
          <w:szCs w:val="28"/>
        </w:rPr>
        <w:t xml:space="preserve"> </w:t>
      </w:r>
      <w:r w:rsidR="0082459F">
        <w:rPr>
          <w:rFonts w:ascii="Times New Roman" w:hAnsi="Times New Roman" w:cs="Times New Roman"/>
          <w:sz w:val="28"/>
          <w:szCs w:val="28"/>
        </w:rPr>
        <w:t>«</w:t>
      </w:r>
      <w:r w:rsidR="00554D33" w:rsidRPr="00554D33">
        <w:rPr>
          <w:rFonts w:ascii="Times New Roman" w:hAnsi="Times New Roman" w:cs="Times New Roman"/>
          <w:sz w:val="28"/>
          <w:szCs w:val="28"/>
        </w:rPr>
        <w:t>дорожных карт</w:t>
      </w:r>
      <w:r w:rsidR="0082459F">
        <w:rPr>
          <w:rFonts w:ascii="Times New Roman" w:hAnsi="Times New Roman" w:cs="Times New Roman"/>
          <w:sz w:val="28"/>
          <w:szCs w:val="28"/>
        </w:rPr>
        <w:t>»</w:t>
      </w:r>
      <w:r w:rsidR="00554D33" w:rsidRPr="00554D33">
        <w:rPr>
          <w:rFonts w:ascii="Times New Roman" w:hAnsi="Times New Roman" w:cs="Times New Roman"/>
          <w:sz w:val="28"/>
          <w:szCs w:val="28"/>
        </w:rPr>
        <w:t>.</w:t>
      </w:r>
    </w:p>
    <w:p w:rsidR="00536D04" w:rsidRDefault="00224240" w:rsidP="00536D04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B6651">
        <w:rPr>
          <w:sz w:val="28"/>
          <w:szCs w:val="28"/>
        </w:rPr>
        <w:t xml:space="preserve">Установить, что лимиты бюджетных обязательств на повышение оплаты труда работников муниципальных учреждений </w:t>
      </w:r>
      <w:r w:rsidR="00984464" w:rsidRPr="001B6651">
        <w:rPr>
          <w:sz w:val="28"/>
          <w:szCs w:val="28"/>
        </w:rPr>
        <w:t>сельских поселений</w:t>
      </w:r>
      <w:r w:rsidRPr="001B6651">
        <w:rPr>
          <w:sz w:val="28"/>
          <w:szCs w:val="28"/>
        </w:rPr>
        <w:t xml:space="preserve"> в 201</w:t>
      </w:r>
      <w:r w:rsidR="001B6651" w:rsidRPr="001B6651">
        <w:rPr>
          <w:sz w:val="28"/>
          <w:szCs w:val="28"/>
        </w:rPr>
        <w:t>7</w:t>
      </w:r>
      <w:r w:rsidRPr="001B6651">
        <w:rPr>
          <w:sz w:val="28"/>
          <w:szCs w:val="28"/>
        </w:rPr>
        <w:t xml:space="preserve"> год</w:t>
      </w:r>
      <w:r w:rsidR="00D34BBD" w:rsidRPr="001B6651">
        <w:rPr>
          <w:sz w:val="28"/>
          <w:szCs w:val="28"/>
        </w:rPr>
        <w:t>у</w:t>
      </w:r>
      <w:r w:rsidRPr="001B6651">
        <w:rPr>
          <w:sz w:val="28"/>
          <w:szCs w:val="28"/>
        </w:rPr>
        <w:t xml:space="preserve">, передаваемых в рамках </w:t>
      </w:r>
      <w:r w:rsidR="00984464" w:rsidRPr="001B6651">
        <w:rPr>
          <w:sz w:val="28"/>
          <w:szCs w:val="28"/>
        </w:rPr>
        <w:t xml:space="preserve">иных межбюджетных трансфертов </w:t>
      </w:r>
      <w:r w:rsidRPr="001B6651">
        <w:rPr>
          <w:sz w:val="28"/>
          <w:szCs w:val="28"/>
        </w:rPr>
        <w:t xml:space="preserve">из бюджета </w:t>
      </w:r>
      <w:r w:rsidR="00984464" w:rsidRPr="001B6651">
        <w:rPr>
          <w:sz w:val="28"/>
          <w:szCs w:val="28"/>
        </w:rPr>
        <w:t>района</w:t>
      </w:r>
      <w:r w:rsidRPr="001B6651">
        <w:rPr>
          <w:sz w:val="28"/>
          <w:szCs w:val="28"/>
        </w:rPr>
        <w:t xml:space="preserve">, принятых в соответствии с </w:t>
      </w:r>
      <w:r w:rsidR="00334748" w:rsidRPr="001B6651">
        <w:rPr>
          <w:sz w:val="28"/>
          <w:szCs w:val="28"/>
        </w:rPr>
        <w:t>У</w:t>
      </w:r>
      <w:r w:rsidRPr="001B6651">
        <w:rPr>
          <w:sz w:val="28"/>
          <w:szCs w:val="28"/>
        </w:rPr>
        <w:t>каз</w:t>
      </w:r>
      <w:r w:rsidR="00ED6F61" w:rsidRPr="001B6651">
        <w:rPr>
          <w:sz w:val="28"/>
          <w:szCs w:val="28"/>
        </w:rPr>
        <w:t>о</w:t>
      </w:r>
      <w:r w:rsidRPr="001B6651">
        <w:rPr>
          <w:sz w:val="28"/>
          <w:szCs w:val="28"/>
        </w:rPr>
        <w:t xml:space="preserve">м Президента Российской Федерации </w:t>
      </w:r>
      <w:r w:rsidRPr="001B6651">
        <w:rPr>
          <w:bCs/>
          <w:sz w:val="28"/>
          <w:szCs w:val="28"/>
        </w:rPr>
        <w:t xml:space="preserve">от 7 мая 2012 года </w:t>
      </w:r>
      <w:r w:rsidR="00F51A8F">
        <w:fldChar w:fldCharType="begin"/>
      </w:r>
      <w:r w:rsidR="00F51A8F">
        <w:instrText xml:space="preserve"> HYPERLINK "consultantplus://offline/ref=47A49D3F032CB00927E6649F70F2A73A4F0D4A058D2FF5EBB430395009f6P3J" </w:instrText>
      </w:r>
      <w:r w:rsidR="00F51A8F">
        <w:fldChar w:fldCharType="separate"/>
      </w:r>
      <w:r w:rsidRPr="001B6651">
        <w:rPr>
          <w:bCs/>
          <w:sz w:val="28"/>
          <w:szCs w:val="28"/>
        </w:rPr>
        <w:t>№ 597</w:t>
      </w:r>
      <w:r w:rsidR="00F51A8F">
        <w:rPr>
          <w:bCs/>
          <w:sz w:val="28"/>
          <w:szCs w:val="28"/>
        </w:rPr>
        <w:fldChar w:fldCharType="end"/>
      </w:r>
      <w:r w:rsidRPr="001B6651">
        <w:rPr>
          <w:bCs/>
          <w:sz w:val="28"/>
          <w:szCs w:val="28"/>
        </w:rPr>
        <w:t xml:space="preserve"> «О мероприятиях</w:t>
      </w:r>
      <w:r w:rsidR="00ED6F61" w:rsidRPr="001B6651">
        <w:rPr>
          <w:bCs/>
          <w:sz w:val="28"/>
          <w:szCs w:val="28"/>
        </w:rPr>
        <w:t xml:space="preserve"> </w:t>
      </w:r>
      <w:r w:rsidRPr="001B6651">
        <w:rPr>
          <w:bCs/>
          <w:sz w:val="28"/>
          <w:szCs w:val="28"/>
        </w:rPr>
        <w:t xml:space="preserve">по реализации государственной социальной политики», </w:t>
      </w:r>
      <w:r w:rsidRPr="001B6651">
        <w:rPr>
          <w:sz w:val="28"/>
          <w:szCs w:val="28"/>
        </w:rPr>
        <w:t>утверждаются</w:t>
      </w:r>
      <w:r w:rsidR="00ED6F61" w:rsidRPr="001B6651">
        <w:rPr>
          <w:sz w:val="28"/>
          <w:szCs w:val="28"/>
        </w:rPr>
        <w:t xml:space="preserve"> </w:t>
      </w:r>
      <w:r w:rsidRPr="001B6651">
        <w:rPr>
          <w:sz w:val="28"/>
          <w:szCs w:val="28"/>
        </w:rPr>
        <w:t xml:space="preserve">и доводятся до </w:t>
      </w:r>
      <w:r w:rsidR="00F03D2A" w:rsidRPr="001B6651">
        <w:rPr>
          <w:sz w:val="28"/>
          <w:szCs w:val="28"/>
        </w:rPr>
        <w:t>сельских поселений</w:t>
      </w:r>
      <w:r w:rsidRPr="001B6651">
        <w:rPr>
          <w:sz w:val="28"/>
          <w:szCs w:val="28"/>
        </w:rPr>
        <w:t xml:space="preserve"> после уточнения расчетов по результатам выполнения установленных</w:t>
      </w:r>
      <w:proofErr w:type="gramEnd"/>
      <w:r w:rsidRPr="001B6651">
        <w:rPr>
          <w:sz w:val="28"/>
          <w:szCs w:val="28"/>
        </w:rPr>
        <w:t xml:space="preserve"> региональными планами мероприятий по повышению эффективности отраслей социальной сферы («дорожными картами») целевых показателей соотношения средней </w:t>
      </w:r>
      <w:r w:rsidR="00445CF2">
        <w:rPr>
          <w:sz w:val="28"/>
          <w:szCs w:val="28"/>
        </w:rPr>
        <w:t>з</w:t>
      </w:r>
      <w:r w:rsidRPr="001B6651">
        <w:rPr>
          <w:sz w:val="28"/>
          <w:szCs w:val="28"/>
        </w:rPr>
        <w:t>аработной платы отдель</w:t>
      </w:r>
      <w:r w:rsidR="00193437" w:rsidRPr="001B6651">
        <w:rPr>
          <w:sz w:val="28"/>
          <w:szCs w:val="28"/>
        </w:rPr>
        <w:t>ных категорий работников</w:t>
      </w:r>
      <w:r w:rsidR="001B6651" w:rsidRPr="001B6651">
        <w:rPr>
          <w:sz w:val="28"/>
          <w:szCs w:val="28"/>
        </w:rPr>
        <w:t>.</w:t>
      </w:r>
    </w:p>
    <w:p w:rsidR="00224240" w:rsidRPr="00536D04" w:rsidRDefault="00193437" w:rsidP="00536D04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6D04">
        <w:rPr>
          <w:rFonts w:eastAsia="Calibri"/>
          <w:sz w:val="28"/>
          <w:szCs w:val="28"/>
          <w:lang w:eastAsia="en-US"/>
        </w:rPr>
        <w:t>Установить, что в 201</w:t>
      </w:r>
      <w:r w:rsidR="002C09FE" w:rsidRPr="00536D04">
        <w:rPr>
          <w:rFonts w:eastAsia="Calibri"/>
          <w:sz w:val="28"/>
          <w:szCs w:val="28"/>
          <w:lang w:eastAsia="en-US"/>
        </w:rPr>
        <w:t>7</w:t>
      </w:r>
      <w:r w:rsidRPr="00536D04">
        <w:rPr>
          <w:rFonts w:eastAsia="Calibri"/>
          <w:sz w:val="28"/>
          <w:szCs w:val="28"/>
          <w:lang w:eastAsia="en-US"/>
        </w:rPr>
        <w:t xml:space="preserve"> году</w:t>
      </w:r>
      <w:r w:rsidR="00224240" w:rsidRPr="00536D04">
        <w:rPr>
          <w:rFonts w:eastAsia="Calibri"/>
          <w:sz w:val="28"/>
          <w:szCs w:val="28"/>
          <w:lang w:eastAsia="en-US"/>
        </w:rPr>
        <w:t xml:space="preserve"> при предоставлении главными распорядителями средств бюджета </w:t>
      </w:r>
      <w:r w:rsidR="00C554C0" w:rsidRPr="00536D04">
        <w:rPr>
          <w:rFonts w:eastAsia="Calibri"/>
          <w:sz w:val="28"/>
          <w:szCs w:val="28"/>
          <w:lang w:eastAsia="en-US"/>
        </w:rPr>
        <w:t>района</w:t>
      </w:r>
      <w:r w:rsidR="00224240" w:rsidRPr="00536D04">
        <w:rPr>
          <w:rFonts w:eastAsia="Calibri"/>
          <w:sz w:val="28"/>
          <w:szCs w:val="28"/>
          <w:lang w:eastAsia="en-US"/>
        </w:rPr>
        <w:t xml:space="preserve"> предложений по внесению </w:t>
      </w:r>
      <w:r w:rsidR="00224240" w:rsidRPr="00536D04">
        <w:rPr>
          <w:rFonts w:eastAsia="Calibri"/>
          <w:sz w:val="28"/>
          <w:szCs w:val="28"/>
          <w:lang w:eastAsia="en-US"/>
        </w:rPr>
        <w:lastRenderedPageBreak/>
        <w:t xml:space="preserve">изменений в сводную бюджетную роспись </w:t>
      </w:r>
      <w:r w:rsidR="00C554C0" w:rsidRPr="00536D04">
        <w:rPr>
          <w:rFonts w:eastAsia="Calibri"/>
          <w:sz w:val="28"/>
          <w:szCs w:val="28"/>
          <w:lang w:eastAsia="en-US"/>
        </w:rPr>
        <w:t>Ханты-Мансийского района</w:t>
      </w:r>
      <w:r w:rsidR="00224240" w:rsidRPr="00536D04">
        <w:rPr>
          <w:rFonts w:eastAsia="Calibri"/>
          <w:sz w:val="28"/>
          <w:szCs w:val="28"/>
          <w:lang w:eastAsia="en-US"/>
        </w:rPr>
        <w:t xml:space="preserve"> </w:t>
      </w:r>
      <w:r w:rsidR="00536D04">
        <w:rPr>
          <w:rFonts w:eastAsia="Calibri"/>
          <w:sz w:val="28"/>
          <w:szCs w:val="28"/>
          <w:lang w:eastAsia="en-US"/>
        </w:rPr>
        <w:t xml:space="preserve"> </w:t>
      </w:r>
      <w:r w:rsidRPr="00536D04">
        <w:rPr>
          <w:rFonts w:eastAsia="Calibri"/>
          <w:sz w:val="28"/>
          <w:szCs w:val="28"/>
          <w:lang w:eastAsia="en-US"/>
        </w:rPr>
        <w:t xml:space="preserve">  </w:t>
      </w:r>
      <w:r w:rsidR="00224240" w:rsidRPr="00536D04">
        <w:rPr>
          <w:rFonts w:eastAsia="Calibri"/>
          <w:sz w:val="28"/>
          <w:szCs w:val="28"/>
          <w:lang w:eastAsia="en-US"/>
        </w:rPr>
        <w:t>не допускается перераспределение на иные цели бюджетных ассигнований</w:t>
      </w:r>
      <w:r w:rsidR="00405708" w:rsidRPr="00536D04">
        <w:rPr>
          <w:rFonts w:eastAsia="Calibri"/>
          <w:sz w:val="28"/>
          <w:szCs w:val="28"/>
          <w:lang w:eastAsia="en-US"/>
        </w:rPr>
        <w:t>, предусмотренных</w:t>
      </w:r>
      <w:r w:rsidR="00224240" w:rsidRPr="00536D04">
        <w:rPr>
          <w:rFonts w:eastAsia="Calibri"/>
          <w:sz w:val="28"/>
          <w:szCs w:val="28"/>
          <w:lang w:eastAsia="en-US"/>
        </w:rPr>
        <w:t>:</w:t>
      </w:r>
    </w:p>
    <w:p w:rsidR="00536D04" w:rsidRDefault="00801BDD" w:rsidP="00536D04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224240" w:rsidRPr="002C09FE">
        <w:rPr>
          <w:rFonts w:eastAsia="Calibri"/>
          <w:sz w:val="28"/>
          <w:szCs w:val="28"/>
          <w:lang w:eastAsia="en-US"/>
        </w:rPr>
        <w:t>а уплату налога на имущество организаций</w:t>
      </w:r>
      <w:r w:rsidR="0082459F">
        <w:rPr>
          <w:rFonts w:eastAsia="Calibri"/>
          <w:sz w:val="28"/>
          <w:szCs w:val="28"/>
          <w:lang w:eastAsia="en-US"/>
        </w:rPr>
        <w:t>.</w:t>
      </w:r>
    </w:p>
    <w:p w:rsidR="00536D04" w:rsidRDefault="00801BDD" w:rsidP="00536D04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224240" w:rsidRPr="00536D04">
        <w:rPr>
          <w:rFonts w:eastAsia="Calibri"/>
          <w:sz w:val="28"/>
          <w:szCs w:val="28"/>
          <w:lang w:eastAsia="en-US"/>
        </w:rPr>
        <w:t xml:space="preserve">а реализацию указов Президента Российской Федерации </w:t>
      </w:r>
      <w:r w:rsidR="00ED6F61" w:rsidRPr="00536D0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224240" w:rsidRPr="00536D04">
        <w:rPr>
          <w:rFonts w:eastAsia="Calibri"/>
          <w:sz w:val="28"/>
          <w:szCs w:val="28"/>
          <w:lang w:eastAsia="en-US"/>
        </w:rPr>
        <w:t xml:space="preserve">по повышению </w:t>
      </w:r>
      <w:proofErr w:type="gramStart"/>
      <w:r w:rsidR="00224240" w:rsidRPr="00536D04">
        <w:rPr>
          <w:rFonts w:eastAsia="Calibri"/>
          <w:sz w:val="28"/>
          <w:szCs w:val="28"/>
          <w:lang w:eastAsia="en-US"/>
        </w:rPr>
        <w:t>оплаты труда отдельных категорий работников бюджетной сферы</w:t>
      </w:r>
      <w:proofErr w:type="gramEnd"/>
      <w:r w:rsidR="0082459F">
        <w:rPr>
          <w:rFonts w:eastAsia="Calibri"/>
          <w:sz w:val="28"/>
          <w:szCs w:val="28"/>
          <w:lang w:eastAsia="en-US"/>
        </w:rPr>
        <w:t>.</w:t>
      </w:r>
    </w:p>
    <w:p w:rsidR="00536D04" w:rsidRPr="00536D04" w:rsidRDefault="00801BDD" w:rsidP="00536D04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Н</w:t>
      </w:r>
      <w:r w:rsidR="00405708" w:rsidRPr="00536D04">
        <w:rPr>
          <w:sz w:val="28"/>
          <w:szCs w:val="28"/>
        </w:rPr>
        <w:t xml:space="preserve">а </w:t>
      </w:r>
      <w:r w:rsidR="002C09FE" w:rsidRPr="00536D04">
        <w:rPr>
          <w:sz w:val="28"/>
          <w:szCs w:val="28"/>
        </w:rPr>
        <w:t>оплату труда</w:t>
      </w:r>
      <w:r w:rsidR="00C32DE8" w:rsidRPr="00536D04">
        <w:rPr>
          <w:sz w:val="28"/>
          <w:szCs w:val="28"/>
        </w:rPr>
        <w:t xml:space="preserve"> и начисления на выплаты по оплате труда, </w:t>
      </w:r>
      <w:r w:rsidR="002C09FE" w:rsidRPr="00536D04">
        <w:rPr>
          <w:sz w:val="28"/>
          <w:szCs w:val="28"/>
        </w:rPr>
        <w:t xml:space="preserve">               </w:t>
      </w:r>
      <w:r w:rsidR="00C32DE8" w:rsidRPr="00536D04">
        <w:rPr>
          <w:sz w:val="28"/>
          <w:szCs w:val="28"/>
        </w:rPr>
        <w:t>за исключением исполнения требований по исполнительным листам, выплат выходных пособий, выплат в связи с назначением пенсии</w:t>
      </w:r>
      <w:r w:rsidR="002C09FE" w:rsidRPr="00536D04">
        <w:rPr>
          <w:sz w:val="28"/>
          <w:szCs w:val="28"/>
        </w:rPr>
        <w:t xml:space="preserve"> </w:t>
      </w:r>
      <w:r w:rsidR="00C32DE8" w:rsidRPr="00536D04">
        <w:rPr>
          <w:sz w:val="28"/>
          <w:szCs w:val="28"/>
        </w:rPr>
        <w:t xml:space="preserve"> </w:t>
      </w:r>
      <w:r w:rsidR="00ED6F61" w:rsidRPr="00536D04">
        <w:rPr>
          <w:sz w:val="28"/>
          <w:szCs w:val="28"/>
        </w:rPr>
        <w:t xml:space="preserve">     </w:t>
      </w:r>
      <w:r w:rsidR="002C09FE" w:rsidRPr="00536D04">
        <w:rPr>
          <w:sz w:val="28"/>
          <w:szCs w:val="28"/>
        </w:rPr>
        <w:t xml:space="preserve"> </w:t>
      </w:r>
      <w:r w:rsidR="00ED6F61" w:rsidRPr="00536D04">
        <w:rPr>
          <w:sz w:val="28"/>
          <w:szCs w:val="28"/>
        </w:rPr>
        <w:t xml:space="preserve">        </w:t>
      </w:r>
      <w:r w:rsidR="00C32DE8" w:rsidRPr="00536D04">
        <w:rPr>
          <w:sz w:val="28"/>
          <w:szCs w:val="28"/>
        </w:rPr>
        <w:t>за выслугу лет, выплат работникам, муниципальным служащим среднемесячного заработка на период трудоустройства при их увольнении в связи</w:t>
      </w:r>
      <w:r w:rsidR="00405708" w:rsidRPr="00536D04">
        <w:rPr>
          <w:sz w:val="28"/>
          <w:szCs w:val="28"/>
        </w:rPr>
        <w:t xml:space="preserve"> </w:t>
      </w:r>
      <w:r w:rsidR="00C32DE8" w:rsidRPr="00536D04">
        <w:rPr>
          <w:sz w:val="28"/>
          <w:szCs w:val="28"/>
        </w:rPr>
        <w:t>с ликвидацией либо реорганизацией учреждения, иными организационно-штатными мероприятиями, приводящими к сокращению численности работников уч</w:t>
      </w:r>
      <w:r w:rsidR="00405708" w:rsidRPr="00536D04">
        <w:rPr>
          <w:sz w:val="28"/>
          <w:szCs w:val="28"/>
        </w:rPr>
        <w:t>реждения</w:t>
      </w:r>
      <w:r w:rsidR="0082459F">
        <w:rPr>
          <w:sz w:val="28"/>
          <w:szCs w:val="28"/>
        </w:rPr>
        <w:t>.</w:t>
      </w:r>
      <w:proofErr w:type="gramEnd"/>
    </w:p>
    <w:p w:rsidR="00405708" w:rsidRPr="00536D04" w:rsidRDefault="00801BDD" w:rsidP="00536D04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405708" w:rsidRPr="00536D04">
        <w:rPr>
          <w:sz w:val="28"/>
          <w:szCs w:val="28"/>
        </w:rPr>
        <w:t>а оплату коммунальных услуг.</w:t>
      </w:r>
    </w:p>
    <w:p w:rsidR="00BC19C9" w:rsidRPr="0075123A" w:rsidRDefault="00205BC6" w:rsidP="00536D04">
      <w:pPr>
        <w:pStyle w:val="a5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23A">
        <w:rPr>
          <w:rFonts w:ascii="Times New Roman" w:hAnsi="Times New Roman"/>
          <w:sz w:val="28"/>
          <w:szCs w:val="28"/>
        </w:rPr>
        <w:t>Рекомендовать органам местного самоуправления сельских поселений Ханты-Мансийского района: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3C97" w:rsidRPr="0075123A">
        <w:rPr>
          <w:rFonts w:ascii="Times New Roman" w:hAnsi="Times New Roman"/>
          <w:sz w:val="28"/>
          <w:szCs w:val="28"/>
        </w:rPr>
        <w:t>ринять аналогичные планы мероприятий по росту доходов, оптимизации расходов местных бюджетов и сокращению муниципального долга на 201</w:t>
      </w:r>
      <w:r w:rsidR="0075123A" w:rsidRPr="0075123A">
        <w:rPr>
          <w:rFonts w:ascii="Times New Roman" w:hAnsi="Times New Roman"/>
          <w:sz w:val="28"/>
          <w:szCs w:val="28"/>
        </w:rPr>
        <w:t>7</w:t>
      </w:r>
      <w:r w:rsidR="003C3C97" w:rsidRPr="0075123A">
        <w:rPr>
          <w:rFonts w:ascii="Times New Roman" w:hAnsi="Times New Roman"/>
          <w:sz w:val="28"/>
          <w:szCs w:val="28"/>
        </w:rPr>
        <w:t xml:space="preserve"> год </w:t>
      </w:r>
      <w:r w:rsidR="0075123A" w:rsidRPr="0075123A">
        <w:rPr>
          <w:rFonts w:ascii="Times New Roman" w:hAnsi="Times New Roman"/>
          <w:sz w:val="28"/>
          <w:szCs w:val="28"/>
        </w:rPr>
        <w:t xml:space="preserve">и плановый период 2018 и 2019 годов </w:t>
      </w:r>
      <w:r w:rsidR="003C3C97" w:rsidRPr="0075123A">
        <w:rPr>
          <w:rFonts w:ascii="Times New Roman" w:hAnsi="Times New Roman"/>
          <w:sz w:val="28"/>
          <w:szCs w:val="28"/>
        </w:rPr>
        <w:t xml:space="preserve">в соответствии с пунктом 2 настоящего постановления. Представлять в </w:t>
      </w:r>
      <w:r w:rsidR="009B7DB3" w:rsidRPr="0075123A">
        <w:rPr>
          <w:rFonts w:ascii="Times New Roman" w:hAnsi="Times New Roman"/>
          <w:sz w:val="28"/>
          <w:szCs w:val="28"/>
        </w:rPr>
        <w:t xml:space="preserve">комитет по финансам </w:t>
      </w:r>
      <w:r w:rsidR="00712D5C" w:rsidRPr="0075123A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C3C97" w:rsidRPr="0075123A">
        <w:rPr>
          <w:rFonts w:ascii="Times New Roman" w:hAnsi="Times New Roman"/>
          <w:sz w:val="28"/>
          <w:szCs w:val="28"/>
        </w:rPr>
        <w:t xml:space="preserve"> сводную информацию о выполнении плана мероприятий по росту доходов, оптимизации расходов местных бюджетов и сокращению муниципального долга </w:t>
      </w:r>
      <w:r w:rsidR="0075123A" w:rsidRPr="0075123A">
        <w:rPr>
          <w:rFonts w:ascii="Times New Roman" w:hAnsi="Times New Roman"/>
          <w:sz w:val="28"/>
          <w:szCs w:val="28"/>
        </w:rPr>
        <w:t>на 2017 год и плановый период 2018 и 2019 годов</w:t>
      </w:r>
      <w:r w:rsidR="003C3C97" w:rsidRPr="0075123A">
        <w:rPr>
          <w:rFonts w:ascii="Times New Roman" w:hAnsi="Times New Roman"/>
          <w:sz w:val="28"/>
          <w:szCs w:val="28"/>
        </w:rPr>
        <w:t xml:space="preserve"> по форме</w:t>
      </w:r>
      <w:r w:rsidR="00193437" w:rsidRPr="0075123A">
        <w:rPr>
          <w:rFonts w:ascii="Times New Roman" w:hAnsi="Times New Roman"/>
          <w:sz w:val="28"/>
          <w:szCs w:val="28"/>
        </w:rPr>
        <w:t xml:space="preserve"> </w:t>
      </w:r>
      <w:r w:rsidR="003C3C97" w:rsidRPr="0075123A">
        <w:rPr>
          <w:rFonts w:ascii="Times New Roman" w:hAnsi="Times New Roman"/>
          <w:sz w:val="28"/>
          <w:szCs w:val="28"/>
        </w:rPr>
        <w:t>и в сроки, установленные им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C3C97" w:rsidRPr="00536D04">
        <w:rPr>
          <w:rFonts w:ascii="Times New Roman" w:hAnsi="Times New Roman"/>
          <w:sz w:val="28"/>
          <w:szCs w:val="28"/>
        </w:rPr>
        <w:t>беспечить сбалансированность местных бюджетов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C3C97" w:rsidRPr="00536D04">
        <w:rPr>
          <w:rFonts w:ascii="Times New Roman" w:hAnsi="Times New Roman"/>
          <w:sz w:val="28"/>
          <w:szCs w:val="28"/>
        </w:rPr>
        <w:t xml:space="preserve">беспечить при формировании местных бюджетов полное финансовое обеспечение </w:t>
      </w:r>
      <w:r w:rsidR="00271880" w:rsidRPr="00536D04">
        <w:rPr>
          <w:rFonts w:ascii="Times New Roman" w:hAnsi="Times New Roman"/>
          <w:sz w:val="28"/>
          <w:szCs w:val="28"/>
        </w:rPr>
        <w:t>в бюджете сельского поселения на 2017 год социально значимых расходных обязательств по кодам классификации операций сектора государственного управления (включая бюджетные и автономные учреждения): 211 «Заработная плата», 213 «Начисления на выплаты по оплате труда», 223 «Коммунальные услуги»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2262" w:rsidRPr="00536D04">
        <w:rPr>
          <w:rFonts w:ascii="Times New Roman" w:hAnsi="Times New Roman"/>
          <w:sz w:val="28"/>
          <w:szCs w:val="28"/>
        </w:rPr>
        <w:t xml:space="preserve">беспечить реализацию и своевременное внесение изменений в соглашения, направленные на обеспечение достижения целевых показателей (нормативов) оптимизации сети муниципальных учреждений и поэтапного повышения </w:t>
      </w:r>
      <w:proofErr w:type="gramStart"/>
      <w:r w:rsidR="00D62262" w:rsidRPr="00536D04">
        <w:rPr>
          <w:rFonts w:ascii="Times New Roman" w:hAnsi="Times New Roman"/>
          <w:sz w:val="28"/>
          <w:szCs w:val="28"/>
        </w:rPr>
        <w:t>оплаты труда отдельных категорий работников муниципальных учреждений сферы культуры</w:t>
      </w:r>
      <w:proofErr w:type="gramEnd"/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C3C97" w:rsidRPr="00536D04">
        <w:rPr>
          <w:rFonts w:ascii="Times New Roman" w:hAnsi="Times New Roman"/>
          <w:sz w:val="28"/>
          <w:szCs w:val="28"/>
        </w:rPr>
        <w:t xml:space="preserve">беспечить повышение эффективности бюджетных расходов, </w:t>
      </w:r>
      <w:r w:rsidR="00193437" w:rsidRPr="00536D04">
        <w:rPr>
          <w:rFonts w:ascii="Times New Roman" w:hAnsi="Times New Roman"/>
          <w:sz w:val="28"/>
          <w:szCs w:val="28"/>
        </w:rPr>
        <w:t xml:space="preserve">                     </w:t>
      </w:r>
      <w:r w:rsidR="003C3C97" w:rsidRPr="00536D04">
        <w:rPr>
          <w:rFonts w:ascii="Times New Roman" w:hAnsi="Times New Roman"/>
          <w:sz w:val="28"/>
          <w:szCs w:val="28"/>
        </w:rPr>
        <w:t>в том числе не допускать необоснованного увеличения количества принимаемых расходных обязательств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3C97" w:rsidRPr="00536D04">
        <w:rPr>
          <w:rFonts w:ascii="Times New Roman" w:hAnsi="Times New Roman"/>
          <w:sz w:val="28"/>
          <w:szCs w:val="28"/>
        </w:rPr>
        <w:t>е допускать образования просроченной кредиторской задолженности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3C3C97" w:rsidRPr="00536D04">
        <w:rPr>
          <w:rFonts w:ascii="Times New Roman" w:hAnsi="Times New Roman"/>
          <w:sz w:val="28"/>
          <w:szCs w:val="28"/>
        </w:rPr>
        <w:t>е принимать решения, приводящие к увеличению численности работников бюджетной сферы и органов местного самоуправления, за исключением случаев, когда увеличение численности работников бюджетной сферы и органов мес</w:t>
      </w:r>
      <w:r w:rsidR="00706875">
        <w:rPr>
          <w:rFonts w:ascii="Times New Roman" w:hAnsi="Times New Roman"/>
          <w:sz w:val="28"/>
          <w:szCs w:val="28"/>
        </w:rPr>
        <w:t>тного самоуправления необходимо д</w:t>
      </w:r>
      <w:r w:rsidR="003C3C97" w:rsidRPr="00536D04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3C3C97" w:rsidRPr="00536D04">
        <w:rPr>
          <w:rFonts w:ascii="Times New Roman" w:hAnsi="Times New Roman"/>
          <w:sz w:val="28"/>
          <w:szCs w:val="28"/>
        </w:rPr>
        <w:t>реализации</w:t>
      </w:r>
      <w:proofErr w:type="gramEnd"/>
      <w:r w:rsidR="003C3C97" w:rsidRPr="00536D04">
        <w:rPr>
          <w:rFonts w:ascii="Times New Roman" w:hAnsi="Times New Roman"/>
          <w:sz w:val="28"/>
          <w:szCs w:val="28"/>
        </w:rPr>
        <w:t xml:space="preserve"> переданных государственных</w:t>
      </w:r>
      <w:r w:rsidR="00105975" w:rsidRPr="00536D04">
        <w:rPr>
          <w:rFonts w:ascii="Times New Roman" w:hAnsi="Times New Roman"/>
          <w:sz w:val="28"/>
          <w:szCs w:val="28"/>
        </w:rPr>
        <w:t xml:space="preserve"> и муниципа</w:t>
      </w:r>
      <w:r w:rsidR="00544D81" w:rsidRPr="00536D04">
        <w:rPr>
          <w:rFonts w:ascii="Times New Roman" w:hAnsi="Times New Roman"/>
          <w:sz w:val="28"/>
          <w:szCs w:val="28"/>
        </w:rPr>
        <w:t>льных</w:t>
      </w:r>
      <w:r w:rsidR="003C3C97" w:rsidRPr="00536D04">
        <w:rPr>
          <w:rFonts w:ascii="Times New Roman" w:hAnsi="Times New Roman"/>
          <w:sz w:val="28"/>
          <w:szCs w:val="28"/>
        </w:rPr>
        <w:t xml:space="preserve"> полномочий и федеральных законов, предусматривающих расширение полномочий органов местного самоуправления, а также связано с вводом новых объектов капитального строительства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536D04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3C97" w:rsidRPr="00536D04">
        <w:rPr>
          <w:rFonts w:ascii="Times New Roman" w:hAnsi="Times New Roman"/>
          <w:sz w:val="28"/>
          <w:szCs w:val="28"/>
        </w:rPr>
        <w:t>е допускать превышение нормативов расходов на содержание органов местного самоуправления</w:t>
      </w:r>
      <w:r w:rsidR="0082459F">
        <w:rPr>
          <w:rFonts w:ascii="Times New Roman" w:hAnsi="Times New Roman"/>
          <w:sz w:val="28"/>
          <w:szCs w:val="28"/>
        </w:rPr>
        <w:t>.</w:t>
      </w:r>
    </w:p>
    <w:p w:rsidR="00F96D4A" w:rsidRPr="00915263" w:rsidRDefault="00B31326" w:rsidP="00536D04">
      <w:pPr>
        <w:pStyle w:val="a5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5BC6" w:rsidRPr="00536D04">
        <w:rPr>
          <w:rFonts w:ascii="Times New Roman" w:hAnsi="Times New Roman"/>
          <w:sz w:val="28"/>
          <w:szCs w:val="28"/>
        </w:rPr>
        <w:t>редстав</w:t>
      </w:r>
      <w:r w:rsidR="00554D33" w:rsidRPr="00536D04">
        <w:rPr>
          <w:rFonts w:ascii="Times New Roman" w:hAnsi="Times New Roman"/>
          <w:sz w:val="28"/>
          <w:szCs w:val="28"/>
        </w:rPr>
        <w:t>и</w:t>
      </w:r>
      <w:r w:rsidR="00205BC6" w:rsidRPr="00536D04">
        <w:rPr>
          <w:rFonts w:ascii="Times New Roman" w:hAnsi="Times New Roman"/>
          <w:sz w:val="28"/>
          <w:szCs w:val="28"/>
        </w:rPr>
        <w:t xml:space="preserve">ть в комитет по финансам администрации района </w:t>
      </w:r>
      <w:r w:rsidR="00F96D4A" w:rsidRPr="00536D04">
        <w:rPr>
          <w:rFonts w:ascii="Times New Roman" w:hAnsi="Times New Roman"/>
          <w:sz w:val="28"/>
          <w:szCs w:val="28"/>
        </w:rPr>
        <w:t xml:space="preserve">принятое </w:t>
      </w:r>
      <w:r w:rsidR="00857DC9" w:rsidRPr="00536D04">
        <w:rPr>
          <w:rFonts w:ascii="Times New Roman" w:hAnsi="Times New Roman"/>
          <w:sz w:val="28"/>
          <w:szCs w:val="28"/>
        </w:rPr>
        <w:t>Советом депутатов</w:t>
      </w:r>
      <w:r w:rsidR="00F96D4A" w:rsidRPr="00536D04">
        <w:rPr>
          <w:rFonts w:ascii="Times New Roman" w:hAnsi="Times New Roman"/>
          <w:sz w:val="28"/>
          <w:szCs w:val="28"/>
        </w:rPr>
        <w:t xml:space="preserve"> решение о бюджете </w:t>
      </w:r>
      <w:r w:rsidR="00857DC9" w:rsidRPr="00536D04">
        <w:rPr>
          <w:rFonts w:ascii="Times New Roman" w:hAnsi="Times New Roman"/>
          <w:sz w:val="28"/>
          <w:szCs w:val="28"/>
        </w:rPr>
        <w:t>сельского поселения</w:t>
      </w:r>
      <w:r w:rsidR="00F96D4A" w:rsidRPr="00536D04">
        <w:rPr>
          <w:rFonts w:ascii="Times New Roman" w:hAnsi="Times New Roman"/>
          <w:sz w:val="28"/>
          <w:szCs w:val="28"/>
        </w:rPr>
        <w:t xml:space="preserve"> на 2017 год и плановый период 2018 и 2019 годов, а также решения о </w:t>
      </w:r>
      <w:r w:rsidR="00F96D4A" w:rsidRPr="00915263">
        <w:rPr>
          <w:rFonts w:ascii="Times New Roman" w:hAnsi="Times New Roman"/>
          <w:sz w:val="28"/>
          <w:szCs w:val="28"/>
        </w:rPr>
        <w:t>внесении изменений и дополнений в него в течение 5 дней после вступления в силу указанных решений.</w:t>
      </w:r>
    </w:p>
    <w:p w:rsidR="00536D04" w:rsidRDefault="00205BC6" w:rsidP="00536D04">
      <w:pPr>
        <w:pStyle w:val="a5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263">
        <w:rPr>
          <w:rFonts w:ascii="Times New Roman" w:hAnsi="Times New Roman"/>
          <w:sz w:val="28"/>
          <w:szCs w:val="28"/>
        </w:rPr>
        <w:t>Главным распорядителям бюджетных средств</w:t>
      </w:r>
      <w:r w:rsidR="003343AC" w:rsidRPr="00915263">
        <w:rPr>
          <w:rFonts w:ascii="Times New Roman" w:hAnsi="Times New Roman"/>
          <w:sz w:val="28"/>
          <w:szCs w:val="28"/>
        </w:rPr>
        <w:t>, главным администраторам поступлений</w:t>
      </w:r>
      <w:r w:rsidRPr="00915263">
        <w:rPr>
          <w:rFonts w:ascii="Times New Roman" w:hAnsi="Times New Roman"/>
          <w:sz w:val="28"/>
          <w:szCs w:val="28"/>
        </w:rPr>
        <w:t xml:space="preserve"> Ханты-Мансийского района в срок</w:t>
      </w:r>
      <w:r w:rsidR="00ED6F61" w:rsidRPr="00915263">
        <w:rPr>
          <w:rFonts w:ascii="Times New Roman" w:hAnsi="Times New Roman"/>
          <w:sz w:val="28"/>
          <w:szCs w:val="28"/>
        </w:rPr>
        <w:t xml:space="preserve">                         </w:t>
      </w:r>
      <w:r w:rsidRPr="00915263">
        <w:rPr>
          <w:rFonts w:ascii="Times New Roman" w:hAnsi="Times New Roman"/>
          <w:sz w:val="28"/>
          <w:szCs w:val="28"/>
        </w:rPr>
        <w:t xml:space="preserve"> до 25-го числа месяца, следующего</w:t>
      </w:r>
      <w:r w:rsidRPr="003C6D95">
        <w:rPr>
          <w:rFonts w:ascii="Times New Roman" w:hAnsi="Times New Roman"/>
          <w:sz w:val="28"/>
          <w:szCs w:val="28"/>
        </w:rPr>
        <w:t xml:space="preserve"> за отчетным кварталом, представлять</w:t>
      </w:r>
      <w:r w:rsidR="00ED6F61" w:rsidRPr="003C6D95">
        <w:rPr>
          <w:rFonts w:ascii="Times New Roman" w:hAnsi="Times New Roman"/>
          <w:sz w:val="28"/>
          <w:szCs w:val="28"/>
        </w:rPr>
        <w:t xml:space="preserve">           </w:t>
      </w:r>
      <w:r w:rsidRPr="003C6D95">
        <w:rPr>
          <w:rFonts w:ascii="Times New Roman" w:hAnsi="Times New Roman"/>
          <w:sz w:val="28"/>
          <w:szCs w:val="28"/>
        </w:rPr>
        <w:t xml:space="preserve"> в комитет по финансам администрации района информацию о выполнении данного постановления по соответствующим пунктам.</w:t>
      </w:r>
    </w:p>
    <w:p w:rsidR="008938C1" w:rsidRPr="00536D04" w:rsidRDefault="000F4049" w:rsidP="00536D04">
      <w:pPr>
        <w:pStyle w:val="a5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D04">
        <w:rPr>
          <w:rFonts w:ascii="Times New Roman" w:hAnsi="Times New Roman"/>
          <w:sz w:val="28"/>
          <w:szCs w:val="28"/>
        </w:rPr>
        <w:t>Комитету</w:t>
      </w:r>
      <w:r w:rsidR="003F4080" w:rsidRPr="00536D04">
        <w:rPr>
          <w:rFonts w:ascii="Times New Roman" w:hAnsi="Times New Roman"/>
          <w:sz w:val="28"/>
          <w:szCs w:val="28"/>
        </w:rPr>
        <w:t xml:space="preserve"> </w:t>
      </w:r>
      <w:r w:rsidR="00205BC6" w:rsidRPr="00536D04">
        <w:rPr>
          <w:rFonts w:ascii="Times New Roman" w:hAnsi="Times New Roman"/>
          <w:sz w:val="28"/>
          <w:szCs w:val="28"/>
        </w:rPr>
        <w:t>по</w:t>
      </w:r>
      <w:r w:rsidRPr="00536D04">
        <w:rPr>
          <w:rFonts w:ascii="Times New Roman" w:hAnsi="Times New Roman"/>
          <w:sz w:val="28"/>
          <w:szCs w:val="28"/>
        </w:rPr>
        <w:t xml:space="preserve"> финансам</w:t>
      </w:r>
      <w:r w:rsidR="003F4080" w:rsidRPr="00536D04">
        <w:rPr>
          <w:rFonts w:ascii="Times New Roman" w:hAnsi="Times New Roman"/>
          <w:sz w:val="28"/>
          <w:szCs w:val="28"/>
        </w:rPr>
        <w:t xml:space="preserve"> </w:t>
      </w:r>
      <w:r w:rsidR="00205BC6" w:rsidRPr="00536D04">
        <w:rPr>
          <w:rFonts w:ascii="Times New Roman" w:hAnsi="Times New Roman"/>
          <w:sz w:val="28"/>
          <w:szCs w:val="28"/>
        </w:rPr>
        <w:t>администрации</w:t>
      </w:r>
      <w:r w:rsidRPr="00536D04">
        <w:rPr>
          <w:rFonts w:ascii="Times New Roman" w:hAnsi="Times New Roman"/>
          <w:sz w:val="28"/>
          <w:szCs w:val="28"/>
        </w:rPr>
        <w:t xml:space="preserve"> </w:t>
      </w:r>
      <w:r w:rsidR="00205BC6" w:rsidRPr="00536D04">
        <w:rPr>
          <w:rFonts w:ascii="Times New Roman" w:hAnsi="Times New Roman"/>
          <w:sz w:val="28"/>
          <w:szCs w:val="28"/>
        </w:rPr>
        <w:t>района</w:t>
      </w:r>
      <w:r w:rsidR="003F4080" w:rsidRPr="00536D04">
        <w:rPr>
          <w:rFonts w:ascii="Times New Roman" w:hAnsi="Times New Roman"/>
          <w:sz w:val="28"/>
          <w:szCs w:val="28"/>
        </w:rPr>
        <w:t xml:space="preserve"> </w:t>
      </w:r>
      <w:r w:rsidR="00205BC6" w:rsidRPr="00536D04">
        <w:rPr>
          <w:rFonts w:ascii="Times New Roman" w:hAnsi="Times New Roman"/>
          <w:sz w:val="28"/>
          <w:szCs w:val="28"/>
        </w:rPr>
        <w:t>(Горелик Т.Ю.)</w:t>
      </w:r>
      <w:r w:rsidR="008938C1" w:rsidRPr="00536D04">
        <w:rPr>
          <w:rFonts w:ascii="Times New Roman" w:hAnsi="Times New Roman"/>
          <w:sz w:val="28"/>
          <w:szCs w:val="28"/>
        </w:rPr>
        <w:t>:</w:t>
      </w:r>
    </w:p>
    <w:p w:rsidR="00536D04" w:rsidRDefault="00B31326" w:rsidP="00536D04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05BC6" w:rsidRPr="003C6D95">
        <w:rPr>
          <w:rFonts w:ascii="Times New Roman" w:hAnsi="Times New Roman"/>
          <w:sz w:val="28"/>
          <w:szCs w:val="28"/>
        </w:rPr>
        <w:t>а основе данных главных распорядителей бюджетных средств, главных администраторов поступлений Ханты-Мансийского района представлять</w:t>
      </w:r>
      <w:r w:rsidR="005035B2" w:rsidRPr="003C6D95">
        <w:rPr>
          <w:rFonts w:ascii="Times New Roman" w:hAnsi="Times New Roman"/>
          <w:sz w:val="28"/>
          <w:szCs w:val="28"/>
        </w:rPr>
        <w:t xml:space="preserve"> главе района</w:t>
      </w:r>
      <w:r w:rsidR="00445CF2">
        <w:rPr>
          <w:rFonts w:ascii="Times New Roman" w:hAnsi="Times New Roman"/>
          <w:sz w:val="28"/>
          <w:szCs w:val="28"/>
        </w:rPr>
        <w:t xml:space="preserve"> сводную информацию </w:t>
      </w:r>
      <w:r w:rsidR="00205BC6" w:rsidRPr="003C6D95">
        <w:rPr>
          <w:rFonts w:ascii="Times New Roman" w:hAnsi="Times New Roman"/>
          <w:sz w:val="28"/>
          <w:szCs w:val="28"/>
        </w:rPr>
        <w:t xml:space="preserve">о выполнении данного постановления </w:t>
      </w:r>
      <w:r w:rsidR="00CF70F6" w:rsidRPr="003C6D95">
        <w:rPr>
          <w:rFonts w:ascii="Times New Roman" w:hAnsi="Times New Roman"/>
          <w:sz w:val="28"/>
          <w:szCs w:val="28"/>
        </w:rPr>
        <w:t xml:space="preserve">по итогам года </w:t>
      </w:r>
      <w:r w:rsidR="003E432C" w:rsidRPr="003C6D95">
        <w:rPr>
          <w:rFonts w:ascii="Times New Roman" w:hAnsi="Times New Roman"/>
          <w:sz w:val="28"/>
          <w:szCs w:val="28"/>
        </w:rPr>
        <w:t>в срок</w:t>
      </w:r>
      <w:r w:rsidR="00445CF2">
        <w:rPr>
          <w:rFonts w:ascii="Times New Roman" w:hAnsi="Times New Roman"/>
          <w:sz w:val="28"/>
          <w:szCs w:val="28"/>
        </w:rPr>
        <w:t xml:space="preserve"> д</w:t>
      </w:r>
      <w:r w:rsidR="00193437" w:rsidRPr="003C6D95">
        <w:rPr>
          <w:rFonts w:ascii="Times New Roman" w:hAnsi="Times New Roman"/>
          <w:sz w:val="28"/>
          <w:szCs w:val="28"/>
        </w:rPr>
        <w:t xml:space="preserve">о 1 марта </w:t>
      </w:r>
      <w:r w:rsidR="003E432C" w:rsidRPr="003C6D95">
        <w:rPr>
          <w:rFonts w:ascii="Times New Roman" w:hAnsi="Times New Roman"/>
          <w:sz w:val="28"/>
          <w:szCs w:val="28"/>
        </w:rPr>
        <w:t>года</w:t>
      </w:r>
      <w:r w:rsidR="00193437" w:rsidRPr="003C6D95">
        <w:rPr>
          <w:rFonts w:ascii="Times New Roman" w:hAnsi="Times New Roman"/>
          <w:sz w:val="28"/>
          <w:szCs w:val="28"/>
        </w:rPr>
        <w:t>,</w:t>
      </w:r>
      <w:r w:rsidR="003E432C" w:rsidRPr="003C6D95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="003E432C" w:rsidRPr="003C6D95">
        <w:rPr>
          <w:rFonts w:ascii="Times New Roman" w:hAnsi="Times New Roman"/>
          <w:sz w:val="28"/>
          <w:szCs w:val="28"/>
        </w:rPr>
        <w:t>за</w:t>
      </w:r>
      <w:proofErr w:type="gramEnd"/>
      <w:r w:rsidR="003E432C" w:rsidRPr="003C6D95">
        <w:rPr>
          <w:rFonts w:ascii="Times New Roman" w:hAnsi="Times New Roman"/>
          <w:sz w:val="28"/>
          <w:szCs w:val="28"/>
        </w:rPr>
        <w:t xml:space="preserve"> отч</w:t>
      </w:r>
      <w:r w:rsidR="00ED6F61" w:rsidRPr="003C6D95">
        <w:rPr>
          <w:rFonts w:ascii="Times New Roman" w:hAnsi="Times New Roman"/>
          <w:sz w:val="28"/>
          <w:szCs w:val="28"/>
        </w:rPr>
        <w:t>е</w:t>
      </w:r>
      <w:r w:rsidR="003E432C" w:rsidRPr="003C6D95">
        <w:rPr>
          <w:rFonts w:ascii="Times New Roman" w:hAnsi="Times New Roman"/>
          <w:sz w:val="28"/>
          <w:szCs w:val="28"/>
        </w:rPr>
        <w:t>тным.</w:t>
      </w:r>
    </w:p>
    <w:p w:rsidR="008938C1" w:rsidRPr="00536D04" w:rsidRDefault="00B31326" w:rsidP="00536D04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05BC6" w:rsidRPr="00536D04">
        <w:rPr>
          <w:rFonts w:ascii="Times New Roman" w:hAnsi="Times New Roman"/>
          <w:sz w:val="28"/>
          <w:szCs w:val="28"/>
        </w:rPr>
        <w:t>овести настоящее постановление до главных администраторов доходов Ханты-Мансийского района.</w:t>
      </w:r>
    </w:p>
    <w:p w:rsidR="00A53461" w:rsidRPr="003C6D95" w:rsidRDefault="00205BC6" w:rsidP="00536D04">
      <w:pPr>
        <w:pStyle w:val="a5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D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6D95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193437" w:rsidRPr="003C6D95">
        <w:rPr>
          <w:rFonts w:ascii="Times New Roman" w:hAnsi="Times New Roman"/>
          <w:sz w:val="28"/>
          <w:szCs w:val="28"/>
        </w:rPr>
        <w:t xml:space="preserve"> </w:t>
      </w:r>
      <w:r w:rsidRPr="003C6D95">
        <w:rPr>
          <w:rFonts w:ascii="Times New Roman" w:hAnsi="Times New Roman"/>
          <w:sz w:val="28"/>
          <w:szCs w:val="28"/>
        </w:rPr>
        <w:t>на заместителя главы</w:t>
      </w:r>
      <w:r w:rsidR="00EB35E0" w:rsidRPr="003C6D95">
        <w:rPr>
          <w:rFonts w:ascii="Times New Roman" w:hAnsi="Times New Roman"/>
          <w:sz w:val="28"/>
          <w:szCs w:val="28"/>
        </w:rPr>
        <w:t xml:space="preserve"> </w:t>
      </w:r>
      <w:r w:rsidRPr="003C6D95">
        <w:rPr>
          <w:rFonts w:ascii="Times New Roman" w:hAnsi="Times New Roman"/>
          <w:sz w:val="28"/>
          <w:szCs w:val="28"/>
        </w:rPr>
        <w:t>района</w:t>
      </w:r>
      <w:r w:rsidR="00A53461" w:rsidRPr="003C6D95">
        <w:rPr>
          <w:rFonts w:ascii="Times New Roman" w:hAnsi="Times New Roman"/>
          <w:sz w:val="28"/>
          <w:szCs w:val="28"/>
        </w:rPr>
        <w:t xml:space="preserve"> по финансам, председателя комитета по финансам</w:t>
      </w:r>
      <w:r w:rsidR="000434D7">
        <w:rPr>
          <w:rFonts w:ascii="Times New Roman" w:hAnsi="Times New Roman"/>
          <w:sz w:val="28"/>
          <w:szCs w:val="28"/>
        </w:rPr>
        <w:t>.</w:t>
      </w:r>
    </w:p>
    <w:p w:rsidR="00A53461" w:rsidRPr="00E314A6" w:rsidRDefault="00A534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Default="00A53461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34D7" w:rsidRPr="00E314A6" w:rsidRDefault="000434D7" w:rsidP="00ED6F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E314A6" w:rsidRDefault="00E314A6" w:rsidP="00B313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14A6">
        <w:rPr>
          <w:rFonts w:ascii="Times New Roman" w:hAnsi="Times New Roman"/>
          <w:sz w:val="28"/>
          <w:szCs w:val="28"/>
        </w:rPr>
        <w:t>Г</w:t>
      </w:r>
      <w:r w:rsidR="00ED6F61" w:rsidRPr="00E314A6">
        <w:rPr>
          <w:rFonts w:ascii="Times New Roman" w:hAnsi="Times New Roman"/>
          <w:sz w:val="28"/>
          <w:szCs w:val="28"/>
        </w:rPr>
        <w:t>лав</w:t>
      </w:r>
      <w:r w:rsidRPr="00E314A6">
        <w:rPr>
          <w:rFonts w:ascii="Times New Roman" w:hAnsi="Times New Roman"/>
          <w:sz w:val="28"/>
          <w:szCs w:val="28"/>
        </w:rPr>
        <w:t>а</w:t>
      </w:r>
      <w:r w:rsidR="00B31326">
        <w:rPr>
          <w:rFonts w:ascii="Times New Roman" w:hAnsi="Times New Roman"/>
          <w:sz w:val="28"/>
          <w:szCs w:val="28"/>
        </w:rPr>
        <w:t xml:space="preserve"> </w:t>
      </w:r>
      <w:r w:rsidR="00205BC6" w:rsidRPr="00E314A6">
        <w:rPr>
          <w:rFonts w:ascii="Times New Roman" w:hAnsi="Times New Roman"/>
          <w:sz w:val="28"/>
          <w:szCs w:val="28"/>
        </w:rPr>
        <w:t>Ханты-Мансийского района</w:t>
      </w:r>
      <w:r w:rsidR="000F4049" w:rsidRPr="00E314A6">
        <w:rPr>
          <w:rFonts w:ascii="Times New Roman" w:hAnsi="Times New Roman"/>
          <w:sz w:val="28"/>
          <w:szCs w:val="28"/>
        </w:rPr>
        <w:tab/>
      </w:r>
      <w:r w:rsidR="00EB35E0" w:rsidRPr="00E314A6">
        <w:rPr>
          <w:rFonts w:ascii="Times New Roman" w:hAnsi="Times New Roman"/>
          <w:sz w:val="28"/>
          <w:szCs w:val="28"/>
        </w:rPr>
        <w:tab/>
      </w:r>
      <w:r w:rsidR="00EB35E0" w:rsidRPr="00E314A6">
        <w:rPr>
          <w:rFonts w:ascii="Times New Roman" w:hAnsi="Times New Roman"/>
          <w:sz w:val="28"/>
          <w:szCs w:val="28"/>
        </w:rPr>
        <w:tab/>
      </w:r>
      <w:r w:rsidR="00EB35E0" w:rsidRPr="00E314A6">
        <w:rPr>
          <w:rFonts w:ascii="Times New Roman" w:hAnsi="Times New Roman"/>
          <w:sz w:val="28"/>
          <w:szCs w:val="28"/>
        </w:rPr>
        <w:tab/>
      </w:r>
      <w:r w:rsidR="00A53461" w:rsidRPr="00E314A6">
        <w:rPr>
          <w:rFonts w:ascii="Times New Roman" w:hAnsi="Times New Roman"/>
          <w:sz w:val="28"/>
          <w:szCs w:val="28"/>
        </w:rPr>
        <w:t xml:space="preserve">          </w:t>
      </w:r>
      <w:r w:rsidR="00193437" w:rsidRPr="00E314A6">
        <w:rPr>
          <w:rFonts w:ascii="Times New Roman" w:hAnsi="Times New Roman"/>
          <w:sz w:val="28"/>
          <w:szCs w:val="28"/>
        </w:rPr>
        <w:t xml:space="preserve"> </w:t>
      </w:r>
      <w:r w:rsidR="00ED6F61" w:rsidRPr="00E314A6">
        <w:rPr>
          <w:rFonts w:ascii="Times New Roman" w:hAnsi="Times New Roman"/>
          <w:sz w:val="28"/>
          <w:szCs w:val="28"/>
        </w:rPr>
        <w:t xml:space="preserve">   </w:t>
      </w:r>
      <w:r w:rsidR="00B3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4A6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6532BE" w:rsidRPr="00E314A6" w:rsidRDefault="006532BE" w:rsidP="00ED6F61"/>
    <w:p w:rsidR="005C3F76" w:rsidRPr="009A213C" w:rsidRDefault="005C3F76" w:rsidP="00ED6F61">
      <w:pPr>
        <w:rPr>
          <w:color w:val="FF0000"/>
        </w:rPr>
        <w:sectPr w:rsidR="005C3F76" w:rsidRPr="009A213C" w:rsidSect="00A91F8E">
          <w:headerReference w:type="default" r:id="rId11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E339E" w:rsidRPr="00555003" w:rsidRDefault="008E339E" w:rsidP="00BC728E">
      <w:pPr>
        <w:tabs>
          <w:tab w:val="left" w:pos="12600"/>
          <w:tab w:val="left" w:pos="12900"/>
          <w:tab w:val="left" w:pos="14000"/>
          <w:tab w:val="left" w:pos="14500"/>
        </w:tabs>
        <w:jc w:val="right"/>
        <w:rPr>
          <w:sz w:val="28"/>
          <w:szCs w:val="28"/>
        </w:rPr>
      </w:pPr>
      <w:r w:rsidRPr="00555003">
        <w:rPr>
          <w:sz w:val="28"/>
          <w:szCs w:val="28"/>
        </w:rPr>
        <w:lastRenderedPageBreak/>
        <w:t>Приложение</w:t>
      </w:r>
    </w:p>
    <w:p w:rsidR="005C3F76" w:rsidRPr="00555003" w:rsidRDefault="005C3F76" w:rsidP="00BC728E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  <w:r w:rsidRPr="00555003">
        <w:rPr>
          <w:sz w:val="28"/>
          <w:szCs w:val="28"/>
        </w:rPr>
        <w:t xml:space="preserve">к </w:t>
      </w:r>
      <w:r w:rsidR="008E339E" w:rsidRPr="00555003">
        <w:rPr>
          <w:sz w:val="28"/>
          <w:szCs w:val="28"/>
        </w:rPr>
        <w:t>поста</w:t>
      </w:r>
      <w:r w:rsidRPr="00555003">
        <w:rPr>
          <w:sz w:val="28"/>
          <w:szCs w:val="28"/>
        </w:rPr>
        <w:t>новлению администрации</w:t>
      </w:r>
    </w:p>
    <w:p w:rsidR="005C3F76" w:rsidRPr="00555003" w:rsidRDefault="005C3F76" w:rsidP="00BC728E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  <w:r w:rsidRPr="00555003">
        <w:rPr>
          <w:sz w:val="28"/>
          <w:szCs w:val="28"/>
        </w:rPr>
        <w:t>Ханты-Мансийского района</w:t>
      </w:r>
    </w:p>
    <w:p w:rsidR="005C3F76" w:rsidRDefault="000434D7" w:rsidP="00F71B0A">
      <w:pPr>
        <w:tabs>
          <w:tab w:val="left" w:pos="11332"/>
          <w:tab w:val="left" w:pos="13325"/>
          <w:tab w:val="right" w:pos="1399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F71B0A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="00F71B0A">
        <w:rPr>
          <w:sz w:val="28"/>
          <w:szCs w:val="28"/>
        </w:rPr>
        <w:t>30.01.2017 № 26</w:t>
      </w:r>
    </w:p>
    <w:p w:rsidR="00BC728E" w:rsidRPr="00555003" w:rsidRDefault="00BC728E" w:rsidP="00BC728E">
      <w:pPr>
        <w:tabs>
          <w:tab w:val="left" w:pos="13325"/>
          <w:tab w:val="left" w:pos="14000"/>
        </w:tabs>
        <w:ind w:right="4"/>
        <w:jc w:val="right"/>
        <w:rPr>
          <w:sz w:val="28"/>
          <w:szCs w:val="28"/>
        </w:rPr>
      </w:pPr>
    </w:p>
    <w:p w:rsidR="00EA03CD" w:rsidRPr="00486210" w:rsidRDefault="005C3F76" w:rsidP="00ED6F61">
      <w:pPr>
        <w:jc w:val="center"/>
        <w:rPr>
          <w:color w:val="000000" w:themeColor="text1"/>
          <w:sz w:val="28"/>
          <w:szCs w:val="28"/>
        </w:rPr>
      </w:pPr>
      <w:r w:rsidRPr="00486210">
        <w:rPr>
          <w:color w:val="000000" w:themeColor="text1"/>
          <w:sz w:val="28"/>
          <w:szCs w:val="28"/>
        </w:rPr>
        <w:t>План мероприятий по росту доходов</w:t>
      </w:r>
      <w:r w:rsidR="00EE2AD3" w:rsidRPr="00486210">
        <w:rPr>
          <w:color w:val="000000" w:themeColor="text1"/>
          <w:sz w:val="28"/>
          <w:szCs w:val="28"/>
        </w:rPr>
        <w:t>,</w:t>
      </w:r>
      <w:r w:rsidRPr="00486210">
        <w:rPr>
          <w:color w:val="000000" w:themeColor="text1"/>
          <w:sz w:val="28"/>
          <w:szCs w:val="28"/>
        </w:rPr>
        <w:t xml:space="preserve"> оптимизации расходов бюджета</w:t>
      </w:r>
      <w:r w:rsidR="00EE2AD3" w:rsidRPr="00486210">
        <w:rPr>
          <w:color w:val="000000" w:themeColor="text1"/>
          <w:sz w:val="28"/>
          <w:szCs w:val="28"/>
        </w:rPr>
        <w:t xml:space="preserve"> и сокращению </w:t>
      </w:r>
    </w:p>
    <w:p w:rsidR="005C3F76" w:rsidRDefault="00EE2AD3" w:rsidP="00ED6F61">
      <w:pPr>
        <w:jc w:val="center"/>
        <w:rPr>
          <w:color w:val="000000" w:themeColor="text1"/>
          <w:sz w:val="28"/>
          <w:szCs w:val="28"/>
        </w:rPr>
      </w:pPr>
      <w:r w:rsidRPr="00486210">
        <w:rPr>
          <w:color w:val="000000" w:themeColor="text1"/>
          <w:sz w:val="28"/>
          <w:szCs w:val="28"/>
        </w:rPr>
        <w:t>муниципального долга</w:t>
      </w:r>
      <w:r w:rsidR="005C3F76" w:rsidRPr="00486210">
        <w:rPr>
          <w:color w:val="000000" w:themeColor="text1"/>
          <w:sz w:val="28"/>
          <w:szCs w:val="28"/>
        </w:rPr>
        <w:t xml:space="preserve"> Ханты-Мансийского района </w:t>
      </w:r>
      <w:r w:rsidR="008307C8" w:rsidRPr="00486210">
        <w:rPr>
          <w:color w:val="000000" w:themeColor="text1"/>
          <w:sz w:val="28"/>
          <w:szCs w:val="28"/>
        </w:rPr>
        <w:t>на 2017 год и плановый период 2018 и 2019 годов</w:t>
      </w:r>
    </w:p>
    <w:p w:rsidR="00B6761C" w:rsidRDefault="00B6761C" w:rsidP="00ED6F61">
      <w:pPr>
        <w:jc w:val="center"/>
        <w:rPr>
          <w:color w:val="000000" w:themeColor="text1"/>
          <w:sz w:val="28"/>
          <w:szCs w:val="28"/>
        </w:rPr>
      </w:pPr>
    </w:p>
    <w:tbl>
      <w:tblPr>
        <w:tblW w:w="144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03"/>
        <w:gridCol w:w="1700"/>
        <w:gridCol w:w="2000"/>
        <w:gridCol w:w="1901"/>
        <w:gridCol w:w="900"/>
        <w:gridCol w:w="800"/>
        <w:gridCol w:w="900"/>
        <w:gridCol w:w="1300"/>
        <w:gridCol w:w="1200"/>
        <w:gridCol w:w="1300"/>
      </w:tblGrid>
      <w:tr w:rsidR="00CC6102" w:rsidRPr="00B6761C" w:rsidTr="00567106">
        <w:trPr>
          <w:trHeight w:val="467"/>
        </w:trPr>
        <w:tc>
          <w:tcPr>
            <w:tcW w:w="596" w:type="dxa"/>
            <w:vMerge w:val="restart"/>
            <w:shd w:val="clear" w:color="auto" w:fill="auto"/>
            <w:hideMark/>
          </w:tcPr>
          <w:p w:rsidR="00CC6102" w:rsidRDefault="00CC6102" w:rsidP="006C24E8">
            <w:pPr>
              <w:jc w:val="center"/>
              <w:rPr>
                <w:bCs/>
                <w:color w:val="000000"/>
              </w:rPr>
            </w:pPr>
          </w:p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№</w:t>
            </w:r>
            <w:r w:rsidRPr="00B6761C">
              <w:rPr>
                <w:bCs/>
                <w:color w:val="000000"/>
              </w:rPr>
              <w:br/>
            </w:r>
            <w:proofErr w:type="gramStart"/>
            <w:r w:rsidRPr="00B6761C">
              <w:rPr>
                <w:bCs/>
                <w:color w:val="000000"/>
              </w:rPr>
              <w:t>п</w:t>
            </w:r>
            <w:proofErr w:type="gramEnd"/>
            <w:r w:rsidRPr="00B6761C">
              <w:rPr>
                <w:bCs/>
                <w:color w:val="000000"/>
              </w:rPr>
              <w:t>/п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Проект муниципального правового акта или иной документ</w:t>
            </w:r>
          </w:p>
        </w:tc>
        <w:tc>
          <w:tcPr>
            <w:tcW w:w="1901" w:type="dxa"/>
            <w:vMerge w:val="restart"/>
            <w:shd w:val="clear" w:color="auto" w:fill="auto"/>
            <w:hideMark/>
          </w:tcPr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Целевой показатель</w:t>
            </w:r>
          </w:p>
        </w:tc>
        <w:tc>
          <w:tcPr>
            <w:tcW w:w="2600" w:type="dxa"/>
            <w:gridSpan w:val="3"/>
            <w:shd w:val="clear" w:color="auto" w:fill="auto"/>
            <w:hideMark/>
          </w:tcPr>
          <w:p w:rsidR="00CC6102" w:rsidRPr="00B6761C" w:rsidRDefault="00CC6102" w:rsidP="0051648D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Значение целевого показателя (план)</w:t>
            </w:r>
          </w:p>
        </w:tc>
        <w:tc>
          <w:tcPr>
            <w:tcW w:w="3800" w:type="dxa"/>
            <w:gridSpan w:val="3"/>
            <w:shd w:val="clear" w:color="auto" w:fill="auto"/>
            <w:hideMark/>
          </w:tcPr>
          <w:p w:rsidR="00CC6102" w:rsidRPr="00B6761C" w:rsidRDefault="00CC6102" w:rsidP="00B6761C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Бюджетный эффект от реализации мероприятий (план), тыс. рублей</w:t>
            </w:r>
          </w:p>
        </w:tc>
      </w:tr>
      <w:tr w:rsidR="00CC6102" w:rsidRPr="00B6761C" w:rsidTr="00567106">
        <w:trPr>
          <w:trHeight w:val="455"/>
        </w:trPr>
        <w:tc>
          <w:tcPr>
            <w:tcW w:w="596" w:type="dxa"/>
            <w:vMerge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2017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2018 год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6102" w:rsidRPr="00B6761C" w:rsidRDefault="00CC6102" w:rsidP="00956AD5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2019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CC6102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2017 </w:t>
            </w:r>
          </w:p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  <w:tc>
          <w:tcPr>
            <w:tcW w:w="1200" w:type="dxa"/>
            <w:shd w:val="clear" w:color="auto" w:fill="auto"/>
            <w:hideMark/>
          </w:tcPr>
          <w:p w:rsidR="00CC6102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2018 </w:t>
            </w:r>
          </w:p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CC6102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 xml:space="preserve">2019 </w:t>
            </w:r>
          </w:p>
          <w:p w:rsidR="00CC6102" w:rsidRPr="00B6761C" w:rsidRDefault="00CC6102" w:rsidP="006C24E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год</w:t>
            </w:r>
          </w:p>
        </w:tc>
      </w:tr>
      <w:tr w:rsidR="000F128F" w:rsidRPr="00B6761C" w:rsidTr="00BC728E">
        <w:trPr>
          <w:trHeight w:val="125"/>
        </w:trPr>
        <w:tc>
          <w:tcPr>
            <w:tcW w:w="2399" w:type="dxa"/>
            <w:gridSpan w:val="2"/>
          </w:tcPr>
          <w:p w:rsidR="000F128F" w:rsidRPr="00B6761C" w:rsidRDefault="000F128F" w:rsidP="008307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01" w:type="dxa"/>
            <w:gridSpan w:val="9"/>
            <w:shd w:val="clear" w:color="auto" w:fill="auto"/>
            <w:vAlign w:val="center"/>
            <w:hideMark/>
          </w:tcPr>
          <w:p w:rsidR="000F128F" w:rsidRPr="00B6761C" w:rsidRDefault="000F128F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 Мероприятия по росту доходов бюджета муниципального образования</w:t>
            </w:r>
          </w:p>
        </w:tc>
      </w:tr>
      <w:tr w:rsidR="00F65B54" w:rsidRPr="00B6761C" w:rsidTr="00567106">
        <w:trPr>
          <w:trHeight w:val="525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486210">
            <w:pPr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Всего по доходам, 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300" w:type="dxa"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98 018,0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567106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96 828,0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F65B54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96 828,0</w:t>
            </w:r>
          </w:p>
        </w:tc>
      </w:tr>
      <w:tr w:rsidR="00F65B54" w:rsidRPr="00B6761C" w:rsidTr="00567106">
        <w:trPr>
          <w:trHeight w:val="1264"/>
        </w:trPr>
        <w:tc>
          <w:tcPr>
            <w:tcW w:w="596" w:type="dxa"/>
            <w:vMerge w:val="restart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1.1.</w:t>
            </w:r>
          </w:p>
        </w:tc>
        <w:tc>
          <w:tcPr>
            <w:tcW w:w="1803" w:type="dxa"/>
            <w:shd w:val="clear" w:color="auto" w:fill="auto"/>
            <w:vAlign w:val="bottom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Дополнительное вовлечение муниципального имущества в аренду, в том числе: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декабрь 2017</w:t>
            </w:r>
          </w:p>
          <w:p w:rsidR="00F65B54" w:rsidRPr="00B6761C" w:rsidRDefault="009A5FFC" w:rsidP="006C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декабрь 2019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договор аренды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300" w:type="dxa"/>
          </w:tcPr>
          <w:p w:rsidR="00F65B54" w:rsidRPr="00B6761C" w:rsidRDefault="00F65B54" w:rsidP="00FD5FBC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  <w:tc>
          <w:tcPr>
            <w:tcW w:w="1200" w:type="dxa"/>
            <w:shd w:val="clear" w:color="auto" w:fill="auto"/>
          </w:tcPr>
          <w:p w:rsidR="00F65B54" w:rsidRPr="00B6761C" w:rsidRDefault="00F65B54" w:rsidP="00FD5FBC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  <w:tc>
          <w:tcPr>
            <w:tcW w:w="1300" w:type="dxa"/>
            <w:shd w:val="clear" w:color="auto" w:fill="auto"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33 143,1</w:t>
            </w:r>
          </w:p>
        </w:tc>
      </w:tr>
      <w:tr w:rsidR="00F65B54" w:rsidRPr="00B6761C" w:rsidTr="00567106">
        <w:trPr>
          <w:trHeight w:val="178"/>
        </w:trPr>
        <w:tc>
          <w:tcPr>
            <w:tcW w:w="596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bCs/>
                <w:color w:val="000000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движимое, недвижимое имущество</w:t>
            </w:r>
          </w:p>
        </w:tc>
        <w:tc>
          <w:tcPr>
            <w:tcW w:w="1700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отношение суммы арендной платы, планируемой к получению в результате дополнительной передачи движимого и недвижимого имущества в аренду в отчетном периоде, к плановым назначениям доходов по коду </w:t>
            </w:r>
            <w:r w:rsidRPr="00B6761C">
              <w:rPr>
                <w:color w:val="000000"/>
              </w:rPr>
              <w:lastRenderedPageBreak/>
              <w:t>07011109045050000120, %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2,5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3,3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8,1</w:t>
            </w:r>
          </w:p>
        </w:tc>
        <w:tc>
          <w:tcPr>
            <w:tcW w:w="1300" w:type="dxa"/>
          </w:tcPr>
          <w:p w:rsidR="00F65B54" w:rsidRPr="00B6761C" w:rsidRDefault="00F65B54" w:rsidP="001876E9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  <w:tc>
          <w:tcPr>
            <w:tcW w:w="1200" w:type="dxa"/>
            <w:shd w:val="clear" w:color="auto" w:fill="auto"/>
          </w:tcPr>
          <w:p w:rsidR="00F65B54" w:rsidRPr="00B6761C" w:rsidRDefault="00F65B54" w:rsidP="001876E9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  <w:tc>
          <w:tcPr>
            <w:tcW w:w="1300" w:type="dxa"/>
            <w:shd w:val="clear" w:color="auto" w:fill="auto"/>
          </w:tcPr>
          <w:p w:rsidR="00F65B54" w:rsidRPr="00B6761C" w:rsidRDefault="00F65B54" w:rsidP="006C24E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143,1</w:t>
            </w:r>
          </w:p>
        </w:tc>
      </w:tr>
      <w:tr w:rsidR="00F65B54" w:rsidRPr="00B6761C" w:rsidTr="00567106">
        <w:trPr>
          <w:trHeight w:val="2205"/>
        </w:trPr>
        <w:tc>
          <w:tcPr>
            <w:tcW w:w="596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bCs/>
                <w:color w:val="000000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земельные участки</w:t>
            </w:r>
          </w:p>
        </w:tc>
        <w:tc>
          <w:tcPr>
            <w:tcW w:w="1700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суммы арендной платы, планируемой к получению в результате дополнительной передачи земельных участков в аренду в отчетном периоде, к плановым назначениям доходов по коду 07011105013050000120,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142,0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142,0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137,0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33 000,0</w:t>
            </w:r>
          </w:p>
        </w:tc>
      </w:tr>
      <w:tr w:rsidR="00F65B54" w:rsidRPr="00B6761C" w:rsidTr="00567106">
        <w:trPr>
          <w:trHeight w:val="1644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1.2.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Перечисление в бюджет Ханты-Мансийского района части прибыли, остающейся в распоряжении муниципальных унитарных предприятий Ханты-Мансийского района после уплаты налогов и иных обязательных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01.06.2017</w:t>
            </w:r>
          </w:p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01.06.2018</w:t>
            </w:r>
          </w:p>
          <w:p w:rsidR="00F65B54" w:rsidRPr="00B6761C" w:rsidRDefault="00F65B54" w:rsidP="006C2369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01.06.2019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6761C">
              <w:rPr>
                <w:color w:val="000000"/>
              </w:rPr>
              <w:t xml:space="preserve">риказ </w:t>
            </w:r>
            <w:r>
              <w:rPr>
                <w:color w:val="000000"/>
              </w:rPr>
              <w:t>д</w:t>
            </w:r>
            <w:r w:rsidRPr="00B6761C">
              <w:rPr>
                <w:color w:val="000000"/>
              </w:rPr>
              <w:t>епартамента имущественных и земельных отношений администрации Ханты-Мансийского района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суммы прибыли, фактически перечисленной в бюджет, к планируемой сумме прибыли,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100,0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84,9</w:t>
            </w:r>
          </w:p>
        </w:tc>
      </w:tr>
      <w:tr w:rsidR="00F65B54" w:rsidRPr="00B6761C" w:rsidTr="00567106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1.3.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F65B54" w:rsidRPr="00B6761C" w:rsidRDefault="00F65B54" w:rsidP="00956AD5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Анализ эффективности осуществляемых ранее мер поддержки и стимулирования </w:t>
            </w:r>
            <w:r w:rsidRPr="00B6761C">
              <w:rPr>
                <w:color w:val="00000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до 31.12.2017</w:t>
            </w:r>
          </w:p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31.12.2018</w:t>
            </w:r>
          </w:p>
          <w:p w:rsidR="00F65B54" w:rsidRPr="00B6761C" w:rsidRDefault="00F65B54" w:rsidP="006C2369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F65B54" w:rsidRPr="00B6761C" w:rsidRDefault="00F65B54" w:rsidP="00956AD5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увеличение налоговых поступлений (УСН, ЕСН, ЕНВД, патент, НДФЛ) от субъектов малого и </w:t>
            </w:r>
            <w:r w:rsidRPr="00B6761C">
              <w:rPr>
                <w:color w:val="000000"/>
              </w:rPr>
              <w:lastRenderedPageBreak/>
              <w:t>среднего предпринимательства, получивших меры финансовой поддержки из бюджета Ханты-Мансийского района, тыс.</w:t>
            </w:r>
            <w:r w:rsidR="000434D7">
              <w:rPr>
                <w:color w:val="000000"/>
              </w:rPr>
              <w:t xml:space="preserve"> </w:t>
            </w:r>
            <w:r w:rsidRPr="00B6761C">
              <w:rPr>
                <w:color w:val="000000"/>
              </w:rPr>
              <w:t>руб.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600,0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600,0</w:t>
            </w:r>
          </w:p>
        </w:tc>
      </w:tr>
      <w:tr w:rsidR="00F65B54" w:rsidRPr="00B6761C" w:rsidTr="00567106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lastRenderedPageBreak/>
              <w:t>1.4.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F65B54" w:rsidRPr="00B6761C" w:rsidRDefault="00F65B54" w:rsidP="00956AD5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Заключение соглашений о сотрудничестве с хозяйствующими субъектами, осуществляющими деятельность </w:t>
            </w:r>
            <w:proofErr w:type="gramStart"/>
            <w:r w:rsidRPr="00B6761C">
              <w:rPr>
                <w:color w:val="000000"/>
              </w:rPr>
              <w:t>в</w:t>
            </w:r>
            <w:proofErr w:type="gramEnd"/>
            <w:r w:rsidRPr="00B6761C">
              <w:rPr>
                <w:color w:val="000000"/>
              </w:rPr>
              <w:t xml:space="preserve"> </w:t>
            </w:r>
            <w:proofErr w:type="gramStart"/>
            <w:r w:rsidRPr="00B6761C">
              <w:rPr>
                <w:color w:val="000000"/>
              </w:rPr>
              <w:t>Ханты-Мансийском</w:t>
            </w:r>
            <w:proofErr w:type="gramEnd"/>
            <w:r w:rsidRPr="00B6761C">
              <w:rPr>
                <w:color w:val="000000"/>
              </w:rPr>
              <w:t xml:space="preserve"> районе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31.12.2017</w:t>
            </w:r>
          </w:p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31.12.2018</w:t>
            </w:r>
          </w:p>
          <w:p w:rsidR="00F65B54" w:rsidRPr="00B6761C" w:rsidRDefault="00F65B54" w:rsidP="006C2369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6761C">
              <w:rPr>
                <w:color w:val="000000"/>
              </w:rPr>
              <w:t>оглашение о сотрудничестве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 w:rsidRPr="00B6761C">
              <w:rPr>
                <w:color w:val="000000"/>
              </w:rPr>
              <w:t>прирост доходов к первоначально утвержденной сумме доходов бюджета Ханты-Мансийского района,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2,1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2,4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2,4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64 190,0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63 000,0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63 000,0</w:t>
            </w:r>
          </w:p>
        </w:tc>
      </w:tr>
      <w:tr w:rsidR="00F65B54" w:rsidRPr="00B6761C" w:rsidTr="00BC728E">
        <w:trPr>
          <w:trHeight w:val="439"/>
        </w:trPr>
        <w:tc>
          <w:tcPr>
            <w:tcW w:w="2399" w:type="dxa"/>
            <w:gridSpan w:val="2"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01" w:type="dxa"/>
            <w:gridSpan w:val="9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 Мероприятия по оптимизации расходов бюджета муниципального образования</w:t>
            </w:r>
          </w:p>
        </w:tc>
      </w:tr>
      <w:tr w:rsidR="00F65B54" w:rsidRPr="00B6761C" w:rsidTr="00567106">
        <w:trPr>
          <w:trHeight w:val="34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 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F65B54" w:rsidRPr="00B6761C" w:rsidRDefault="00F65B54" w:rsidP="008307C8">
            <w:pPr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Всего по расходам,  в том числе: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</w:pPr>
            <w:r w:rsidRPr="00B6761C"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r w:rsidRPr="00B6761C">
              <w:t> 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r w:rsidRPr="00B6761C"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65B54" w:rsidRPr="00B6761C" w:rsidRDefault="00F65B54" w:rsidP="00D9006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5 163,3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65B54" w:rsidRPr="00B6761C" w:rsidRDefault="00F65B54" w:rsidP="00567106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541,4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65B54" w:rsidRPr="00B6761C" w:rsidRDefault="00F65B54" w:rsidP="00D9006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2 559,0</w:t>
            </w:r>
          </w:p>
        </w:tc>
      </w:tr>
      <w:tr w:rsidR="00F65B54" w:rsidRPr="00B6761C" w:rsidTr="00567106">
        <w:trPr>
          <w:trHeight w:val="945"/>
        </w:trPr>
        <w:tc>
          <w:tcPr>
            <w:tcW w:w="596" w:type="dxa"/>
            <w:shd w:val="clear" w:color="auto" w:fill="auto"/>
            <w:noWrap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2.1.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r w:rsidRPr="00B6761C">
              <w:t>Предоставление муниципальных услуг через социально ориентированные некоммерческие организации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 w:rsidRPr="00B6761C">
              <w:rPr>
                <w:color w:val="000000"/>
              </w:rPr>
              <w:t>внесение изменений в штатное расписание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DF5681">
            <w:r w:rsidRPr="00B6761C">
              <w:t>количество сокращенных единиц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1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434,2</w:t>
            </w:r>
          </w:p>
        </w:tc>
      </w:tr>
      <w:tr w:rsidR="00F65B54" w:rsidRPr="00B6761C" w:rsidTr="00567106">
        <w:trPr>
          <w:trHeight w:val="600"/>
        </w:trPr>
        <w:tc>
          <w:tcPr>
            <w:tcW w:w="596" w:type="dxa"/>
            <w:shd w:val="clear" w:color="auto" w:fill="auto"/>
            <w:noWrap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2.2.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DE5778">
            <w:r w:rsidRPr="00B6761C">
              <w:t>Сокращение штатных единиц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до 31.12.2017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 w:rsidRPr="00B6761C">
              <w:rPr>
                <w:color w:val="000000"/>
              </w:rPr>
              <w:t>внесение изменений в штатное расписание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DF5681">
            <w:r w:rsidRPr="00B6761C">
              <w:t>количество сокращенных единиц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3,0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1 800,0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0,0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0,0</w:t>
            </w:r>
          </w:p>
        </w:tc>
      </w:tr>
      <w:tr w:rsidR="00F65B54" w:rsidRPr="00B6761C" w:rsidTr="00567106">
        <w:trPr>
          <w:trHeight w:val="1041"/>
        </w:trPr>
        <w:tc>
          <w:tcPr>
            <w:tcW w:w="596" w:type="dxa"/>
            <w:shd w:val="clear" w:color="auto" w:fill="auto"/>
            <w:noWrap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2.3.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DE5778">
            <w:r w:rsidRPr="00B6761C">
              <w:t>Реорганизация сети образовательных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до 31.12.2017</w:t>
            </w:r>
          </w:p>
          <w:p w:rsidR="00F65B54" w:rsidRPr="00B6761C" w:rsidRDefault="00F65B54" w:rsidP="00DF5681">
            <w:pPr>
              <w:jc w:val="center"/>
            </w:pPr>
            <w:r w:rsidRPr="00B6761C">
              <w:t>до 31.12.2018</w:t>
            </w:r>
          </w:p>
          <w:p w:rsidR="00F65B54" w:rsidRPr="00B6761C" w:rsidRDefault="00F65B54" w:rsidP="006C2369">
            <w:pPr>
              <w:jc w:val="center"/>
            </w:pPr>
            <w:r w:rsidRPr="00B6761C">
              <w:t>до 31.12.2019</w:t>
            </w:r>
          </w:p>
        </w:tc>
        <w:tc>
          <w:tcPr>
            <w:tcW w:w="2000" w:type="dxa"/>
            <w:shd w:val="clear" w:color="auto" w:fill="auto"/>
            <w:hideMark/>
          </w:tcPr>
          <w:p w:rsidR="00F65B54" w:rsidRPr="00B6761C" w:rsidRDefault="00F65B54" w:rsidP="00DF5681">
            <w:r w:rsidRPr="00B6761C">
              <w:t>проект распоряжения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DF5681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отношение количества муниципальных учреждений образования Ханты-Мансийского </w:t>
            </w:r>
            <w:r w:rsidRPr="00B6761C">
              <w:rPr>
                <w:color w:val="000000"/>
              </w:rPr>
              <w:lastRenderedPageBreak/>
              <w:t>района, подлежащих реорганизации, к общему количеству учреждений образования района,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lastRenderedPageBreak/>
              <w:t>10,3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2,9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8,8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3 363,3</w:t>
            </w:r>
          </w:p>
        </w:tc>
        <w:tc>
          <w:tcPr>
            <w:tcW w:w="12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541,4</w:t>
            </w:r>
          </w:p>
        </w:tc>
        <w:tc>
          <w:tcPr>
            <w:tcW w:w="13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</w:pPr>
            <w:r w:rsidRPr="00B6761C">
              <w:t>2 124,8</w:t>
            </w:r>
          </w:p>
        </w:tc>
      </w:tr>
      <w:tr w:rsidR="00F65B54" w:rsidRPr="00B6761C" w:rsidTr="00567106">
        <w:trPr>
          <w:trHeight w:val="375"/>
        </w:trPr>
        <w:tc>
          <w:tcPr>
            <w:tcW w:w="2399" w:type="dxa"/>
            <w:gridSpan w:val="2"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01" w:type="dxa"/>
            <w:gridSpan w:val="8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 Мероприятия по сокращению муниципального долга и расходов на его обслуживание</w:t>
            </w:r>
          </w:p>
        </w:tc>
        <w:tc>
          <w:tcPr>
            <w:tcW w:w="1300" w:type="dxa"/>
            <w:vAlign w:val="center"/>
          </w:tcPr>
          <w:p w:rsidR="00F65B54" w:rsidRPr="008307C8" w:rsidRDefault="00F65B54" w:rsidP="009950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5B54" w:rsidRPr="00B6761C" w:rsidTr="00567106">
        <w:trPr>
          <w:trHeight w:val="60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3.1.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Установить значение показателя соотношения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4,3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4,0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4,1</w:t>
            </w:r>
          </w:p>
        </w:tc>
        <w:tc>
          <w:tcPr>
            <w:tcW w:w="1300" w:type="dxa"/>
          </w:tcPr>
          <w:p w:rsidR="00F65B54" w:rsidRPr="008307C8" w:rsidRDefault="00F65B54" w:rsidP="00995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65B54" w:rsidRPr="008307C8" w:rsidRDefault="00F65B54" w:rsidP="00995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  <w:tr w:rsidR="00F65B54" w:rsidRPr="00B6761C" w:rsidTr="00567106">
        <w:trPr>
          <w:trHeight w:val="3150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t>3.2.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5016DC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Установить уровень долговой нагрузки на бюджет района по ежегодному погашению долговых обязательств на уровне, не превышающем 10% от суммарного годового объема доходов бюджета </w:t>
            </w:r>
            <w:r w:rsidRPr="00B6761C">
              <w:rPr>
                <w:color w:val="000000"/>
              </w:rPr>
              <w:lastRenderedPageBreak/>
              <w:t>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отношение годового объема погашения долговых обязательств к суммарному годовому объему доходов бюджета района без учета безвозмездных поступлений и поступлений налоговых доходов по </w:t>
            </w:r>
            <w:r w:rsidRPr="00B6761C">
              <w:rPr>
                <w:color w:val="000000"/>
              </w:rPr>
              <w:lastRenderedPageBreak/>
              <w:t>дополнительным нормативам отчислений,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lastRenderedPageBreak/>
              <w:t>не более 10,0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10,0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DF5681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10,0</w:t>
            </w:r>
          </w:p>
        </w:tc>
        <w:tc>
          <w:tcPr>
            <w:tcW w:w="1300" w:type="dxa"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  <w:tr w:rsidR="00F65B54" w:rsidRPr="00B6761C" w:rsidTr="00567106">
        <w:trPr>
          <w:trHeight w:val="2694"/>
        </w:trPr>
        <w:tc>
          <w:tcPr>
            <w:tcW w:w="596" w:type="dxa"/>
            <w:shd w:val="clear" w:color="auto" w:fill="auto"/>
            <w:hideMark/>
          </w:tcPr>
          <w:p w:rsidR="00F65B54" w:rsidRPr="00B6761C" w:rsidRDefault="00F65B54" w:rsidP="00BC728E">
            <w:pPr>
              <w:jc w:val="center"/>
              <w:rPr>
                <w:bCs/>
                <w:color w:val="000000"/>
              </w:rPr>
            </w:pPr>
            <w:r w:rsidRPr="00B6761C">
              <w:rPr>
                <w:bCs/>
                <w:color w:val="000000"/>
              </w:rPr>
              <w:lastRenderedPageBreak/>
              <w:t>3.3.</w:t>
            </w:r>
          </w:p>
        </w:tc>
        <w:tc>
          <w:tcPr>
            <w:tcW w:w="1803" w:type="dxa"/>
            <w:shd w:val="clear" w:color="auto" w:fill="auto"/>
            <w:hideMark/>
          </w:tcPr>
          <w:p w:rsidR="00F65B54" w:rsidRPr="00B6761C" w:rsidRDefault="00F65B54" w:rsidP="005016DC">
            <w:pPr>
              <w:rPr>
                <w:color w:val="000000"/>
              </w:rPr>
            </w:pPr>
            <w:r w:rsidRPr="00B6761C">
              <w:rPr>
                <w:color w:val="000000"/>
              </w:rPr>
              <w:t xml:space="preserve">Установить предельный годовой объем расходов на обслуживание муниципального долга не более </w:t>
            </w:r>
            <w:r w:rsidR="006C2369">
              <w:rPr>
                <w:color w:val="000000"/>
              </w:rPr>
              <w:t xml:space="preserve"> </w:t>
            </w:r>
            <w:r w:rsidRPr="00B6761C">
              <w:rPr>
                <w:color w:val="000000"/>
              </w:rPr>
              <w:t>0,1 % от общего годового объема расходов бюджета района, за исключением расходов, осуществляемых за счет субвенций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901" w:type="dxa"/>
            <w:shd w:val="clear" w:color="auto" w:fill="auto"/>
            <w:hideMark/>
          </w:tcPr>
          <w:p w:rsidR="00F65B54" w:rsidRPr="00B6761C" w:rsidRDefault="00F65B54" w:rsidP="008307C8">
            <w:pPr>
              <w:rPr>
                <w:color w:val="000000"/>
              </w:rPr>
            </w:pPr>
            <w:r w:rsidRPr="00B6761C">
              <w:rPr>
                <w:color w:val="000000"/>
              </w:rPr>
              <w:t>отношение годового объема расходов на обслуживание муниципального долга к общему годовому объему расходов бюджета района, за исключением расходов, осуществляемых за счет субвенций, %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800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900" w:type="dxa"/>
            <w:shd w:val="clear" w:color="auto" w:fill="auto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не более 0,1</w:t>
            </w:r>
          </w:p>
        </w:tc>
        <w:tc>
          <w:tcPr>
            <w:tcW w:w="1300" w:type="dxa"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65B54" w:rsidRPr="00B6761C" w:rsidRDefault="00F65B54" w:rsidP="008307C8">
            <w:pPr>
              <w:jc w:val="center"/>
              <w:rPr>
                <w:color w:val="000000"/>
              </w:rPr>
            </w:pPr>
            <w:r w:rsidRPr="00B6761C">
              <w:rPr>
                <w:color w:val="000000"/>
              </w:rPr>
              <w:t> </w:t>
            </w:r>
          </w:p>
        </w:tc>
      </w:tr>
    </w:tbl>
    <w:p w:rsidR="006532BE" w:rsidRPr="00956AD5" w:rsidRDefault="006532BE" w:rsidP="00956AD5">
      <w:pPr>
        <w:jc w:val="center"/>
        <w:rPr>
          <w:color w:val="000000" w:themeColor="text1"/>
          <w:sz w:val="24"/>
          <w:szCs w:val="24"/>
        </w:rPr>
      </w:pPr>
    </w:p>
    <w:sectPr w:rsidR="006532BE" w:rsidRPr="00956AD5" w:rsidSect="00B6761C">
      <w:foot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8F" w:rsidRDefault="00F51A8F" w:rsidP="001D0F12">
      <w:r>
        <w:separator/>
      </w:r>
    </w:p>
  </w:endnote>
  <w:endnote w:type="continuationSeparator" w:id="0">
    <w:p w:rsidR="00F51A8F" w:rsidRDefault="00F51A8F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33" w:rsidRDefault="00554D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8F" w:rsidRDefault="00F51A8F" w:rsidP="001D0F12">
      <w:r>
        <w:separator/>
      </w:r>
    </w:p>
  </w:footnote>
  <w:footnote w:type="continuationSeparator" w:id="0">
    <w:p w:rsidR="00F51A8F" w:rsidRDefault="00F51A8F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89403"/>
      <w:docPartObj>
        <w:docPartGallery w:val="Page Numbers (Top of Page)"/>
        <w:docPartUnique/>
      </w:docPartObj>
    </w:sdtPr>
    <w:sdtEndPr/>
    <w:sdtContent>
      <w:p w:rsidR="00554D33" w:rsidRDefault="00CA1D91">
        <w:pPr>
          <w:pStyle w:val="a7"/>
          <w:jc w:val="center"/>
        </w:pPr>
        <w:r w:rsidRPr="003F4080">
          <w:rPr>
            <w:sz w:val="24"/>
            <w:szCs w:val="24"/>
          </w:rPr>
          <w:fldChar w:fldCharType="begin"/>
        </w:r>
        <w:r w:rsidR="00554D33"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C654D9">
          <w:rPr>
            <w:noProof/>
            <w:sz w:val="24"/>
            <w:szCs w:val="24"/>
          </w:rPr>
          <w:t>11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AA"/>
    <w:multiLevelType w:val="hybridMultilevel"/>
    <w:tmpl w:val="017AFA34"/>
    <w:lvl w:ilvl="0" w:tplc="46407C96">
      <w:start w:val="1"/>
      <w:numFmt w:val="decimal"/>
      <w:lvlText w:val="5.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597"/>
    <w:multiLevelType w:val="hybridMultilevel"/>
    <w:tmpl w:val="AE5201B8"/>
    <w:lvl w:ilvl="0" w:tplc="F91C6588">
      <w:start w:val="1"/>
      <w:numFmt w:val="decimal"/>
      <w:lvlText w:val="4.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>
    <w:nsid w:val="18F065E8"/>
    <w:multiLevelType w:val="hybridMultilevel"/>
    <w:tmpl w:val="4C60613A"/>
    <w:lvl w:ilvl="0" w:tplc="7A48AB12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CD4A70"/>
    <w:multiLevelType w:val="hybridMultilevel"/>
    <w:tmpl w:val="FC2E3EE2"/>
    <w:lvl w:ilvl="0" w:tplc="1F206280">
      <w:start w:val="1"/>
      <w:numFmt w:val="decimal"/>
      <w:lvlText w:val="7.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562C6"/>
    <w:multiLevelType w:val="hybridMultilevel"/>
    <w:tmpl w:val="91AA8984"/>
    <w:lvl w:ilvl="0" w:tplc="B48E32EA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58E6"/>
    <w:multiLevelType w:val="hybridMultilevel"/>
    <w:tmpl w:val="9ED04166"/>
    <w:lvl w:ilvl="0" w:tplc="C226A202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1368F"/>
    <w:multiLevelType w:val="hybridMultilevel"/>
    <w:tmpl w:val="B5E2280A"/>
    <w:lvl w:ilvl="0" w:tplc="196CB03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71A36"/>
    <w:multiLevelType w:val="hybridMultilevel"/>
    <w:tmpl w:val="755251A8"/>
    <w:lvl w:ilvl="0" w:tplc="EC4CC256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63F8"/>
    <w:multiLevelType w:val="hybridMultilevel"/>
    <w:tmpl w:val="1AFA6C16"/>
    <w:lvl w:ilvl="0" w:tplc="D4AA129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3346A"/>
    <w:multiLevelType w:val="hybridMultilevel"/>
    <w:tmpl w:val="18E8FB3A"/>
    <w:lvl w:ilvl="0" w:tplc="45F41D3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CE30A8"/>
    <w:multiLevelType w:val="hybridMultilevel"/>
    <w:tmpl w:val="E42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26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13ECC"/>
    <w:multiLevelType w:val="hybridMultilevel"/>
    <w:tmpl w:val="BFAA5A44"/>
    <w:lvl w:ilvl="0" w:tplc="0E04131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5C08CD"/>
    <w:multiLevelType w:val="hybridMultilevel"/>
    <w:tmpl w:val="81FC0248"/>
    <w:lvl w:ilvl="0" w:tplc="BC582AF0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5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B33AF"/>
    <w:multiLevelType w:val="hybridMultilevel"/>
    <w:tmpl w:val="2CD8CCC8"/>
    <w:lvl w:ilvl="0" w:tplc="BBDED61A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4">
    <w:nsid w:val="7F326A10"/>
    <w:multiLevelType w:val="hybridMultilevel"/>
    <w:tmpl w:val="06F0704C"/>
    <w:lvl w:ilvl="0" w:tplc="EC4CC256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42"/>
  </w:num>
  <w:num w:numId="5">
    <w:abstractNumId w:val="31"/>
  </w:num>
  <w:num w:numId="6">
    <w:abstractNumId w:val="32"/>
  </w:num>
  <w:num w:numId="7">
    <w:abstractNumId w:val="25"/>
  </w:num>
  <w:num w:numId="8">
    <w:abstractNumId w:val="16"/>
  </w:num>
  <w:num w:numId="9">
    <w:abstractNumId w:val="26"/>
  </w:num>
  <w:num w:numId="10">
    <w:abstractNumId w:val="40"/>
  </w:num>
  <w:num w:numId="11">
    <w:abstractNumId w:val="10"/>
  </w:num>
  <w:num w:numId="12">
    <w:abstractNumId w:val="37"/>
  </w:num>
  <w:num w:numId="13">
    <w:abstractNumId w:val="45"/>
  </w:num>
  <w:num w:numId="14">
    <w:abstractNumId w:val="30"/>
  </w:num>
  <w:num w:numId="15">
    <w:abstractNumId w:val="33"/>
  </w:num>
  <w:num w:numId="16">
    <w:abstractNumId w:val="17"/>
  </w:num>
  <w:num w:numId="17">
    <w:abstractNumId w:val="43"/>
  </w:num>
  <w:num w:numId="18">
    <w:abstractNumId w:val="38"/>
  </w:num>
  <w:num w:numId="19">
    <w:abstractNumId w:val="3"/>
  </w:num>
  <w:num w:numId="20">
    <w:abstractNumId w:val="34"/>
  </w:num>
  <w:num w:numId="21">
    <w:abstractNumId w:val="41"/>
  </w:num>
  <w:num w:numId="22">
    <w:abstractNumId w:val="22"/>
  </w:num>
  <w:num w:numId="23">
    <w:abstractNumId w:val="28"/>
  </w:num>
  <w:num w:numId="24">
    <w:abstractNumId w:val="39"/>
  </w:num>
  <w:num w:numId="25">
    <w:abstractNumId w:val="7"/>
  </w:num>
  <w:num w:numId="26">
    <w:abstractNumId w:val="19"/>
  </w:num>
  <w:num w:numId="27">
    <w:abstractNumId w:val="2"/>
  </w:num>
  <w:num w:numId="28">
    <w:abstractNumId w:val="13"/>
  </w:num>
  <w:num w:numId="29">
    <w:abstractNumId w:val="23"/>
  </w:num>
  <w:num w:numId="30">
    <w:abstractNumId w:val="35"/>
  </w:num>
  <w:num w:numId="31">
    <w:abstractNumId w:val="21"/>
  </w:num>
  <w:num w:numId="32">
    <w:abstractNumId w:val="0"/>
  </w:num>
  <w:num w:numId="33">
    <w:abstractNumId w:val="12"/>
  </w:num>
  <w:num w:numId="34">
    <w:abstractNumId w:val="5"/>
  </w:num>
  <w:num w:numId="35">
    <w:abstractNumId w:val="20"/>
  </w:num>
  <w:num w:numId="36">
    <w:abstractNumId w:val="1"/>
  </w:num>
  <w:num w:numId="37">
    <w:abstractNumId w:val="18"/>
  </w:num>
  <w:num w:numId="38">
    <w:abstractNumId w:val="27"/>
  </w:num>
  <w:num w:numId="39">
    <w:abstractNumId w:val="14"/>
  </w:num>
  <w:num w:numId="40">
    <w:abstractNumId w:val="44"/>
  </w:num>
  <w:num w:numId="41">
    <w:abstractNumId w:val="8"/>
  </w:num>
  <w:num w:numId="42">
    <w:abstractNumId w:val="15"/>
  </w:num>
  <w:num w:numId="43">
    <w:abstractNumId w:val="29"/>
  </w:num>
  <w:num w:numId="44">
    <w:abstractNumId w:val="36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365B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058C"/>
    <w:rsid w:val="00031BEE"/>
    <w:rsid w:val="00032A5A"/>
    <w:rsid w:val="000334CF"/>
    <w:rsid w:val="00035112"/>
    <w:rsid w:val="00036045"/>
    <w:rsid w:val="00036431"/>
    <w:rsid w:val="0003789F"/>
    <w:rsid w:val="0003791B"/>
    <w:rsid w:val="000410CA"/>
    <w:rsid w:val="00042C67"/>
    <w:rsid w:val="00042FEA"/>
    <w:rsid w:val="00043065"/>
    <w:rsid w:val="000434D7"/>
    <w:rsid w:val="0005116D"/>
    <w:rsid w:val="000516EC"/>
    <w:rsid w:val="00051945"/>
    <w:rsid w:val="0005337C"/>
    <w:rsid w:val="00053E71"/>
    <w:rsid w:val="00054A52"/>
    <w:rsid w:val="00055AF5"/>
    <w:rsid w:val="00055CBA"/>
    <w:rsid w:val="00057EB3"/>
    <w:rsid w:val="0006098B"/>
    <w:rsid w:val="00060A55"/>
    <w:rsid w:val="000613E2"/>
    <w:rsid w:val="000634EE"/>
    <w:rsid w:val="000635A7"/>
    <w:rsid w:val="00072D8C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15D"/>
    <w:rsid w:val="000A64FE"/>
    <w:rsid w:val="000B2125"/>
    <w:rsid w:val="000B25CE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28F"/>
    <w:rsid w:val="000F1E5B"/>
    <w:rsid w:val="000F25D2"/>
    <w:rsid w:val="000F4049"/>
    <w:rsid w:val="000F7E56"/>
    <w:rsid w:val="0010136E"/>
    <w:rsid w:val="00101EEF"/>
    <w:rsid w:val="00102A70"/>
    <w:rsid w:val="00102DF9"/>
    <w:rsid w:val="00103D55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16B"/>
    <w:rsid w:val="001504D2"/>
    <w:rsid w:val="0015073D"/>
    <w:rsid w:val="00151AF0"/>
    <w:rsid w:val="00152486"/>
    <w:rsid w:val="00153E27"/>
    <w:rsid w:val="00154D03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73C5F"/>
    <w:rsid w:val="00174A97"/>
    <w:rsid w:val="00181788"/>
    <w:rsid w:val="00183601"/>
    <w:rsid w:val="00190E09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A7F3F"/>
    <w:rsid w:val="001B076D"/>
    <w:rsid w:val="001B0B45"/>
    <w:rsid w:val="001B26C1"/>
    <w:rsid w:val="001B29FD"/>
    <w:rsid w:val="001B4CAC"/>
    <w:rsid w:val="001B4D5B"/>
    <w:rsid w:val="001B57BE"/>
    <w:rsid w:val="001B6651"/>
    <w:rsid w:val="001B6C1C"/>
    <w:rsid w:val="001B731A"/>
    <w:rsid w:val="001C0542"/>
    <w:rsid w:val="001C0D4E"/>
    <w:rsid w:val="001C11E1"/>
    <w:rsid w:val="001C2ACE"/>
    <w:rsid w:val="001C54C4"/>
    <w:rsid w:val="001D0F12"/>
    <w:rsid w:val="001D1586"/>
    <w:rsid w:val="001D1C88"/>
    <w:rsid w:val="001D33C0"/>
    <w:rsid w:val="001D353E"/>
    <w:rsid w:val="001D4C19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4857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3E6A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1880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67E8"/>
    <w:rsid w:val="00297024"/>
    <w:rsid w:val="002970EF"/>
    <w:rsid w:val="002A2554"/>
    <w:rsid w:val="002A4555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09FE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4B0"/>
    <w:rsid w:val="002D3BB6"/>
    <w:rsid w:val="002E14E7"/>
    <w:rsid w:val="002E1B03"/>
    <w:rsid w:val="002E7504"/>
    <w:rsid w:val="002F2451"/>
    <w:rsid w:val="002F46E3"/>
    <w:rsid w:val="002F4E08"/>
    <w:rsid w:val="002F5C28"/>
    <w:rsid w:val="002F6B4B"/>
    <w:rsid w:val="002F7389"/>
    <w:rsid w:val="002F7B8A"/>
    <w:rsid w:val="002F7E20"/>
    <w:rsid w:val="00301952"/>
    <w:rsid w:val="003026F4"/>
    <w:rsid w:val="00303504"/>
    <w:rsid w:val="00303E6C"/>
    <w:rsid w:val="00304AB1"/>
    <w:rsid w:val="00305D72"/>
    <w:rsid w:val="003072FB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3AC"/>
    <w:rsid w:val="0033456D"/>
    <w:rsid w:val="00334748"/>
    <w:rsid w:val="00334C27"/>
    <w:rsid w:val="00334EA5"/>
    <w:rsid w:val="003353E7"/>
    <w:rsid w:val="00336DFB"/>
    <w:rsid w:val="00337EED"/>
    <w:rsid w:val="003408B8"/>
    <w:rsid w:val="003408F7"/>
    <w:rsid w:val="0034296E"/>
    <w:rsid w:val="00343503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081C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86D"/>
    <w:rsid w:val="003B6AC2"/>
    <w:rsid w:val="003B7894"/>
    <w:rsid w:val="003C3C97"/>
    <w:rsid w:val="003C6612"/>
    <w:rsid w:val="003C6773"/>
    <w:rsid w:val="003C6D95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5708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0793"/>
    <w:rsid w:val="00432551"/>
    <w:rsid w:val="00433B11"/>
    <w:rsid w:val="004349DC"/>
    <w:rsid w:val="00434CAB"/>
    <w:rsid w:val="00436D07"/>
    <w:rsid w:val="004410BF"/>
    <w:rsid w:val="00441AA3"/>
    <w:rsid w:val="00441D96"/>
    <w:rsid w:val="004456E1"/>
    <w:rsid w:val="00445CF2"/>
    <w:rsid w:val="00445F98"/>
    <w:rsid w:val="004462F2"/>
    <w:rsid w:val="00447051"/>
    <w:rsid w:val="0045185D"/>
    <w:rsid w:val="0045316C"/>
    <w:rsid w:val="00454B70"/>
    <w:rsid w:val="00454E3B"/>
    <w:rsid w:val="00460E16"/>
    <w:rsid w:val="00461D3E"/>
    <w:rsid w:val="0046319F"/>
    <w:rsid w:val="00463E2D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54D7"/>
    <w:rsid w:val="00486210"/>
    <w:rsid w:val="00487D83"/>
    <w:rsid w:val="00491927"/>
    <w:rsid w:val="00492D25"/>
    <w:rsid w:val="00493D6B"/>
    <w:rsid w:val="00494BFF"/>
    <w:rsid w:val="00497F92"/>
    <w:rsid w:val="00497FE8"/>
    <w:rsid w:val="004A0016"/>
    <w:rsid w:val="004A0444"/>
    <w:rsid w:val="004A0C78"/>
    <w:rsid w:val="004A0E32"/>
    <w:rsid w:val="004A10E4"/>
    <w:rsid w:val="004A164E"/>
    <w:rsid w:val="004A53B7"/>
    <w:rsid w:val="004A576D"/>
    <w:rsid w:val="004A57A6"/>
    <w:rsid w:val="004A5A52"/>
    <w:rsid w:val="004A5C37"/>
    <w:rsid w:val="004A7D5E"/>
    <w:rsid w:val="004B0D27"/>
    <w:rsid w:val="004B1C2D"/>
    <w:rsid w:val="004B3920"/>
    <w:rsid w:val="004B3DCE"/>
    <w:rsid w:val="004B492A"/>
    <w:rsid w:val="004B4F33"/>
    <w:rsid w:val="004B5BEA"/>
    <w:rsid w:val="004B5F4A"/>
    <w:rsid w:val="004B65F2"/>
    <w:rsid w:val="004B75A0"/>
    <w:rsid w:val="004C0C6E"/>
    <w:rsid w:val="004C45E9"/>
    <w:rsid w:val="004C6010"/>
    <w:rsid w:val="004C7E80"/>
    <w:rsid w:val="004D0349"/>
    <w:rsid w:val="004D379F"/>
    <w:rsid w:val="004D401C"/>
    <w:rsid w:val="004D53E7"/>
    <w:rsid w:val="004D76FC"/>
    <w:rsid w:val="004E03C2"/>
    <w:rsid w:val="004E1542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16DC"/>
    <w:rsid w:val="0050273C"/>
    <w:rsid w:val="00502856"/>
    <w:rsid w:val="005035B2"/>
    <w:rsid w:val="00503622"/>
    <w:rsid w:val="00504518"/>
    <w:rsid w:val="00506E2A"/>
    <w:rsid w:val="00512162"/>
    <w:rsid w:val="005134B0"/>
    <w:rsid w:val="00514513"/>
    <w:rsid w:val="005149F7"/>
    <w:rsid w:val="00516201"/>
    <w:rsid w:val="005162AC"/>
    <w:rsid w:val="0051648D"/>
    <w:rsid w:val="00516720"/>
    <w:rsid w:val="00516783"/>
    <w:rsid w:val="00516E84"/>
    <w:rsid w:val="005213A5"/>
    <w:rsid w:val="00521541"/>
    <w:rsid w:val="005218EB"/>
    <w:rsid w:val="0052200B"/>
    <w:rsid w:val="0052251A"/>
    <w:rsid w:val="005244B0"/>
    <w:rsid w:val="005274B4"/>
    <w:rsid w:val="005309AC"/>
    <w:rsid w:val="00533404"/>
    <w:rsid w:val="005337F6"/>
    <w:rsid w:val="005338FF"/>
    <w:rsid w:val="00533C7B"/>
    <w:rsid w:val="00533F77"/>
    <w:rsid w:val="00535761"/>
    <w:rsid w:val="00536400"/>
    <w:rsid w:val="00536D04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4D33"/>
    <w:rsid w:val="00555003"/>
    <w:rsid w:val="00555601"/>
    <w:rsid w:val="00555EF3"/>
    <w:rsid w:val="005601ED"/>
    <w:rsid w:val="005602DB"/>
    <w:rsid w:val="00560D47"/>
    <w:rsid w:val="00561A60"/>
    <w:rsid w:val="00561E01"/>
    <w:rsid w:val="00563FB5"/>
    <w:rsid w:val="00564711"/>
    <w:rsid w:val="00566324"/>
    <w:rsid w:val="005666E1"/>
    <w:rsid w:val="00567106"/>
    <w:rsid w:val="0056721A"/>
    <w:rsid w:val="00570165"/>
    <w:rsid w:val="00573E4F"/>
    <w:rsid w:val="00575EB1"/>
    <w:rsid w:val="00577552"/>
    <w:rsid w:val="00577AAE"/>
    <w:rsid w:val="0058054F"/>
    <w:rsid w:val="00581AEC"/>
    <w:rsid w:val="00582807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120F"/>
    <w:rsid w:val="005A20FC"/>
    <w:rsid w:val="005A23A7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A76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6DA"/>
    <w:rsid w:val="005F5A43"/>
    <w:rsid w:val="005F72C5"/>
    <w:rsid w:val="00600256"/>
    <w:rsid w:val="0060264F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8A1"/>
    <w:rsid w:val="00620EBC"/>
    <w:rsid w:val="006232BB"/>
    <w:rsid w:val="00635467"/>
    <w:rsid w:val="006368B6"/>
    <w:rsid w:val="00641768"/>
    <w:rsid w:val="00642532"/>
    <w:rsid w:val="0064275B"/>
    <w:rsid w:val="00646E90"/>
    <w:rsid w:val="00647630"/>
    <w:rsid w:val="006476D1"/>
    <w:rsid w:val="00647C34"/>
    <w:rsid w:val="00647CE3"/>
    <w:rsid w:val="00647E29"/>
    <w:rsid w:val="0065244A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7E6"/>
    <w:rsid w:val="00663FFE"/>
    <w:rsid w:val="00664426"/>
    <w:rsid w:val="0066495E"/>
    <w:rsid w:val="00665817"/>
    <w:rsid w:val="00665CF0"/>
    <w:rsid w:val="00666D73"/>
    <w:rsid w:val="006714A3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31D1"/>
    <w:rsid w:val="006A4ED1"/>
    <w:rsid w:val="006A60FF"/>
    <w:rsid w:val="006A6F0B"/>
    <w:rsid w:val="006A702F"/>
    <w:rsid w:val="006B0E30"/>
    <w:rsid w:val="006B1371"/>
    <w:rsid w:val="006B2E93"/>
    <w:rsid w:val="006B4576"/>
    <w:rsid w:val="006B7773"/>
    <w:rsid w:val="006C2369"/>
    <w:rsid w:val="006C24E8"/>
    <w:rsid w:val="006C29B3"/>
    <w:rsid w:val="006C69D8"/>
    <w:rsid w:val="006C6F27"/>
    <w:rsid w:val="006C771E"/>
    <w:rsid w:val="006D0F9C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5764"/>
    <w:rsid w:val="006E6DD2"/>
    <w:rsid w:val="006F1A48"/>
    <w:rsid w:val="006F3333"/>
    <w:rsid w:val="006F4B33"/>
    <w:rsid w:val="006F729C"/>
    <w:rsid w:val="006F73A7"/>
    <w:rsid w:val="006F7CF8"/>
    <w:rsid w:val="007035AC"/>
    <w:rsid w:val="00704F20"/>
    <w:rsid w:val="0070597C"/>
    <w:rsid w:val="00706875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123A"/>
    <w:rsid w:val="007536F9"/>
    <w:rsid w:val="00754286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9D8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D73A3"/>
    <w:rsid w:val="007E0161"/>
    <w:rsid w:val="007E0D36"/>
    <w:rsid w:val="007E28B0"/>
    <w:rsid w:val="007E43F0"/>
    <w:rsid w:val="007E4EDC"/>
    <w:rsid w:val="007E563D"/>
    <w:rsid w:val="007E7C86"/>
    <w:rsid w:val="007F00C6"/>
    <w:rsid w:val="007F0B1A"/>
    <w:rsid w:val="007F0C63"/>
    <w:rsid w:val="007F1DC4"/>
    <w:rsid w:val="007F2A73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1BDD"/>
    <w:rsid w:val="008023EA"/>
    <w:rsid w:val="0080464F"/>
    <w:rsid w:val="0080657C"/>
    <w:rsid w:val="00810ABA"/>
    <w:rsid w:val="00811A4E"/>
    <w:rsid w:val="0081205C"/>
    <w:rsid w:val="00812E76"/>
    <w:rsid w:val="008150FF"/>
    <w:rsid w:val="00816566"/>
    <w:rsid w:val="0081717F"/>
    <w:rsid w:val="008201AA"/>
    <w:rsid w:val="00822E33"/>
    <w:rsid w:val="00823967"/>
    <w:rsid w:val="00823F40"/>
    <w:rsid w:val="0082459F"/>
    <w:rsid w:val="0082617D"/>
    <w:rsid w:val="0082776C"/>
    <w:rsid w:val="00827D33"/>
    <w:rsid w:val="008307C8"/>
    <w:rsid w:val="0083103E"/>
    <w:rsid w:val="00832047"/>
    <w:rsid w:val="008330C9"/>
    <w:rsid w:val="00835A28"/>
    <w:rsid w:val="00835CE4"/>
    <w:rsid w:val="00835EE9"/>
    <w:rsid w:val="00842872"/>
    <w:rsid w:val="00845DF0"/>
    <w:rsid w:val="0084731F"/>
    <w:rsid w:val="008479F3"/>
    <w:rsid w:val="00853E7F"/>
    <w:rsid w:val="00854D44"/>
    <w:rsid w:val="0085522F"/>
    <w:rsid w:val="00855239"/>
    <w:rsid w:val="00855FB8"/>
    <w:rsid w:val="0085786D"/>
    <w:rsid w:val="00857DC9"/>
    <w:rsid w:val="00862AE0"/>
    <w:rsid w:val="00863AB4"/>
    <w:rsid w:val="008657A0"/>
    <w:rsid w:val="00865C19"/>
    <w:rsid w:val="008666DD"/>
    <w:rsid w:val="0086794C"/>
    <w:rsid w:val="00867D3B"/>
    <w:rsid w:val="00867DAC"/>
    <w:rsid w:val="008705F9"/>
    <w:rsid w:val="00871C91"/>
    <w:rsid w:val="00872766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50F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3D78"/>
    <w:rsid w:val="008E4BC5"/>
    <w:rsid w:val="008E63CF"/>
    <w:rsid w:val="008E7D6F"/>
    <w:rsid w:val="008F0B45"/>
    <w:rsid w:val="008F1112"/>
    <w:rsid w:val="008F116F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4794"/>
    <w:rsid w:val="00905A01"/>
    <w:rsid w:val="00911E67"/>
    <w:rsid w:val="0091220B"/>
    <w:rsid w:val="00915263"/>
    <w:rsid w:val="00920C05"/>
    <w:rsid w:val="00921F3C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56AD5"/>
    <w:rsid w:val="00957807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309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213C"/>
    <w:rsid w:val="009A4A11"/>
    <w:rsid w:val="009A52AA"/>
    <w:rsid w:val="009A58C2"/>
    <w:rsid w:val="009A5FFC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24BB"/>
    <w:rsid w:val="009F71BF"/>
    <w:rsid w:val="00A014DC"/>
    <w:rsid w:val="00A0514D"/>
    <w:rsid w:val="00A066D5"/>
    <w:rsid w:val="00A06E85"/>
    <w:rsid w:val="00A076FF"/>
    <w:rsid w:val="00A13EFB"/>
    <w:rsid w:val="00A157A6"/>
    <w:rsid w:val="00A161E1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359B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47A9A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71225"/>
    <w:rsid w:val="00A735BC"/>
    <w:rsid w:val="00A7576D"/>
    <w:rsid w:val="00A768AC"/>
    <w:rsid w:val="00A80797"/>
    <w:rsid w:val="00A80BFA"/>
    <w:rsid w:val="00A80FF0"/>
    <w:rsid w:val="00A83A8B"/>
    <w:rsid w:val="00A845C9"/>
    <w:rsid w:val="00A8563F"/>
    <w:rsid w:val="00A877F8"/>
    <w:rsid w:val="00A90EC7"/>
    <w:rsid w:val="00A90F35"/>
    <w:rsid w:val="00A91F8E"/>
    <w:rsid w:val="00A94D6B"/>
    <w:rsid w:val="00A973D3"/>
    <w:rsid w:val="00AA16B6"/>
    <w:rsid w:val="00AA1B86"/>
    <w:rsid w:val="00AA22DE"/>
    <w:rsid w:val="00AA3AB6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28CD"/>
    <w:rsid w:val="00AC2FA1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1444"/>
    <w:rsid w:val="00B14375"/>
    <w:rsid w:val="00B14FE4"/>
    <w:rsid w:val="00B15D5C"/>
    <w:rsid w:val="00B1723C"/>
    <w:rsid w:val="00B227D7"/>
    <w:rsid w:val="00B25A95"/>
    <w:rsid w:val="00B308BF"/>
    <w:rsid w:val="00B30FC5"/>
    <w:rsid w:val="00B31326"/>
    <w:rsid w:val="00B31B5A"/>
    <w:rsid w:val="00B36978"/>
    <w:rsid w:val="00B37907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61C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878BB"/>
    <w:rsid w:val="00B87B82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420A"/>
    <w:rsid w:val="00BA569C"/>
    <w:rsid w:val="00BB55C6"/>
    <w:rsid w:val="00BB5FF3"/>
    <w:rsid w:val="00BB73D5"/>
    <w:rsid w:val="00BC19C9"/>
    <w:rsid w:val="00BC2612"/>
    <w:rsid w:val="00BC6540"/>
    <w:rsid w:val="00BC728E"/>
    <w:rsid w:val="00BC7977"/>
    <w:rsid w:val="00BD07C0"/>
    <w:rsid w:val="00BD30EA"/>
    <w:rsid w:val="00BD3640"/>
    <w:rsid w:val="00BD54D0"/>
    <w:rsid w:val="00BD6821"/>
    <w:rsid w:val="00BD7222"/>
    <w:rsid w:val="00BD7F7D"/>
    <w:rsid w:val="00BE1334"/>
    <w:rsid w:val="00BE2CF7"/>
    <w:rsid w:val="00BE3105"/>
    <w:rsid w:val="00BE5399"/>
    <w:rsid w:val="00BE63D8"/>
    <w:rsid w:val="00BF0121"/>
    <w:rsid w:val="00BF1C02"/>
    <w:rsid w:val="00BF38D4"/>
    <w:rsid w:val="00BF5F81"/>
    <w:rsid w:val="00BF72B8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5D9F"/>
    <w:rsid w:val="00C16204"/>
    <w:rsid w:val="00C17713"/>
    <w:rsid w:val="00C21ACA"/>
    <w:rsid w:val="00C223C3"/>
    <w:rsid w:val="00C3003B"/>
    <w:rsid w:val="00C31861"/>
    <w:rsid w:val="00C32DE8"/>
    <w:rsid w:val="00C34983"/>
    <w:rsid w:val="00C35967"/>
    <w:rsid w:val="00C36032"/>
    <w:rsid w:val="00C40DFD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54D9"/>
    <w:rsid w:val="00C661BB"/>
    <w:rsid w:val="00C67A37"/>
    <w:rsid w:val="00C71B6C"/>
    <w:rsid w:val="00C71E69"/>
    <w:rsid w:val="00C72AEF"/>
    <w:rsid w:val="00C73E44"/>
    <w:rsid w:val="00C74262"/>
    <w:rsid w:val="00C74B59"/>
    <w:rsid w:val="00C7732E"/>
    <w:rsid w:val="00C77A61"/>
    <w:rsid w:val="00C80FF5"/>
    <w:rsid w:val="00C84A90"/>
    <w:rsid w:val="00C86373"/>
    <w:rsid w:val="00C90934"/>
    <w:rsid w:val="00C9267D"/>
    <w:rsid w:val="00C932AD"/>
    <w:rsid w:val="00C93BE2"/>
    <w:rsid w:val="00CA0846"/>
    <w:rsid w:val="00CA1B1A"/>
    <w:rsid w:val="00CA1D91"/>
    <w:rsid w:val="00CA403E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3481"/>
    <w:rsid w:val="00CC6102"/>
    <w:rsid w:val="00CC677C"/>
    <w:rsid w:val="00CC73C4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0D95"/>
    <w:rsid w:val="00CE1401"/>
    <w:rsid w:val="00CE28A4"/>
    <w:rsid w:val="00CE41DF"/>
    <w:rsid w:val="00CE60B3"/>
    <w:rsid w:val="00CF1993"/>
    <w:rsid w:val="00CF2B89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4ADB"/>
    <w:rsid w:val="00D17FC1"/>
    <w:rsid w:val="00D20014"/>
    <w:rsid w:val="00D2090C"/>
    <w:rsid w:val="00D21CAC"/>
    <w:rsid w:val="00D229F5"/>
    <w:rsid w:val="00D2424E"/>
    <w:rsid w:val="00D25D09"/>
    <w:rsid w:val="00D31005"/>
    <w:rsid w:val="00D33490"/>
    <w:rsid w:val="00D34BBD"/>
    <w:rsid w:val="00D354D1"/>
    <w:rsid w:val="00D36FF3"/>
    <w:rsid w:val="00D37891"/>
    <w:rsid w:val="00D37A48"/>
    <w:rsid w:val="00D404CB"/>
    <w:rsid w:val="00D420A9"/>
    <w:rsid w:val="00D4274F"/>
    <w:rsid w:val="00D448D1"/>
    <w:rsid w:val="00D4495A"/>
    <w:rsid w:val="00D44AD2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2262"/>
    <w:rsid w:val="00D6323D"/>
    <w:rsid w:val="00D65259"/>
    <w:rsid w:val="00D677D5"/>
    <w:rsid w:val="00D67BCB"/>
    <w:rsid w:val="00D67FF0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5EA8"/>
    <w:rsid w:val="00D8657A"/>
    <w:rsid w:val="00D86F62"/>
    <w:rsid w:val="00D87A28"/>
    <w:rsid w:val="00D9006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30"/>
    <w:rsid w:val="00DA40D4"/>
    <w:rsid w:val="00DA488A"/>
    <w:rsid w:val="00DA4C06"/>
    <w:rsid w:val="00DA601E"/>
    <w:rsid w:val="00DA60DC"/>
    <w:rsid w:val="00DA66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39EA"/>
    <w:rsid w:val="00DD4EFD"/>
    <w:rsid w:val="00DD7109"/>
    <w:rsid w:val="00DD7AF4"/>
    <w:rsid w:val="00DD7E65"/>
    <w:rsid w:val="00DE0ED3"/>
    <w:rsid w:val="00DE3770"/>
    <w:rsid w:val="00DE4FFE"/>
    <w:rsid w:val="00DE5778"/>
    <w:rsid w:val="00DE5AC2"/>
    <w:rsid w:val="00DF38E5"/>
    <w:rsid w:val="00DF4601"/>
    <w:rsid w:val="00DF4A87"/>
    <w:rsid w:val="00DF5681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14A6"/>
    <w:rsid w:val="00E3483B"/>
    <w:rsid w:val="00E37397"/>
    <w:rsid w:val="00E41DC2"/>
    <w:rsid w:val="00E424B0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198E"/>
    <w:rsid w:val="00E62BE1"/>
    <w:rsid w:val="00E635F8"/>
    <w:rsid w:val="00E64554"/>
    <w:rsid w:val="00E65EF3"/>
    <w:rsid w:val="00E66016"/>
    <w:rsid w:val="00E6608B"/>
    <w:rsid w:val="00E677C6"/>
    <w:rsid w:val="00E677C8"/>
    <w:rsid w:val="00E71050"/>
    <w:rsid w:val="00E7128A"/>
    <w:rsid w:val="00E72239"/>
    <w:rsid w:val="00E72736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1A72"/>
    <w:rsid w:val="00E92727"/>
    <w:rsid w:val="00E92755"/>
    <w:rsid w:val="00E92A13"/>
    <w:rsid w:val="00E9413C"/>
    <w:rsid w:val="00E94404"/>
    <w:rsid w:val="00E94466"/>
    <w:rsid w:val="00E94CB8"/>
    <w:rsid w:val="00E95322"/>
    <w:rsid w:val="00E957DF"/>
    <w:rsid w:val="00EA03CD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0ABA"/>
    <w:rsid w:val="00ED1738"/>
    <w:rsid w:val="00ED49AB"/>
    <w:rsid w:val="00ED4C57"/>
    <w:rsid w:val="00ED4E2F"/>
    <w:rsid w:val="00ED6C7C"/>
    <w:rsid w:val="00ED6F61"/>
    <w:rsid w:val="00EE2AD3"/>
    <w:rsid w:val="00EE4585"/>
    <w:rsid w:val="00EE5129"/>
    <w:rsid w:val="00EE53D7"/>
    <w:rsid w:val="00EE5851"/>
    <w:rsid w:val="00EE5BC1"/>
    <w:rsid w:val="00EE6EEA"/>
    <w:rsid w:val="00EF05D3"/>
    <w:rsid w:val="00EF16D5"/>
    <w:rsid w:val="00EF1EA2"/>
    <w:rsid w:val="00EF2404"/>
    <w:rsid w:val="00EF2C34"/>
    <w:rsid w:val="00EF3D33"/>
    <w:rsid w:val="00EF444A"/>
    <w:rsid w:val="00EF45C6"/>
    <w:rsid w:val="00EF4ADC"/>
    <w:rsid w:val="00EF4B5E"/>
    <w:rsid w:val="00F002E4"/>
    <w:rsid w:val="00F01680"/>
    <w:rsid w:val="00F02768"/>
    <w:rsid w:val="00F03D2A"/>
    <w:rsid w:val="00F03D3C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6C65"/>
    <w:rsid w:val="00F4712F"/>
    <w:rsid w:val="00F51A8F"/>
    <w:rsid w:val="00F51C9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65B54"/>
    <w:rsid w:val="00F7186D"/>
    <w:rsid w:val="00F71B0A"/>
    <w:rsid w:val="00F71B61"/>
    <w:rsid w:val="00F7787D"/>
    <w:rsid w:val="00F8047E"/>
    <w:rsid w:val="00F85E2C"/>
    <w:rsid w:val="00F875A2"/>
    <w:rsid w:val="00F87E12"/>
    <w:rsid w:val="00F87EBF"/>
    <w:rsid w:val="00F9199A"/>
    <w:rsid w:val="00F96D4A"/>
    <w:rsid w:val="00FA0C93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1C0"/>
    <w:rsid w:val="00FC49A8"/>
    <w:rsid w:val="00FC7470"/>
    <w:rsid w:val="00FC7589"/>
    <w:rsid w:val="00FD3A72"/>
    <w:rsid w:val="00FD4F16"/>
    <w:rsid w:val="00FD7D5F"/>
    <w:rsid w:val="00FD7FE3"/>
    <w:rsid w:val="00FE0CF4"/>
    <w:rsid w:val="00FE1673"/>
    <w:rsid w:val="00FE2844"/>
    <w:rsid w:val="00FE2AFA"/>
    <w:rsid w:val="00FE2E0F"/>
    <w:rsid w:val="00FE2FD2"/>
    <w:rsid w:val="00FE5E42"/>
    <w:rsid w:val="00FE6078"/>
    <w:rsid w:val="00FE767B"/>
    <w:rsid w:val="00FE7DAC"/>
    <w:rsid w:val="00FF2309"/>
    <w:rsid w:val="00FF6B0E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69E2858C4C65B810ED2DD260DC98D06A181F9BE8B6DEC0FD4CE36A5D4DB6F555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46EF-F365-473D-BDC2-80346C7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Эберт Т.М.</cp:lastModifiedBy>
  <cp:revision>4</cp:revision>
  <cp:lastPrinted>2017-01-31T05:24:00Z</cp:lastPrinted>
  <dcterms:created xsi:type="dcterms:W3CDTF">2017-01-31T05:23:00Z</dcterms:created>
  <dcterms:modified xsi:type="dcterms:W3CDTF">2017-01-31T05:24:00Z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