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D87A42">
        <w:rPr>
          <w:rFonts w:eastAsia="Times New Roman"/>
          <w:sz w:val="28"/>
          <w:szCs w:val="28"/>
          <w:lang w:eastAsia="en-US"/>
        </w:rPr>
        <w:t xml:space="preserve">2021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11D72" w:rsidRPr="00116D2D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О внесении изменений в постановление </w:t>
      </w:r>
    </w:p>
    <w:p w:rsidR="00011D72" w:rsidRDefault="00011D72" w:rsidP="00CD6322">
      <w:pPr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администрации Ханты-Мансийского </w:t>
      </w:r>
    </w:p>
    <w:p w:rsidR="00011D72" w:rsidRDefault="00011D72" w:rsidP="00CD6322">
      <w:pPr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>района от 12.11.2018 № 33</w:t>
      </w:r>
      <w:r>
        <w:rPr>
          <w:color w:val="000000"/>
          <w:sz w:val="28"/>
          <w:szCs w:val="28"/>
        </w:rPr>
        <w:t xml:space="preserve">8 </w:t>
      </w:r>
    </w:p>
    <w:p w:rsidR="00C33F07" w:rsidRDefault="00011D72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C33F07" w:rsidRDefault="00011D72" w:rsidP="00CD6322">
      <w:pPr>
        <w:tabs>
          <w:tab w:val="left" w:pos="5103"/>
        </w:tabs>
        <w:rPr>
          <w:sz w:val="28"/>
          <w:szCs w:val="28"/>
        </w:rPr>
      </w:pPr>
      <w:r w:rsidRPr="0093340E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жилищных условий жителей </w:t>
      </w:r>
    </w:p>
    <w:p w:rsidR="00C33F07" w:rsidRDefault="00011D72" w:rsidP="00CD6322">
      <w:pPr>
        <w:rPr>
          <w:sz w:val="28"/>
          <w:szCs w:val="28"/>
        </w:rPr>
      </w:pPr>
      <w:r w:rsidRPr="0093340E">
        <w:rPr>
          <w:sz w:val="28"/>
          <w:szCs w:val="28"/>
        </w:rPr>
        <w:t xml:space="preserve">Ханты-Мансийского района </w:t>
      </w:r>
    </w:p>
    <w:p w:rsidR="00011D72" w:rsidRPr="0093340E" w:rsidRDefault="00011D72" w:rsidP="00CD6322">
      <w:pPr>
        <w:rPr>
          <w:sz w:val="28"/>
          <w:szCs w:val="28"/>
        </w:rPr>
      </w:pPr>
      <w:r w:rsidRPr="0093340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93340E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FA305E">
        <w:rPr>
          <w:sz w:val="28"/>
          <w:szCs w:val="28"/>
        </w:rPr>
        <w:t>3</w:t>
      </w:r>
      <w:r w:rsidRPr="0093340E">
        <w:rPr>
          <w:sz w:val="28"/>
          <w:szCs w:val="28"/>
        </w:rPr>
        <w:t xml:space="preserve"> годы»</w:t>
      </w:r>
    </w:p>
    <w:p w:rsidR="00011D72" w:rsidRPr="00C33F07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011D72" w:rsidP="00CD6322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07.09.2018 № 246 «О модельной муниципальной программе </w:t>
      </w:r>
      <w:r w:rsidR="00C33F07">
        <w:rPr>
          <w:sz w:val="28"/>
          <w:szCs w:val="28"/>
        </w:rPr>
        <w:br/>
      </w:r>
      <w:r w:rsidRPr="00D61141">
        <w:rPr>
          <w:sz w:val="28"/>
          <w:szCs w:val="28"/>
        </w:rPr>
        <w:t>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реализации», на основании пункта 10.1 части 1 статьи 27, статей 47.1, 32 Устава Ханты-Мансийского района:</w:t>
      </w:r>
    </w:p>
    <w:p w:rsidR="00011D72" w:rsidRPr="00D61141" w:rsidRDefault="00011D72" w:rsidP="00CD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7D19" w:rsidRPr="004476B2" w:rsidRDefault="007F7D19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141"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Ханты-Мансийского района от 12.11.2018 № 338 «О муниципальной программе Ханты-Мансийского района «Улучшение жилищных условий жителей Ханты-Мансийского района на 2019 – 202</w:t>
      </w:r>
      <w:r w:rsidR="00682B01">
        <w:rPr>
          <w:rFonts w:ascii="Times New Roman" w:hAnsi="Times New Roman"/>
          <w:sz w:val="28"/>
          <w:szCs w:val="28"/>
          <w:lang w:eastAsia="ru-RU"/>
        </w:rPr>
        <w:t>3</w:t>
      </w:r>
      <w:r w:rsidRPr="00D61141">
        <w:rPr>
          <w:rFonts w:ascii="Times New Roman" w:hAnsi="Times New Roman"/>
          <w:sz w:val="28"/>
          <w:szCs w:val="28"/>
          <w:lang w:eastAsia="ru-RU"/>
        </w:rPr>
        <w:t xml:space="preserve"> годы» изменения</w:t>
      </w:r>
      <w:r w:rsidR="004476B2">
        <w:rPr>
          <w:rFonts w:ascii="Times New Roman" w:hAnsi="Times New Roman"/>
          <w:sz w:val="28"/>
          <w:szCs w:val="28"/>
          <w:lang w:eastAsia="ru-RU"/>
        </w:rPr>
        <w:t>, изложив п</w:t>
      </w:r>
      <w:r w:rsidRPr="004476B2">
        <w:rPr>
          <w:rFonts w:ascii="Times New Roman" w:hAnsi="Times New Roman"/>
          <w:sz w:val="28"/>
          <w:szCs w:val="28"/>
          <w:lang w:eastAsia="ru-RU"/>
        </w:rPr>
        <w:t>риложение к постановлению в новой редакции:</w:t>
      </w:r>
    </w:p>
    <w:p w:rsidR="00011D72" w:rsidRPr="00D61141" w:rsidRDefault="00011D72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«Приложение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11D72" w:rsidRPr="00D61141" w:rsidRDefault="00011D72" w:rsidP="00CD6322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от 12.11.2018 № 338</w:t>
      </w:r>
    </w:p>
    <w:p w:rsidR="00011D72" w:rsidRPr="00D61141" w:rsidRDefault="00011D72" w:rsidP="00CD6322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011D72" w:rsidRPr="00D61141" w:rsidRDefault="00011D72" w:rsidP="00CD632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Паспорт</w:t>
      </w:r>
    </w:p>
    <w:p w:rsidR="00011D72" w:rsidRPr="00D61141" w:rsidRDefault="00011D72" w:rsidP="00CD632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муниципальной программы Ханты-Мансийского района</w:t>
      </w:r>
    </w:p>
    <w:p w:rsidR="00011D72" w:rsidRPr="00D61141" w:rsidRDefault="00011D72" w:rsidP="00CD632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039"/>
        <w:gridCol w:w="6095"/>
      </w:tblGrid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bookmarkStart w:id="0" w:name="P174"/>
            <w:bookmarkEnd w:id="0"/>
            <w:r w:rsidRPr="00D61141">
              <w:rPr>
                <w:rFonts w:eastAsia="Times New Roman"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«Улучшение жилищных условий </w:t>
            </w:r>
            <w:r w:rsidRPr="00D61141">
              <w:rPr>
                <w:sz w:val="28"/>
                <w:szCs w:val="28"/>
              </w:rPr>
              <w:br/>
              <w:t xml:space="preserve">жителей Ханты-Мансийского района </w:t>
            </w:r>
            <w:r w:rsidRPr="00D61141">
              <w:rPr>
                <w:sz w:val="28"/>
                <w:szCs w:val="28"/>
              </w:rPr>
              <w:br/>
              <w:t>на 2019 – 202</w:t>
            </w:r>
            <w:r w:rsidR="00B36527">
              <w:rPr>
                <w:sz w:val="28"/>
                <w:szCs w:val="28"/>
              </w:rPr>
              <w:t>3</w:t>
            </w:r>
            <w:r w:rsidRPr="00D61141">
              <w:rPr>
                <w:sz w:val="28"/>
                <w:szCs w:val="28"/>
              </w:rPr>
              <w:t xml:space="preserve"> годы»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постановление администрации Ханты-Мансийского района от 12</w:t>
            </w:r>
            <w:r w:rsidR="00CD6322">
              <w:rPr>
                <w:sz w:val="28"/>
                <w:szCs w:val="28"/>
              </w:rPr>
              <w:t>.11.</w:t>
            </w:r>
            <w:r w:rsidRPr="00D61141">
              <w:rPr>
                <w:sz w:val="28"/>
                <w:szCs w:val="28"/>
              </w:rPr>
              <w:t xml:space="preserve">2018 № 338 </w:t>
            </w:r>
            <w:r w:rsidR="00CD6322">
              <w:rPr>
                <w:sz w:val="28"/>
                <w:szCs w:val="28"/>
              </w:rPr>
              <w:br/>
            </w:r>
            <w:r w:rsidRPr="00D61141">
              <w:rPr>
                <w:sz w:val="28"/>
                <w:szCs w:val="28"/>
              </w:rPr>
              <w:t xml:space="preserve">«О муниципальной программе Ханты-Мансийского района «Улучшение жилищных условий жителей Ханты-Мансийского района </w:t>
            </w:r>
            <w:r w:rsidRPr="00D61141">
              <w:rPr>
                <w:sz w:val="28"/>
                <w:szCs w:val="28"/>
              </w:rPr>
              <w:br/>
              <w:t>на 2019 – 202</w:t>
            </w:r>
            <w:r w:rsidR="00B36527">
              <w:rPr>
                <w:sz w:val="28"/>
                <w:szCs w:val="28"/>
              </w:rPr>
              <w:t>3</w:t>
            </w:r>
            <w:r w:rsidRPr="00D61141">
              <w:rPr>
                <w:sz w:val="28"/>
                <w:szCs w:val="28"/>
              </w:rPr>
              <w:t xml:space="preserve"> годы»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011D72" w:rsidRPr="00D61141" w:rsidTr="004526C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011D72" w:rsidRPr="00D61141" w:rsidTr="004526C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стимулирование жилищного строительства и обеспечение жильем отдельных категорий граждан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1">
              <w:rPr>
                <w:rFonts w:ascii="Times New Roman" w:hAnsi="Times New Roman"/>
                <w:sz w:val="28"/>
                <w:szCs w:val="28"/>
              </w:rPr>
              <w:t>1. Развитие многоквартирного жилищного строительства за счет гарантированного спроса на жилые помещения</w:t>
            </w:r>
          </w:p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2. Предоставление субсидий и (или) социальных выплат отдельным категориям граждан на улучшение жилищных условий</w:t>
            </w:r>
          </w:p>
          <w:p w:rsidR="00906020" w:rsidRPr="00D61141" w:rsidRDefault="00906020" w:rsidP="00CD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3. </w:t>
            </w:r>
            <w:r w:rsidR="00452CA1" w:rsidRPr="00D61141">
              <w:rPr>
                <w:sz w:val="28"/>
                <w:szCs w:val="28"/>
              </w:rPr>
              <w:t>Переселение граждан в благоустроенные жилые помещения из аварийного жилищного фонда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jc w:val="both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подпрограмма 1 «Стимулирование жилищного строительства»;</w:t>
            </w:r>
          </w:p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>Портфели проектов, проекты, входящие в состав</w:t>
            </w:r>
          </w:p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sz w:val="28"/>
                <w:szCs w:val="28"/>
              </w:rPr>
              <w:t xml:space="preserve"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</w:t>
            </w:r>
            <w:r w:rsidRPr="00D61141">
              <w:rPr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1C5D5B" w:rsidRPr="00472CBB" w:rsidRDefault="00452CA1" w:rsidP="00CD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CBB">
              <w:rPr>
                <w:sz w:val="28"/>
                <w:szCs w:val="28"/>
              </w:rPr>
              <w:lastRenderedPageBreak/>
              <w:t xml:space="preserve">портфель проектов «Жилье и городская среда» </w:t>
            </w:r>
            <w:r w:rsidR="00CD6322">
              <w:rPr>
                <w:sz w:val="28"/>
                <w:szCs w:val="28"/>
              </w:rPr>
              <w:t>–</w:t>
            </w:r>
            <w:r w:rsidR="001C5D5B" w:rsidRPr="00472CBB">
              <w:rPr>
                <w:sz w:val="28"/>
                <w:szCs w:val="28"/>
              </w:rPr>
              <w:t xml:space="preserve"> 281 966,9 тыс. рублей</w:t>
            </w:r>
            <w:r w:rsidRPr="00472CBB">
              <w:rPr>
                <w:sz w:val="28"/>
                <w:szCs w:val="28"/>
              </w:rPr>
              <w:t>, в том числе:</w:t>
            </w:r>
            <w:r w:rsidR="001C5D5B" w:rsidRPr="00472CBB">
              <w:rPr>
                <w:sz w:val="28"/>
                <w:szCs w:val="28"/>
              </w:rPr>
              <w:t xml:space="preserve"> </w:t>
            </w:r>
          </w:p>
          <w:p w:rsidR="00452CA1" w:rsidRPr="00472CBB" w:rsidRDefault="002A6033" w:rsidP="00CD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CBB">
              <w:rPr>
                <w:sz w:val="28"/>
                <w:szCs w:val="28"/>
              </w:rPr>
              <w:t xml:space="preserve">региональный </w:t>
            </w:r>
            <w:r w:rsidR="00452CA1" w:rsidRPr="00472CBB">
              <w:rPr>
                <w:sz w:val="28"/>
                <w:szCs w:val="28"/>
              </w:rPr>
              <w:t xml:space="preserve">проект «Обеспечение устойчивого сокращения непригодного для проживания жилищного фонда» </w:t>
            </w:r>
            <w:r w:rsidR="00CD6322">
              <w:rPr>
                <w:sz w:val="28"/>
                <w:szCs w:val="28"/>
              </w:rPr>
              <w:t>–</w:t>
            </w:r>
            <w:r w:rsidR="00452CA1" w:rsidRPr="00472CBB">
              <w:rPr>
                <w:sz w:val="28"/>
                <w:szCs w:val="28"/>
              </w:rPr>
              <w:t xml:space="preserve"> </w:t>
            </w:r>
            <w:r w:rsidR="00472CBB" w:rsidRPr="00472CBB">
              <w:rPr>
                <w:sz w:val="28"/>
                <w:szCs w:val="28"/>
              </w:rPr>
              <w:t xml:space="preserve">281 966,9 </w:t>
            </w:r>
            <w:r w:rsidR="00452CA1" w:rsidRPr="00472CBB">
              <w:rPr>
                <w:sz w:val="28"/>
                <w:szCs w:val="28"/>
              </w:rPr>
              <w:t>тыс. рублей</w:t>
            </w:r>
          </w:p>
          <w:p w:rsidR="00011D72" w:rsidRPr="00472CBB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472CB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011D72" w:rsidRPr="0082786D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82786D">
              <w:rPr>
                <w:rFonts w:eastAsia="Times New Roman"/>
                <w:sz w:val="28"/>
                <w:szCs w:val="28"/>
              </w:rPr>
              <w:t>увеличение</w:t>
            </w:r>
            <w:r w:rsidRPr="0082786D">
              <w:rPr>
                <w:sz w:val="28"/>
                <w:szCs w:val="28"/>
              </w:rPr>
              <w:t xml:space="preserve"> общей площади жилых помещений, приходящихся в среднем на 1 жителя, </w:t>
            </w:r>
            <w:r w:rsidRPr="0082786D">
              <w:rPr>
                <w:sz w:val="28"/>
                <w:szCs w:val="28"/>
              </w:rPr>
              <w:br/>
              <w:t xml:space="preserve">с 22,5 кв. м до </w:t>
            </w:r>
            <w:r w:rsidR="00A52385" w:rsidRPr="0082786D">
              <w:rPr>
                <w:sz w:val="28"/>
                <w:szCs w:val="28"/>
              </w:rPr>
              <w:t>24,</w:t>
            </w:r>
            <w:r w:rsidR="003D0A7C" w:rsidRPr="0082786D">
              <w:rPr>
                <w:sz w:val="28"/>
                <w:szCs w:val="28"/>
              </w:rPr>
              <w:t>9</w:t>
            </w:r>
            <w:r w:rsidRPr="0082786D">
              <w:rPr>
                <w:sz w:val="28"/>
                <w:szCs w:val="28"/>
              </w:rPr>
              <w:t xml:space="preserve"> кв. м;</w:t>
            </w:r>
          </w:p>
          <w:p w:rsidR="00011D72" w:rsidRPr="0082786D" w:rsidRDefault="003D0A7C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82786D">
              <w:rPr>
                <w:rFonts w:eastAsia="Times New Roman"/>
                <w:sz w:val="28"/>
                <w:szCs w:val="28"/>
              </w:rPr>
              <w:t>уменьшение</w:t>
            </w:r>
            <w:r w:rsidR="00011D72" w:rsidRPr="0082786D">
              <w:rPr>
                <w:rFonts w:eastAsia="Times New Roman"/>
                <w:sz w:val="28"/>
                <w:szCs w:val="28"/>
              </w:rPr>
              <w:t xml:space="preserve"> доли </w:t>
            </w:r>
            <w:r w:rsidR="00011D72" w:rsidRPr="0082786D">
              <w:rPr>
                <w:rFonts w:eastAsia="Courier New"/>
                <w:sz w:val="28"/>
                <w:szCs w:val="28"/>
              </w:rPr>
              <w:t>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</w:t>
            </w:r>
            <w:r w:rsidR="00011D72" w:rsidRPr="0082786D">
              <w:rPr>
                <w:rFonts w:eastAsia="Times New Roman"/>
                <w:sz w:val="28"/>
                <w:szCs w:val="28"/>
              </w:rPr>
              <w:t xml:space="preserve"> с 6,7 % </w:t>
            </w:r>
            <w:r w:rsidR="00CD6322">
              <w:rPr>
                <w:rFonts w:eastAsia="Times New Roman"/>
                <w:sz w:val="28"/>
                <w:szCs w:val="28"/>
              </w:rPr>
              <w:br/>
            </w:r>
            <w:r w:rsidR="00011D72" w:rsidRPr="0082786D">
              <w:rPr>
                <w:rFonts w:eastAsia="Times New Roman"/>
                <w:sz w:val="28"/>
                <w:szCs w:val="28"/>
              </w:rPr>
              <w:t xml:space="preserve">до </w:t>
            </w:r>
            <w:r w:rsidR="00C3677A" w:rsidRPr="0082786D">
              <w:rPr>
                <w:rFonts w:eastAsia="Times New Roman"/>
                <w:sz w:val="28"/>
                <w:szCs w:val="28"/>
              </w:rPr>
              <w:t>3,5</w:t>
            </w:r>
            <w:r w:rsidR="00011D72" w:rsidRPr="0082786D">
              <w:rPr>
                <w:rFonts w:eastAsia="Times New Roman"/>
                <w:sz w:val="28"/>
                <w:szCs w:val="28"/>
              </w:rPr>
              <w:t>%</w:t>
            </w:r>
            <w:r w:rsidR="00DB4EAF" w:rsidRPr="0082786D">
              <w:rPr>
                <w:rFonts w:eastAsia="Times New Roman"/>
                <w:sz w:val="28"/>
                <w:szCs w:val="28"/>
              </w:rPr>
              <w:t>;</w:t>
            </w:r>
          </w:p>
          <w:p w:rsidR="00DB4EAF" w:rsidRPr="0082786D" w:rsidRDefault="00DB4EAF" w:rsidP="00CD632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786D">
              <w:rPr>
                <w:rFonts w:eastAsia="Times New Roman"/>
                <w:sz w:val="28"/>
                <w:szCs w:val="28"/>
              </w:rPr>
              <w:t xml:space="preserve">увеличение квадратных метров расселенного </w:t>
            </w:r>
            <w:r w:rsidR="00C219C5" w:rsidRPr="0082786D">
              <w:rPr>
                <w:rFonts w:eastAsia="Times New Roman"/>
                <w:sz w:val="28"/>
                <w:szCs w:val="28"/>
              </w:rPr>
              <w:t>аварийного</w:t>
            </w:r>
            <w:r w:rsidRPr="0082786D">
              <w:rPr>
                <w:rFonts w:eastAsia="Times New Roman"/>
                <w:sz w:val="28"/>
                <w:szCs w:val="28"/>
              </w:rPr>
              <w:t xml:space="preserve"> жилищного фонда</w:t>
            </w:r>
            <w:r w:rsidR="00C219C5" w:rsidRPr="0082786D">
              <w:rPr>
                <w:rFonts w:eastAsia="Times New Roman"/>
                <w:sz w:val="28"/>
                <w:szCs w:val="28"/>
              </w:rPr>
              <w:t>, признанного таковым до 1 января 2017 года</w:t>
            </w:r>
            <w:r w:rsidRPr="0082786D">
              <w:rPr>
                <w:rFonts w:eastAsia="Times New Roman"/>
                <w:sz w:val="28"/>
                <w:szCs w:val="28"/>
              </w:rPr>
              <w:t xml:space="preserve"> </w:t>
            </w:r>
            <w:r w:rsidRPr="0082786D">
              <w:rPr>
                <w:sz w:val="28"/>
                <w:szCs w:val="28"/>
              </w:rPr>
              <w:t xml:space="preserve">с 0 </w:t>
            </w:r>
            <w:r w:rsidR="002B51DB" w:rsidRPr="0082786D">
              <w:rPr>
                <w:sz w:val="28"/>
                <w:szCs w:val="28"/>
              </w:rPr>
              <w:t>тыс</w:t>
            </w:r>
            <w:r w:rsidRPr="0082786D">
              <w:rPr>
                <w:sz w:val="28"/>
                <w:szCs w:val="28"/>
              </w:rPr>
              <w:t xml:space="preserve">.кв.м. </w:t>
            </w:r>
            <w:r w:rsidR="00C33F07" w:rsidRPr="0082786D">
              <w:rPr>
                <w:sz w:val="28"/>
                <w:szCs w:val="28"/>
              </w:rPr>
              <w:br/>
            </w:r>
            <w:r w:rsidRPr="0082786D">
              <w:rPr>
                <w:sz w:val="28"/>
                <w:szCs w:val="28"/>
              </w:rPr>
              <w:t xml:space="preserve">до </w:t>
            </w:r>
            <w:r w:rsidR="0082786D" w:rsidRPr="0082786D">
              <w:rPr>
                <w:sz w:val="28"/>
                <w:szCs w:val="28"/>
              </w:rPr>
              <w:t>5,0</w:t>
            </w:r>
            <w:r w:rsidR="001707DD" w:rsidRPr="0082786D">
              <w:rPr>
                <w:sz w:val="28"/>
                <w:szCs w:val="28"/>
              </w:rPr>
              <w:t xml:space="preserve"> </w:t>
            </w:r>
            <w:r w:rsidR="002B51DB" w:rsidRPr="0082786D">
              <w:rPr>
                <w:sz w:val="28"/>
                <w:szCs w:val="28"/>
              </w:rPr>
              <w:t>тыс</w:t>
            </w:r>
            <w:r w:rsidRPr="0082786D">
              <w:rPr>
                <w:sz w:val="28"/>
                <w:szCs w:val="28"/>
              </w:rPr>
              <w:t>. кв.</w:t>
            </w:r>
            <w:r w:rsidR="00CD6322">
              <w:rPr>
                <w:sz w:val="28"/>
                <w:szCs w:val="28"/>
              </w:rPr>
              <w:t xml:space="preserve"> </w:t>
            </w:r>
            <w:r w:rsidRPr="0082786D">
              <w:rPr>
                <w:sz w:val="28"/>
                <w:szCs w:val="28"/>
              </w:rPr>
              <w:t>м</w:t>
            </w:r>
            <w:r w:rsidR="002B51DB" w:rsidRPr="0082786D">
              <w:rPr>
                <w:sz w:val="28"/>
                <w:szCs w:val="28"/>
              </w:rPr>
              <w:t>;</w:t>
            </w:r>
          </w:p>
          <w:p w:rsidR="002B51DB" w:rsidRPr="0082786D" w:rsidRDefault="002B51DB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82786D">
              <w:rPr>
                <w:rFonts w:eastAsia="Times New Roman"/>
                <w:sz w:val="28"/>
                <w:szCs w:val="28"/>
              </w:rPr>
              <w:t>увеличение количества граждан, расселенных из аварийного жилищного фонда, признанного таковым</w:t>
            </w:r>
            <w:r w:rsidR="00C219C5" w:rsidRPr="0082786D">
              <w:rPr>
                <w:rFonts w:eastAsia="Times New Roman"/>
                <w:sz w:val="28"/>
                <w:szCs w:val="28"/>
              </w:rPr>
              <w:t xml:space="preserve"> до 1 января 2017 года</w:t>
            </w:r>
            <w:r w:rsidRPr="0082786D">
              <w:rPr>
                <w:rFonts w:eastAsia="Times New Roman"/>
                <w:sz w:val="28"/>
                <w:szCs w:val="28"/>
              </w:rPr>
              <w:t xml:space="preserve"> </w:t>
            </w:r>
            <w:r w:rsidRPr="0082786D">
              <w:rPr>
                <w:sz w:val="28"/>
                <w:szCs w:val="28"/>
              </w:rPr>
              <w:t xml:space="preserve">с 0 </w:t>
            </w:r>
            <w:r w:rsidR="00C219C5" w:rsidRPr="0082786D">
              <w:rPr>
                <w:sz w:val="28"/>
                <w:szCs w:val="28"/>
              </w:rPr>
              <w:t>чел</w:t>
            </w:r>
            <w:r w:rsidRPr="0082786D">
              <w:rPr>
                <w:sz w:val="28"/>
                <w:szCs w:val="28"/>
              </w:rPr>
              <w:t xml:space="preserve">. </w:t>
            </w:r>
            <w:r w:rsidR="00CD6322">
              <w:rPr>
                <w:sz w:val="28"/>
                <w:szCs w:val="28"/>
              </w:rPr>
              <w:br/>
            </w:r>
            <w:r w:rsidRPr="0082786D">
              <w:rPr>
                <w:sz w:val="28"/>
                <w:szCs w:val="28"/>
              </w:rPr>
              <w:t xml:space="preserve">до </w:t>
            </w:r>
            <w:r w:rsidR="0082786D" w:rsidRPr="0082786D">
              <w:rPr>
                <w:sz w:val="28"/>
                <w:szCs w:val="28"/>
              </w:rPr>
              <w:t>358</w:t>
            </w:r>
            <w:r w:rsidRPr="0082786D">
              <w:rPr>
                <w:sz w:val="28"/>
                <w:szCs w:val="28"/>
              </w:rPr>
              <w:t xml:space="preserve"> </w:t>
            </w:r>
            <w:r w:rsidR="00C219C5" w:rsidRPr="0082786D">
              <w:rPr>
                <w:sz w:val="28"/>
                <w:szCs w:val="28"/>
              </w:rPr>
              <w:t>чел</w:t>
            </w:r>
            <w:r w:rsidRPr="0082786D">
              <w:rPr>
                <w:sz w:val="28"/>
                <w:szCs w:val="28"/>
              </w:rPr>
              <w:t>.</w:t>
            </w:r>
          </w:p>
        </w:tc>
      </w:tr>
      <w:tr w:rsidR="00011D72" w:rsidRPr="00D61141" w:rsidTr="004526C1">
        <w:tblPrEx>
          <w:tblBorders>
            <w:insideH w:val="nil"/>
          </w:tblBorders>
        </w:tblPrEx>
        <w:tc>
          <w:tcPr>
            <w:tcW w:w="303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2019 – 202</w:t>
            </w:r>
            <w:r w:rsidR="007F2299">
              <w:rPr>
                <w:rFonts w:eastAsia="Times New Roman"/>
                <w:sz w:val="28"/>
                <w:szCs w:val="28"/>
              </w:rPr>
              <w:t>3</w:t>
            </w:r>
            <w:r w:rsidRPr="00D61141">
              <w:rPr>
                <w:rFonts w:eastAsia="Times New Roman"/>
                <w:sz w:val="28"/>
                <w:szCs w:val="28"/>
              </w:rPr>
              <w:t xml:space="preserve"> годы </w:t>
            </w:r>
          </w:p>
        </w:tc>
      </w:tr>
      <w:tr w:rsidR="00011D72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011D72" w:rsidRPr="00D61141" w:rsidRDefault="00011D72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61141">
              <w:rPr>
                <w:rFonts w:eastAsia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7D5F30" w:rsidRPr="00472CBB" w:rsidRDefault="007D5F30" w:rsidP="007D5F3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2CBB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DA66E3" w:rsidRPr="00BA697D">
              <w:rPr>
                <w:sz w:val="28"/>
                <w:szCs w:val="28"/>
              </w:rPr>
              <w:t>64</w:t>
            </w:r>
            <w:r w:rsidR="00657392">
              <w:rPr>
                <w:sz w:val="28"/>
                <w:szCs w:val="28"/>
              </w:rPr>
              <w:t>9 763,9</w:t>
            </w:r>
            <w:r w:rsidR="00DA66E3" w:rsidRPr="00BA697D">
              <w:rPr>
                <w:sz w:val="28"/>
                <w:szCs w:val="28"/>
              </w:rPr>
              <w:t xml:space="preserve"> </w:t>
            </w:r>
            <w:r w:rsidRPr="00472CBB">
              <w:rPr>
                <w:sz w:val="28"/>
                <w:szCs w:val="28"/>
              </w:rPr>
              <w:t xml:space="preserve"> тыс. рублей, в том числе:</w:t>
            </w:r>
          </w:p>
          <w:p w:rsidR="00DA66E3" w:rsidRPr="00DA66E3" w:rsidRDefault="007D5F30" w:rsidP="00DA66E3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6E3">
              <w:rPr>
                <w:rStyle w:val="FontStyle28"/>
                <w:sz w:val="28"/>
                <w:szCs w:val="28"/>
              </w:rPr>
              <w:t xml:space="preserve">2019 год – </w:t>
            </w:r>
            <w:r w:rsidR="00DA66E3" w:rsidRPr="00DA66E3">
              <w:rPr>
                <w:rFonts w:ascii="Times New Roman" w:hAnsi="Times New Roman"/>
                <w:sz w:val="28"/>
                <w:szCs w:val="28"/>
              </w:rPr>
              <w:t>264 506,5 тыс. рублей;</w:t>
            </w:r>
          </w:p>
          <w:p w:rsidR="00DA66E3" w:rsidRPr="00DA66E3" w:rsidRDefault="00DA66E3" w:rsidP="00DA66E3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6E3">
              <w:rPr>
                <w:rFonts w:ascii="Times New Roman" w:hAnsi="Times New Roman"/>
                <w:sz w:val="28"/>
                <w:szCs w:val="28"/>
              </w:rPr>
              <w:t>2020 год – 148 315,8 тыс. рублей;</w:t>
            </w:r>
          </w:p>
          <w:p w:rsidR="00DA66E3" w:rsidRPr="00DA66E3" w:rsidRDefault="00DA66E3" w:rsidP="00DA66E3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6E3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57392">
              <w:rPr>
                <w:rFonts w:ascii="Times New Roman" w:hAnsi="Times New Roman"/>
                <w:sz w:val="28"/>
                <w:szCs w:val="28"/>
              </w:rPr>
              <w:t>152 028,0</w:t>
            </w:r>
            <w:r w:rsidRPr="00DA66E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D5F30" w:rsidRPr="00472CBB" w:rsidRDefault="007D5F30" w:rsidP="007D5F30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472CBB">
              <w:rPr>
                <w:rStyle w:val="FontStyle28"/>
                <w:sz w:val="28"/>
                <w:szCs w:val="28"/>
              </w:rPr>
              <w:t>2022 год – 54 536,2 тыс. рублей;</w:t>
            </w:r>
          </w:p>
          <w:p w:rsidR="00321816" w:rsidRPr="008A4E54" w:rsidRDefault="007D5F30" w:rsidP="007D5F30">
            <w:pPr>
              <w:pStyle w:val="af3"/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BB">
              <w:rPr>
                <w:rStyle w:val="FontStyle28"/>
                <w:sz w:val="28"/>
                <w:szCs w:val="28"/>
              </w:rPr>
              <w:t>2023 год – 30 377,4 тыс. рублей</w:t>
            </w:r>
          </w:p>
        </w:tc>
      </w:tr>
      <w:tr w:rsidR="007F2299" w:rsidRPr="00D61141" w:rsidTr="004526C1">
        <w:tc>
          <w:tcPr>
            <w:tcW w:w="3039" w:type="dxa"/>
            <w:tcMar>
              <w:top w:w="0" w:type="dxa"/>
              <w:bottom w:w="0" w:type="dxa"/>
            </w:tcMar>
          </w:tcPr>
          <w:p w:rsidR="007F2299" w:rsidRDefault="007F2299" w:rsidP="00CD632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  <w:p w:rsidR="007F2299" w:rsidRPr="00D61141" w:rsidRDefault="007F2299" w:rsidP="00CD6322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(с расшифровкой по годам реализации муниципальной программы)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7F2299" w:rsidRPr="00330BE9" w:rsidRDefault="007F2299" w:rsidP="00CD632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BE9">
              <w:rPr>
                <w:sz w:val="28"/>
                <w:szCs w:val="28"/>
              </w:rPr>
              <w:t xml:space="preserve">общий объем налоговых расходов Ханты-Мансийского района – </w:t>
            </w:r>
            <w:r w:rsidR="00031E30" w:rsidRPr="00330BE9">
              <w:rPr>
                <w:sz w:val="28"/>
                <w:szCs w:val="28"/>
              </w:rPr>
              <w:t>0,0</w:t>
            </w:r>
            <w:r w:rsidRPr="00330BE9">
              <w:rPr>
                <w:sz w:val="28"/>
                <w:szCs w:val="28"/>
              </w:rPr>
              <w:t xml:space="preserve"> тыс. рублей, в том числе:</w:t>
            </w:r>
          </w:p>
          <w:p w:rsidR="007F2299" w:rsidRPr="00330BE9" w:rsidRDefault="007F2299" w:rsidP="00CD6322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2019 год – </w:t>
            </w:r>
            <w:r w:rsidR="00031E30" w:rsidRPr="00330BE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330BE9">
              <w:t xml:space="preserve"> </w:t>
            </w:r>
            <w:r w:rsidRPr="00330BE9">
              <w:rPr>
                <w:rStyle w:val="FontStyle28"/>
                <w:sz w:val="28"/>
                <w:szCs w:val="28"/>
              </w:rPr>
              <w:t>тыс. рублей;</w:t>
            </w:r>
          </w:p>
          <w:p w:rsidR="007F2299" w:rsidRPr="00330BE9" w:rsidRDefault="007F2299" w:rsidP="00CD6322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2020 год – </w:t>
            </w:r>
            <w:r w:rsidR="00031E30" w:rsidRPr="00330BE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330BE9">
              <w:rPr>
                <w:lang w:eastAsia="ru-RU"/>
              </w:rPr>
              <w:t xml:space="preserve"> </w:t>
            </w:r>
            <w:r w:rsidRPr="00330BE9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330BE9">
              <w:rPr>
                <w:rStyle w:val="FontStyle28"/>
                <w:sz w:val="28"/>
                <w:szCs w:val="28"/>
              </w:rPr>
              <w:t xml:space="preserve"> рублей;</w:t>
            </w:r>
          </w:p>
          <w:p w:rsidR="007F2299" w:rsidRPr="00330BE9" w:rsidRDefault="007F2299" w:rsidP="00CD6322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2021 год – </w:t>
            </w:r>
            <w:r w:rsidR="00031E30" w:rsidRPr="00330BE9">
              <w:rPr>
                <w:rStyle w:val="FontStyle28"/>
                <w:sz w:val="28"/>
                <w:szCs w:val="28"/>
              </w:rPr>
              <w:t>0,0</w:t>
            </w:r>
            <w:r w:rsidRPr="00330BE9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7F2299" w:rsidRPr="00330BE9" w:rsidRDefault="007F2299" w:rsidP="00CD6322">
            <w:pPr>
              <w:pStyle w:val="af3"/>
              <w:jc w:val="both"/>
              <w:rPr>
                <w:rStyle w:val="FontStyle28"/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2022 год – </w:t>
            </w:r>
            <w:r w:rsidR="00031E30" w:rsidRPr="00330BE9">
              <w:rPr>
                <w:rStyle w:val="FontStyle28"/>
                <w:sz w:val="28"/>
                <w:szCs w:val="28"/>
              </w:rPr>
              <w:t>0,0</w:t>
            </w:r>
            <w:r w:rsidRPr="00330BE9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7F2299" w:rsidRPr="00330BE9" w:rsidRDefault="007F2299" w:rsidP="00CD632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BE9">
              <w:rPr>
                <w:rStyle w:val="FontStyle28"/>
                <w:sz w:val="28"/>
                <w:szCs w:val="28"/>
              </w:rPr>
              <w:t xml:space="preserve">2023 год – </w:t>
            </w:r>
            <w:r w:rsidR="00031E30" w:rsidRPr="00330BE9">
              <w:rPr>
                <w:rStyle w:val="FontStyle28"/>
                <w:sz w:val="28"/>
                <w:szCs w:val="28"/>
              </w:rPr>
              <w:t xml:space="preserve">0,0 </w:t>
            </w:r>
            <w:r w:rsidRPr="00330BE9">
              <w:rPr>
                <w:rStyle w:val="FontStyle28"/>
                <w:sz w:val="28"/>
                <w:szCs w:val="28"/>
              </w:rPr>
              <w:t>тыс. рублей</w:t>
            </w:r>
          </w:p>
        </w:tc>
      </w:tr>
    </w:tbl>
    <w:p w:rsidR="008A4E54" w:rsidRDefault="008A4E54" w:rsidP="008A4E54">
      <w:pPr>
        <w:widowControl w:val="0"/>
        <w:autoSpaceDE w:val="0"/>
        <w:autoSpaceDN w:val="0"/>
        <w:outlineLvl w:val="1"/>
        <w:rPr>
          <w:rFonts w:eastAsia="Times New Roman"/>
          <w:sz w:val="28"/>
          <w:szCs w:val="28"/>
        </w:rPr>
      </w:pPr>
    </w:p>
    <w:p w:rsidR="00011D72" w:rsidRPr="00D61141" w:rsidRDefault="00011D72" w:rsidP="00CD6322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t>Механизм реализации муниципальной программы</w:t>
      </w:r>
    </w:p>
    <w:p w:rsidR="00011D72" w:rsidRPr="00D61141" w:rsidRDefault="00011D72" w:rsidP="00CD6322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eastAsia="Times New Roman" w:hAnsi="Times New Roman"/>
          <w:sz w:val="28"/>
          <w:szCs w:val="28"/>
        </w:rPr>
        <w:t xml:space="preserve">Департамент имущественных и земельных отношений является ответственным исполнителем муниципальной программы, осуществляет непосредственную реализацию ее мероприятий, </w:t>
      </w:r>
      <w:r w:rsidRPr="00286121">
        <w:rPr>
          <w:rFonts w:ascii="Times New Roman" w:hAnsi="Times New Roman"/>
          <w:sz w:val="28"/>
          <w:szCs w:val="28"/>
        </w:rPr>
        <w:t xml:space="preserve">координацию деятельности, управление и контроль ее реализации, мониторинг и оценку результативности реализуемых программных мероприятий, обладает </w:t>
      </w:r>
      <w:r w:rsidRPr="00286121">
        <w:rPr>
          <w:rFonts w:ascii="Times New Roman" w:hAnsi="Times New Roman"/>
          <w:sz w:val="28"/>
          <w:szCs w:val="28"/>
        </w:rPr>
        <w:lastRenderedPageBreak/>
        <w:t>правом вносить предложения об изменении объемов финансовых средств, направляемых на решение отдельных задач муниципальной программы, обеспечивает при необходимости их корректировку. Соисполнители муниципальной программы отсутствуют.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Муниципальная программа разработана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286121">
        <w:rPr>
          <w:rFonts w:ascii="Times New Roman" w:hAnsi="Times New Roman"/>
          <w:sz w:val="28"/>
          <w:szCs w:val="28"/>
        </w:rPr>
        <w:t xml:space="preserve">со Стратегией социально-экономического развития Ханты-Мансийского района до 2030 года, согласно которой основными задачами Ханты-Мансийского района являются улучшение жилищных условий </w:t>
      </w:r>
      <w:r>
        <w:rPr>
          <w:rFonts w:ascii="Times New Roman" w:hAnsi="Times New Roman"/>
          <w:sz w:val="28"/>
          <w:szCs w:val="28"/>
        </w:rPr>
        <w:br/>
      </w:r>
      <w:r w:rsidRPr="00286121">
        <w:rPr>
          <w:rFonts w:ascii="Times New Roman" w:hAnsi="Times New Roman"/>
          <w:sz w:val="28"/>
          <w:szCs w:val="28"/>
        </w:rPr>
        <w:t>и повышение уровня жилищной обеспеченности жителей района, ликвидация аварийного жилищного фонда.</w:t>
      </w:r>
    </w:p>
    <w:p w:rsidR="00B71AF8" w:rsidRPr="00286121" w:rsidRDefault="00B71AF8" w:rsidP="00CD6322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В целях реализации </w:t>
      </w:r>
      <w:r w:rsidR="00CD6322">
        <w:rPr>
          <w:sz w:val="28"/>
          <w:szCs w:val="28"/>
        </w:rPr>
        <w:t>м</w:t>
      </w:r>
      <w:r w:rsidRPr="00286121">
        <w:rPr>
          <w:sz w:val="28"/>
          <w:szCs w:val="28"/>
        </w:rPr>
        <w:t xml:space="preserve">униципальной программы </w:t>
      </w:r>
      <w:r w:rsidR="00CD6322">
        <w:rPr>
          <w:sz w:val="28"/>
          <w:szCs w:val="28"/>
        </w:rPr>
        <w:t>д</w:t>
      </w:r>
      <w:r w:rsidRPr="00286121">
        <w:rPr>
          <w:sz w:val="28"/>
          <w:szCs w:val="28"/>
        </w:rPr>
        <w:t xml:space="preserve">епартаментом имущественных и земельных отношений осуществляются действия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по формированию земельных участков для жилищного строительства, организуются и проводятся открытые аукционы по продаже права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на заключение договоров аренды земельных участков для жилищного строительства. Муниципальным казенным учреждением Ханты-Мансийского района «Управление капитального строительства и ремонта» проводятся мероприятия по обеспечению земельных участков инженерной инфраструктурой.</w:t>
      </w:r>
    </w:p>
    <w:p w:rsidR="00B71AF8" w:rsidRPr="00286121" w:rsidRDefault="00B71AF8" w:rsidP="00CD6322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Проведение указанных подготовительных действий дает возможность в рамках муниципальной программы сформировать благоприятную деловую среду, путем привлечения в муниципалитет заинтересованного предпринимательского сообщества, в частности застройщиков качественного и современного жилья, и реализацию мероприятия «Приобретение жилых помещений по договорам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купли-продажи и (или</w:t>
      </w:r>
      <w:r>
        <w:rPr>
          <w:sz w:val="28"/>
          <w:szCs w:val="28"/>
        </w:rPr>
        <w:t xml:space="preserve">) приобретение жилых помещений </w:t>
      </w:r>
      <w:r w:rsidRPr="00286121">
        <w:rPr>
          <w:sz w:val="28"/>
          <w:szCs w:val="28"/>
        </w:rPr>
        <w:t>по договорам участия в долевом строительстве».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В рамках муниципальной программы на территории Ханты-Мансийского района осуществляется реализация национального проекта «Жилье и городская среда» и регионального проекта «Обеспечение устойчивого сокращения непригодного для проживания жилищного фонда».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Реализация муниципальной программы обеспечит положительную динамику в сфере жилищного строительства на территории района, что приведет к снижению количества нуждающихся в жилых помещениях граждан, </w:t>
      </w:r>
      <w:r w:rsidRPr="00286121">
        <w:rPr>
          <w:sz w:val="27"/>
          <w:szCs w:val="27"/>
        </w:rPr>
        <w:t xml:space="preserve">сокращению очередности малоимущих граждан, нуждающихся </w:t>
      </w:r>
      <w:r>
        <w:rPr>
          <w:sz w:val="27"/>
          <w:szCs w:val="27"/>
        </w:rPr>
        <w:br/>
      </w:r>
      <w:r w:rsidRPr="00286121">
        <w:rPr>
          <w:sz w:val="27"/>
          <w:szCs w:val="27"/>
        </w:rPr>
        <w:t xml:space="preserve">в улучшении жилищных условий, а так же к сокращению аварийного жилья, </w:t>
      </w:r>
      <w:r>
        <w:rPr>
          <w:sz w:val="27"/>
          <w:szCs w:val="27"/>
        </w:rPr>
        <w:br/>
      </w:r>
      <w:r w:rsidRPr="00286121">
        <w:rPr>
          <w:sz w:val="27"/>
          <w:szCs w:val="27"/>
        </w:rPr>
        <w:t xml:space="preserve">в том числе направленные на достижение показателей национального </w:t>
      </w:r>
      <w:r>
        <w:rPr>
          <w:sz w:val="27"/>
          <w:szCs w:val="27"/>
        </w:rPr>
        <w:br/>
      </w:r>
      <w:r w:rsidRPr="00286121">
        <w:rPr>
          <w:sz w:val="27"/>
          <w:szCs w:val="27"/>
        </w:rPr>
        <w:t>и регионального проектов</w:t>
      </w:r>
      <w:r w:rsidRPr="00286121">
        <w:rPr>
          <w:sz w:val="28"/>
          <w:szCs w:val="28"/>
        </w:rPr>
        <w:t xml:space="preserve">. </w:t>
      </w:r>
    </w:p>
    <w:p w:rsidR="00B71AF8" w:rsidRDefault="00B71AF8" w:rsidP="00CD6322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86121">
        <w:rPr>
          <w:sz w:val="28"/>
          <w:szCs w:val="28"/>
        </w:rPr>
        <w:t xml:space="preserve">С целью развития конкуренции реализация отдельных мероприятий муниципальной программы осуществляется в соответствии с Федеральным </w:t>
      </w:r>
      <w:hyperlink r:id="rId9" w:history="1">
        <w:r w:rsidRPr="00286121">
          <w:rPr>
            <w:sz w:val="28"/>
            <w:szCs w:val="28"/>
          </w:rPr>
          <w:t>законом</w:t>
        </w:r>
      </w:hyperlink>
      <w:r w:rsidRPr="0028612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286121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4E54" w:rsidRDefault="002068E1" w:rsidP="00E06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требованиями </w:t>
      </w:r>
      <w:r w:rsidRPr="0028612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86121">
        <w:rPr>
          <w:sz w:val="28"/>
          <w:szCs w:val="28"/>
        </w:rPr>
        <w:t xml:space="preserve"> </w:t>
      </w:r>
      <w:hyperlink r:id="rId10" w:history="1">
        <w:r w:rsidRPr="00286121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28612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286121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EE0EB2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 xml:space="preserve"> </w:t>
      </w:r>
      <w:r w:rsidR="00EE0EB2">
        <w:rPr>
          <w:sz w:val="28"/>
          <w:szCs w:val="28"/>
        </w:rPr>
        <w:t>определения начальной (максимальной) цены контракта</w:t>
      </w:r>
      <w:r w:rsidR="00E0671E">
        <w:rPr>
          <w:sz w:val="28"/>
          <w:szCs w:val="28"/>
        </w:rPr>
        <w:t xml:space="preserve"> используется метод сопоставимых рыночных цен (анализа рынка). </w:t>
      </w:r>
    </w:p>
    <w:p w:rsidR="008A4E54" w:rsidRDefault="008A4E54" w:rsidP="008A4E5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83F07">
        <w:rPr>
          <w:sz w:val="28"/>
          <w:szCs w:val="28"/>
        </w:rPr>
        <w:t xml:space="preserve">По результатам проведенного Анализ рынка </w:t>
      </w:r>
      <w:r>
        <w:rPr>
          <w:sz w:val="28"/>
          <w:szCs w:val="28"/>
        </w:rPr>
        <w:t xml:space="preserve">ответственный </w:t>
      </w:r>
      <w:r w:rsidRPr="00E83F07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E83F0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83F07">
        <w:rPr>
          <w:sz w:val="28"/>
          <w:szCs w:val="28"/>
        </w:rPr>
        <w:t xml:space="preserve">униципальной программы готовит заключение, содержащее </w:t>
      </w:r>
      <w:r>
        <w:rPr>
          <w:sz w:val="28"/>
          <w:szCs w:val="28"/>
        </w:rPr>
        <w:t xml:space="preserve">информацию о средней рыночной стоимости 1 квадратного метра жилого помещения в капитальном исполнении, реализуемого физическими и юридическими лицами, рассчитанную в соответствии с Методическими </w:t>
      </w:r>
      <w:hyperlink r:id="rId11" w:history="1">
        <w:r>
          <w:rPr>
            <w:color w:val="0000FF"/>
            <w:sz w:val="28"/>
            <w:szCs w:val="28"/>
          </w:rPr>
          <w:t>рекомендациями</w:t>
        </w:r>
      </w:hyperlink>
      <w:r>
        <w:rPr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02.10.2013 № 567;</w:t>
      </w:r>
    </w:p>
    <w:p w:rsidR="00B71AF8" w:rsidRPr="00286121" w:rsidRDefault="00B71AF8" w:rsidP="00CD6322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286121">
        <w:rPr>
          <w:rFonts w:eastAsia="Times New Roman"/>
          <w:sz w:val="28"/>
          <w:szCs w:val="28"/>
        </w:rPr>
        <w:t>Механизм реализации муниципальной программы включает:</w:t>
      </w:r>
    </w:p>
    <w:p w:rsidR="00B71AF8" w:rsidRPr="00286121" w:rsidRDefault="00B71AF8" w:rsidP="00CD6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мероприятия, предусмотренные пунктами 1.1, 1.2 таблицы 2, реализуются с учетом действующего законодательства, в соответствии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с постановлением Правительства Ханты-Мансийского автономного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округа – Югры 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 w:rsidRPr="00286121">
        <w:rPr>
          <w:sz w:val="28"/>
          <w:szCs w:val="28"/>
        </w:rPr>
        <w:t>2018 № 346</w:t>
      </w:r>
      <w:r>
        <w:rPr>
          <w:sz w:val="28"/>
          <w:szCs w:val="28"/>
        </w:rPr>
        <w:t xml:space="preserve">-п «О государственной программе </w:t>
      </w:r>
      <w:r w:rsidRPr="00286121">
        <w:rPr>
          <w:sz w:val="28"/>
          <w:szCs w:val="28"/>
        </w:rPr>
        <w:t xml:space="preserve">Ханты-Мансийского автономного округа – Югры «Развитие жилищной сферы» и программ, принятых сельскими поселениями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Ханты-Мансийского района;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121">
        <w:rPr>
          <w:rFonts w:ascii="Times New Roman" w:hAnsi="Times New Roman"/>
          <w:sz w:val="28"/>
          <w:szCs w:val="28"/>
          <w:lang w:eastAsia="ru-RU"/>
        </w:rPr>
        <w:t>мероприятие, предусмотренное пунктом 1.2 таблицы 2, осуществляется в целях переселения граждан в благоустроенные жилые помещения из аварийного жилищного фонда, в том числе признанного таковым до 1 января 2017 года, в соответствии с адресной программой Ханты-Мансийского района «Переселение граждан из аварийного жилищного фонда на 2019 – 2025 годы»;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мероприятие, предусмотренное пунктом 2.1 таблицы 2, реализуется </w:t>
      </w:r>
      <w:r w:rsidRPr="00286121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="00D21E8F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286121">
        <w:rPr>
          <w:rFonts w:ascii="Times New Roman" w:hAnsi="Times New Roman"/>
          <w:sz w:val="28"/>
          <w:szCs w:val="28"/>
        </w:rPr>
        <w:t>;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мероприятие, предусмотренное пунктом 2.2 таблицы 2, реализуется </w:t>
      </w:r>
      <w:r>
        <w:rPr>
          <w:rFonts w:ascii="Times New Roman" w:hAnsi="Times New Roman"/>
          <w:sz w:val="28"/>
          <w:szCs w:val="28"/>
        </w:rPr>
        <w:br/>
      </w:r>
      <w:r w:rsidRPr="00286121">
        <w:rPr>
          <w:rFonts w:ascii="Times New Roman" w:hAnsi="Times New Roman"/>
          <w:sz w:val="28"/>
          <w:szCs w:val="28"/>
        </w:rPr>
        <w:t>в соответствии с постановлени</w:t>
      </w:r>
      <w:r w:rsidR="00A86798">
        <w:rPr>
          <w:rFonts w:ascii="Times New Roman" w:hAnsi="Times New Roman"/>
          <w:sz w:val="28"/>
          <w:szCs w:val="28"/>
        </w:rPr>
        <w:t>я</w:t>
      </w:r>
      <w:r w:rsidRPr="00286121">
        <w:rPr>
          <w:rFonts w:ascii="Times New Roman" w:hAnsi="Times New Roman"/>
          <w:sz w:val="28"/>
          <w:szCs w:val="28"/>
        </w:rPr>
        <w:t>м</w:t>
      </w:r>
      <w:r w:rsidR="00A86798">
        <w:rPr>
          <w:rFonts w:ascii="Times New Roman" w:hAnsi="Times New Roman"/>
          <w:sz w:val="28"/>
          <w:szCs w:val="28"/>
        </w:rPr>
        <w:t>и</w:t>
      </w:r>
      <w:r w:rsidRPr="00286121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– Югры от </w:t>
      </w:r>
      <w:r>
        <w:rPr>
          <w:rFonts w:ascii="Times New Roman" w:hAnsi="Times New Roman"/>
          <w:sz w:val="28"/>
          <w:szCs w:val="28"/>
        </w:rPr>
        <w:t>0</w:t>
      </w:r>
      <w:r w:rsidRPr="002861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</w:t>
      </w:r>
      <w:r w:rsidRPr="00286121">
        <w:rPr>
          <w:rFonts w:ascii="Times New Roman" w:hAnsi="Times New Roman"/>
          <w:sz w:val="28"/>
          <w:szCs w:val="28"/>
        </w:rPr>
        <w:t>2018 № 346-п «О государственной программе Ханты-Мансийского автономного округа – Югры «Развитие жилищной сферы»</w:t>
      </w:r>
      <w:r w:rsidR="00A86798">
        <w:rPr>
          <w:rFonts w:ascii="Times New Roman" w:hAnsi="Times New Roman"/>
          <w:sz w:val="28"/>
          <w:szCs w:val="28"/>
        </w:rPr>
        <w:t xml:space="preserve">, </w:t>
      </w:r>
      <w:r w:rsidR="00A86798" w:rsidRPr="00A86798">
        <w:rPr>
          <w:rFonts w:ascii="Times New Roman" w:hAnsi="Times New Roman"/>
          <w:sz w:val="28"/>
          <w:szCs w:val="28"/>
        </w:rPr>
        <w:t xml:space="preserve">от 29.12.2020 </w:t>
      </w:r>
      <w:r w:rsidR="00A86798">
        <w:rPr>
          <w:rFonts w:ascii="Times New Roman" w:hAnsi="Times New Roman"/>
          <w:sz w:val="28"/>
          <w:szCs w:val="28"/>
        </w:rPr>
        <w:t>№</w:t>
      </w:r>
      <w:r w:rsidR="00A86798" w:rsidRPr="00A86798">
        <w:rPr>
          <w:rFonts w:ascii="Times New Roman" w:hAnsi="Times New Roman"/>
          <w:sz w:val="28"/>
          <w:szCs w:val="28"/>
        </w:rPr>
        <w:t xml:space="preserve"> 643-п </w:t>
      </w:r>
      <w:r w:rsidR="00A86798">
        <w:rPr>
          <w:rFonts w:ascii="Times New Roman" w:hAnsi="Times New Roman"/>
          <w:sz w:val="28"/>
          <w:szCs w:val="28"/>
        </w:rPr>
        <w:t>«</w:t>
      </w:r>
      <w:r w:rsidR="00A86798" w:rsidRPr="00A86798">
        <w:rPr>
          <w:rFonts w:ascii="Times New Roman" w:hAnsi="Times New Roman"/>
          <w:sz w:val="28"/>
          <w:szCs w:val="28"/>
        </w:rPr>
        <w:t xml:space="preserve">Об организации в Ханты-Мансийском автономном округе </w:t>
      </w:r>
      <w:r w:rsidR="00CD6322">
        <w:rPr>
          <w:rFonts w:ascii="Times New Roman" w:hAnsi="Times New Roman"/>
          <w:sz w:val="28"/>
          <w:szCs w:val="28"/>
        </w:rPr>
        <w:t>–</w:t>
      </w:r>
      <w:r w:rsidR="00A86798" w:rsidRPr="00A86798">
        <w:rPr>
          <w:rFonts w:ascii="Times New Roman" w:hAnsi="Times New Roman"/>
          <w:sz w:val="28"/>
          <w:szCs w:val="28"/>
        </w:rPr>
        <w:t xml:space="preserve"> Югре условий реализации жилищных прав граждан</w:t>
      </w:r>
      <w:r w:rsidR="00A86798">
        <w:rPr>
          <w:rFonts w:ascii="Times New Roman" w:hAnsi="Times New Roman"/>
          <w:sz w:val="28"/>
          <w:szCs w:val="28"/>
        </w:rPr>
        <w:t>»</w:t>
      </w:r>
      <w:r w:rsidRPr="00286121">
        <w:rPr>
          <w:rFonts w:ascii="Times New Roman" w:hAnsi="Times New Roman"/>
          <w:sz w:val="28"/>
          <w:szCs w:val="28"/>
        </w:rPr>
        <w:t>;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мероприятие, предусмотренное пунктом 2.3 таблицы 2, реализуется </w:t>
      </w:r>
      <w:r w:rsidRPr="00286121">
        <w:rPr>
          <w:sz w:val="28"/>
          <w:szCs w:val="28"/>
        </w:rPr>
        <w:br/>
        <w:t>в соответствии с постановлени</w:t>
      </w:r>
      <w:r w:rsidR="00A86798">
        <w:rPr>
          <w:sz w:val="28"/>
          <w:szCs w:val="28"/>
        </w:rPr>
        <w:t>ями</w:t>
      </w:r>
      <w:r w:rsidRPr="00286121">
        <w:rPr>
          <w:sz w:val="28"/>
          <w:szCs w:val="28"/>
        </w:rPr>
        <w:t xml:space="preserve"> Правительства Ханты-Мансийского автономного округа – Югры от</w:t>
      </w:r>
      <w:r>
        <w:rPr>
          <w:sz w:val="28"/>
          <w:szCs w:val="28"/>
        </w:rPr>
        <w:t xml:space="preserve"> 05.10.</w:t>
      </w:r>
      <w:r w:rsidRPr="00286121">
        <w:rPr>
          <w:sz w:val="28"/>
          <w:szCs w:val="28"/>
        </w:rPr>
        <w:t>2018 № 346-п «О государственной программе Ханты-Мансийского автономного округа – Югры «Развитие жилищной сферы»</w:t>
      </w:r>
      <w:r w:rsidR="00A86798">
        <w:rPr>
          <w:sz w:val="28"/>
          <w:szCs w:val="28"/>
        </w:rPr>
        <w:t xml:space="preserve">, </w:t>
      </w:r>
      <w:r w:rsidR="00A86798" w:rsidRPr="00A86798">
        <w:rPr>
          <w:sz w:val="28"/>
          <w:szCs w:val="28"/>
        </w:rPr>
        <w:t xml:space="preserve">от 29.12.2020 </w:t>
      </w:r>
      <w:r w:rsidR="00A86798">
        <w:rPr>
          <w:sz w:val="28"/>
          <w:szCs w:val="28"/>
        </w:rPr>
        <w:t>№</w:t>
      </w:r>
      <w:r w:rsidR="00A86798" w:rsidRPr="00A86798">
        <w:rPr>
          <w:sz w:val="28"/>
          <w:szCs w:val="28"/>
        </w:rPr>
        <w:t xml:space="preserve"> 643-п </w:t>
      </w:r>
      <w:r w:rsidR="00A86798">
        <w:rPr>
          <w:sz w:val="28"/>
          <w:szCs w:val="28"/>
        </w:rPr>
        <w:t>«</w:t>
      </w:r>
      <w:r w:rsidR="00A86798" w:rsidRPr="00A86798">
        <w:rPr>
          <w:sz w:val="28"/>
          <w:szCs w:val="28"/>
        </w:rPr>
        <w:t>Об организации в Ханты-</w:t>
      </w:r>
      <w:r w:rsidR="00A86798" w:rsidRPr="00A86798">
        <w:rPr>
          <w:sz w:val="28"/>
          <w:szCs w:val="28"/>
        </w:rPr>
        <w:lastRenderedPageBreak/>
        <w:t xml:space="preserve">Мансийском автономном округе </w:t>
      </w:r>
      <w:r w:rsidR="00CD6322">
        <w:rPr>
          <w:sz w:val="28"/>
          <w:szCs w:val="28"/>
        </w:rPr>
        <w:t>–</w:t>
      </w:r>
      <w:r w:rsidR="00A86798" w:rsidRPr="00A86798">
        <w:rPr>
          <w:sz w:val="28"/>
          <w:szCs w:val="28"/>
        </w:rPr>
        <w:t xml:space="preserve"> Югре условий реализации жилищных прав граждан</w:t>
      </w:r>
      <w:r w:rsidR="00A86798">
        <w:rPr>
          <w:sz w:val="28"/>
          <w:szCs w:val="28"/>
        </w:rPr>
        <w:t>»</w:t>
      </w:r>
      <w:r w:rsidRPr="00286121">
        <w:rPr>
          <w:sz w:val="28"/>
          <w:szCs w:val="28"/>
        </w:rPr>
        <w:t>;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мероприятие, предусмотренное пунктом 2.4 таблицы 2, реализуется </w:t>
      </w:r>
      <w:r w:rsidRPr="00286121">
        <w:rPr>
          <w:sz w:val="28"/>
          <w:szCs w:val="28"/>
        </w:rPr>
        <w:br/>
        <w:t>в соответствии с Положением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собственность, утвержденным постановлением Правительства Ханты-Мансийского авто</w:t>
      </w:r>
      <w:r>
        <w:rPr>
          <w:sz w:val="28"/>
          <w:szCs w:val="28"/>
        </w:rPr>
        <w:t>номного округа – Югры от 10.10.</w:t>
      </w:r>
      <w:r w:rsidRPr="00286121">
        <w:rPr>
          <w:sz w:val="28"/>
          <w:szCs w:val="28"/>
        </w:rPr>
        <w:t>2006 № 237-п;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мероприятие, предусмотренное пунктом 2.5 таблицы 2, реализуется </w:t>
      </w:r>
      <w:r w:rsidRPr="00286121">
        <w:rPr>
          <w:sz w:val="28"/>
          <w:szCs w:val="28"/>
        </w:rPr>
        <w:br/>
        <w:t xml:space="preserve">в соответствии с Порядком предоставления и распределения субсидии из бюджета Ханты-Мансийского автономного округа – Югры бюджетам муниципальных образований Ханты-Мансийского автономного округа – Югры на реализацию мероприятия «Улучшение жилищных условий граждан, проживающих на сельских территориях» государственной программы Ханты-Мансийского автономного округа – Югры «Развитие агропромышленного комплекса», утвержденной постановлением Правительства Ханты-Мансийского автономного округа – Югры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 w:rsidRPr="00286121">
        <w:rPr>
          <w:sz w:val="28"/>
          <w:szCs w:val="28"/>
        </w:rPr>
        <w:t xml:space="preserve">2018 № 344-п, а также Правилами предоставления </w:t>
      </w:r>
      <w:r w:rsidR="00CD6322"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 государственной программы Российской Федерации «Комплексное развитие сельских территорий» </w:t>
      </w:r>
      <w:r w:rsidR="00CD6322">
        <w:rPr>
          <w:sz w:val="28"/>
          <w:szCs w:val="28"/>
        </w:rPr>
        <w:br/>
      </w:r>
      <w:r w:rsidRPr="00286121">
        <w:rPr>
          <w:sz w:val="28"/>
          <w:szCs w:val="28"/>
        </w:rPr>
        <w:t>и о внесении изменений в некоторые акты Правительства Российской Федерации», утвержденной постановлением Правитель</w:t>
      </w:r>
      <w:r>
        <w:rPr>
          <w:sz w:val="28"/>
          <w:szCs w:val="28"/>
        </w:rPr>
        <w:t>ства Российской Федерации от 3105.</w:t>
      </w:r>
      <w:r w:rsidRPr="00286121">
        <w:rPr>
          <w:sz w:val="28"/>
          <w:szCs w:val="28"/>
        </w:rPr>
        <w:t>2019 № 696;</w:t>
      </w:r>
    </w:p>
    <w:p w:rsidR="00B71AF8" w:rsidRPr="00286121" w:rsidRDefault="00B71AF8" w:rsidP="00CD6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реализации муниципальной программы, и внесение их на рассмотрение и утверждение администрацией Ханты-Мансийского района;</w:t>
      </w:r>
    </w:p>
    <w:p w:rsidR="00B71AF8" w:rsidRPr="00286121" w:rsidRDefault="00B71AF8" w:rsidP="00CD6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разработку и принятие ненормативных документов департамента имущественных и земельных отношений в сфере жилищных отношений, направленных на реализацию задач муниципальной программы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и обеспечение реализации программных мероприятий.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Реализация программных мероприятий направлена на достижения показател</w:t>
      </w:r>
      <w:r w:rsidR="00491A15">
        <w:rPr>
          <w:sz w:val="28"/>
          <w:szCs w:val="28"/>
        </w:rPr>
        <w:t xml:space="preserve">ей </w:t>
      </w:r>
      <w:r w:rsidRPr="00286121">
        <w:rPr>
          <w:sz w:val="28"/>
          <w:szCs w:val="28"/>
        </w:rPr>
        <w:t xml:space="preserve">эффективности деятельности органов местного самоуправления: </w:t>
      </w:r>
      <w:r w:rsidRPr="009D7E90">
        <w:rPr>
          <w:sz w:val="28"/>
          <w:szCs w:val="28"/>
        </w:rPr>
        <w:t>«</w:t>
      </w:r>
      <w:r w:rsidRPr="009D7E90">
        <w:rPr>
          <w:rFonts w:eastAsia="Times New Roman"/>
          <w:sz w:val="28"/>
          <w:szCs w:val="28"/>
        </w:rPr>
        <w:t xml:space="preserve">Доля </w:t>
      </w:r>
      <w:r w:rsidRPr="009D7E90">
        <w:rPr>
          <w:rFonts w:eastAsia="Courier New"/>
          <w:sz w:val="28"/>
          <w:szCs w:val="28"/>
        </w:rPr>
        <w:t xml:space="preserve">населения, получившего жилые помещения </w:t>
      </w:r>
      <w:r w:rsidRPr="009D7E90">
        <w:rPr>
          <w:rFonts w:eastAsia="Courier New"/>
          <w:sz w:val="28"/>
          <w:szCs w:val="28"/>
        </w:rPr>
        <w:br/>
        <w:t>и улучшившего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Pr="00286121">
        <w:rPr>
          <w:rFonts w:eastAsia="Courier New"/>
          <w:sz w:val="28"/>
          <w:szCs w:val="28"/>
        </w:rPr>
        <w:t>,</w:t>
      </w:r>
      <w:r w:rsidR="009D7E90">
        <w:rPr>
          <w:rFonts w:eastAsia="Courier New"/>
          <w:sz w:val="28"/>
          <w:szCs w:val="28"/>
        </w:rPr>
        <w:t xml:space="preserve"> «О</w:t>
      </w:r>
      <w:r w:rsidR="009D7E90" w:rsidRPr="00286121">
        <w:rPr>
          <w:sz w:val="28"/>
          <w:szCs w:val="28"/>
        </w:rPr>
        <w:t>бщая площадь жилых помещений, приходящихся в среднем на 1 жителя</w:t>
      </w:r>
      <w:r w:rsidR="009D7E90">
        <w:rPr>
          <w:sz w:val="28"/>
          <w:szCs w:val="28"/>
        </w:rPr>
        <w:t>»,</w:t>
      </w:r>
      <w:r w:rsidRPr="00286121">
        <w:rPr>
          <w:rFonts w:eastAsia="Courier New"/>
          <w:sz w:val="28"/>
          <w:szCs w:val="28"/>
        </w:rPr>
        <w:t xml:space="preserve"> </w:t>
      </w:r>
      <w:r w:rsidRPr="00286121">
        <w:rPr>
          <w:sz w:val="28"/>
          <w:szCs w:val="28"/>
        </w:rPr>
        <w:t>а также следующих целевых показателей муниципальной программы: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lastRenderedPageBreak/>
        <w:t xml:space="preserve">общая площадь жилых помещений, приходящихся в среднем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на 1 жителя (кв. м). Расчет показателя производится на основании статистических данных, содержащихся в форме федерального статистического наблюдения № 1-жилфонд «Сведения о жилищном фонде», а так же в сводных таблицах </w:t>
      </w:r>
      <w:proofErr w:type="spellStart"/>
      <w:r w:rsidRPr="00286121">
        <w:rPr>
          <w:sz w:val="28"/>
          <w:szCs w:val="28"/>
        </w:rPr>
        <w:t>Тюменьстата</w:t>
      </w:r>
      <w:proofErr w:type="spellEnd"/>
      <w:r w:rsidRPr="00286121">
        <w:rPr>
          <w:sz w:val="28"/>
          <w:szCs w:val="28"/>
        </w:rPr>
        <w:t xml:space="preserve"> «Оценка численности населения»;</w:t>
      </w:r>
    </w:p>
    <w:p w:rsidR="00B71AF8" w:rsidRPr="00286121" w:rsidRDefault="00B71AF8" w:rsidP="00CD6322">
      <w:pPr>
        <w:ind w:firstLine="709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</w:t>
      </w:r>
      <w:r>
        <w:rPr>
          <w:sz w:val="28"/>
          <w:szCs w:val="28"/>
        </w:rPr>
        <w:t xml:space="preserve">щегося в жилых помещениях (%). </w:t>
      </w:r>
      <w:r w:rsidRPr="00286121">
        <w:rPr>
          <w:sz w:val="28"/>
          <w:szCs w:val="28"/>
        </w:rPr>
        <w:t xml:space="preserve">Расчет показателя производится на основании статистических данных, содержащихся в форме федерального статистического наблюдения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№ 4-жилфонд «Сведения о предоставлении гражданам жилых помещений», и отчетных данных сельских поселений района </w:t>
      </w:r>
      <w:r w:rsidR="00CD6322"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 численности населения, состоящего на учете в качестве нуждающегося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>в жилых помещениях,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количество квадратных метров расселенного аварийного жилищного фонда, признанного таковы</w:t>
      </w:r>
      <w:r>
        <w:rPr>
          <w:sz w:val="28"/>
          <w:szCs w:val="28"/>
        </w:rPr>
        <w:t>м до 01.01.2017 (тыс. кв. метров</w:t>
      </w:r>
      <w:r w:rsidRPr="00286121">
        <w:rPr>
          <w:sz w:val="28"/>
          <w:szCs w:val="28"/>
        </w:rPr>
        <w:t xml:space="preserve">) также является целевым показателем регионального проекта «Обеспечение устойчивого сокращения непригодного для проживания жилищного фонда». Расчет показателя производится с использованием </w:t>
      </w:r>
      <w:r w:rsidR="00CD6322"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отчетных данных сельских поселений района о расселении аварийного жилья. 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количество граждан, расселенных из аварийного жилищного фонда, признанного таковым до 1 января 2017 года (чел.) так же является целевым показателем регионального проекта «Обеспечение устойчивого сокращения непригодного для проживания жилищного фонда». Расчет показателя производится с использованием отчетных данных сельских поселений района о расселении аварийного жилья.</w:t>
      </w:r>
    </w:p>
    <w:p w:rsidR="00B71AF8" w:rsidRPr="00286121" w:rsidRDefault="00B71AF8" w:rsidP="00CD6322">
      <w:pPr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Корректировка показателей плана зависит от объема финансирования программных мероприятий, ввода жилья на территории района и уровня жизни населения района (уменьшение малоимущих граждан, нуждающихся в улучшении жилищных условий)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В целях реализации муниципальной программы и достижения указанных показателей департамент имущественных и земельных отношений: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приобретает жилые помещения путем заключения муниципальных контрактов купли-продажи жилых помещений</w:t>
      </w:r>
      <w:r w:rsidR="000004BE">
        <w:rPr>
          <w:rFonts w:ascii="Times New Roman" w:hAnsi="Times New Roman"/>
          <w:sz w:val="28"/>
          <w:szCs w:val="28"/>
        </w:rPr>
        <w:t>,</w:t>
      </w:r>
      <w:r w:rsidRPr="00286121">
        <w:rPr>
          <w:rFonts w:ascii="Times New Roman" w:hAnsi="Times New Roman"/>
          <w:sz w:val="28"/>
          <w:szCs w:val="28"/>
        </w:rPr>
        <w:t xml:space="preserve"> </w:t>
      </w:r>
      <w:r w:rsidR="000004BE" w:rsidRPr="000004BE">
        <w:rPr>
          <w:rFonts w:ascii="Times New Roman" w:hAnsi="Times New Roman"/>
          <w:sz w:val="28"/>
          <w:szCs w:val="28"/>
        </w:rPr>
        <w:t>на поставку жилых помещений, которые будут созданы в будущем,</w:t>
      </w:r>
      <w:r w:rsidR="000004BE" w:rsidRPr="00286121">
        <w:rPr>
          <w:rFonts w:ascii="Times New Roman" w:hAnsi="Times New Roman"/>
          <w:sz w:val="28"/>
          <w:szCs w:val="28"/>
        </w:rPr>
        <w:t xml:space="preserve"> </w:t>
      </w:r>
      <w:r w:rsidRPr="00286121">
        <w:rPr>
          <w:rFonts w:ascii="Times New Roman" w:hAnsi="Times New Roman"/>
          <w:sz w:val="28"/>
          <w:szCs w:val="28"/>
        </w:rPr>
        <w:t xml:space="preserve">участия в долевом строительстве, в том числе с использованием </w:t>
      </w:r>
      <w:proofErr w:type="spellStart"/>
      <w:r w:rsidRPr="00286121">
        <w:rPr>
          <w:rFonts w:ascii="Times New Roman" w:hAnsi="Times New Roman"/>
          <w:sz w:val="28"/>
          <w:szCs w:val="28"/>
        </w:rPr>
        <w:t>счетов-эскроу</w:t>
      </w:r>
      <w:proofErr w:type="spellEnd"/>
      <w:r w:rsidRPr="00286121">
        <w:rPr>
          <w:rFonts w:ascii="Times New Roman" w:hAnsi="Times New Roman"/>
          <w:sz w:val="28"/>
          <w:szCs w:val="28"/>
        </w:rPr>
        <w:t xml:space="preserve">; 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предоставляет социальные выплаты молодым семьям;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 xml:space="preserve">осуществляет постановку на учет и учет граждан, имеющих право </w:t>
      </w:r>
      <w:r w:rsidRPr="00286121">
        <w:rPr>
          <w:rFonts w:ascii="Times New Roman" w:hAnsi="Times New Roman"/>
          <w:sz w:val="28"/>
          <w:szCs w:val="28"/>
        </w:rPr>
        <w:br/>
        <w:t>на получение жилищных субсидий, выезжающих из районов Крайнего Севера и приравненных к ним местностей;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lastRenderedPageBreak/>
        <w:t>предоставляет социальные выплаты гражданам, проживающим на сельских территориях, имеющих право на получение субсидий в целях улучшения жилищных условий;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71AF8" w:rsidRPr="0049170B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9170B">
        <w:rPr>
          <w:rFonts w:ascii="Times New Roman" w:hAnsi="Times New Roman"/>
          <w:sz w:val="28"/>
          <w:szCs w:val="28"/>
        </w:rPr>
        <w:t>Администрации сельских поселений</w:t>
      </w:r>
      <w:r w:rsidR="002725E1" w:rsidRPr="0049170B">
        <w:rPr>
          <w:rFonts w:ascii="Times New Roman" w:hAnsi="Times New Roman"/>
          <w:sz w:val="28"/>
          <w:szCs w:val="28"/>
        </w:rPr>
        <w:t xml:space="preserve"> участвуют в реализации муниципальной программы в соответствии с действующим законодательством и осуществляемыми ими полномочиями по решению вопросов местного значения, а так же (по согласованию)</w:t>
      </w:r>
      <w:r w:rsidRPr="0049170B">
        <w:rPr>
          <w:rFonts w:ascii="Times New Roman" w:hAnsi="Times New Roman"/>
          <w:sz w:val="28"/>
          <w:szCs w:val="28"/>
        </w:rPr>
        <w:t>:</w:t>
      </w:r>
    </w:p>
    <w:p w:rsidR="00B71AF8" w:rsidRPr="0049170B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9170B">
        <w:rPr>
          <w:rFonts w:ascii="Times New Roman" w:hAnsi="Times New Roman"/>
          <w:sz w:val="28"/>
          <w:szCs w:val="28"/>
        </w:rPr>
        <w:t xml:space="preserve">в соответствии с запросом департамента имущественных </w:t>
      </w:r>
      <w:r w:rsidR="00CD6322">
        <w:rPr>
          <w:rFonts w:ascii="Times New Roman" w:hAnsi="Times New Roman"/>
          <w:sz w:val="28"/>
          <w:szCs w:val="28"/>
        </w:rPr>
        <w:br/>
      </w:r>
      <w:r w:rsidRPr="0049170B">
        <w:rPr>
          <w:rFonts w:ascii="Times New Roman" w:hAnsi="Times New Roman"/>
          <w:sz w:val="28"/>
          <w:szCs w:val="28"/>
        </w:rPr>
        <w:t>и земельных отношений направляют информацию о необходимом количестве жилых помещений для переселения граждан из аварийного жилищного фонда;</w:t>
      </w:r>
    </w:p>
    <w:p w:rsidR="00B71AF8" w:rsidRPr="0049170B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9170B">
        <w:rPr>
          <w:rFonts w:ascii="Times New Roman" w:hAnsi="Times New Roman"/>
          <w:sz w:val="28"/>
          <w:szCs w:val="28"/>
        </w:rPr>
        <w:t xml:space="preserve">в соответствии с запросом департамента имущественных </w:t>
      </w:r>
      <w:r w:rsidR="00CD6322">
        <w:rPr>
          <w:rFonts w:ascii="Times New Roman" w:hAnsi="Times New Roman"/>
          <w:sz w:val="28"/>
          <w:szCs w:val="28"/>
        </w:rPr>
        <w:br/>
      </w:r>
      <w:r w:rsidRPr="0049170B">
        <w:rPr>
          <w:rFonts w:ascii="Times New Roman" w:hAnsi="Times New Roman"/>
          <w:sz w:val="28"/>
          <w:szCs w:val="28"/>
        </w:rPr>
        <w:t>и земельных отношений направляют информацию о необходимом количестве жилых помещений для предоставления гражданам, состоящим на учете в качестве нуждающихся в жилых помещениях;</w:t>
      </w:r>
    </w:p>
    <w:p w:rsidR="00B71AF8" w:rsidRPr="0049170B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9170B">
        <w:rPr>
          <w:rFonts w:ascii="Times New Roman" w:hAnsi="Times New Roman"/>
          <w:sz w:val="28"/>
          <w:szCs w:val="28"/>
        </w:rPr>
        <w:t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мены, а также для формирования фонда маневренного жилья</w:t>
      </w:r>
      <w:r w:rsidR="002725E1" w:rsidRPr="0049170B">
        <w:rPr>
          <w:rFonts w:ascii="Times New Roman" w:hAnsi="Times New Roman"/>
          <w:sz w:val="28"/>
          <w:szCs w:val="28"/>
        </w:rPr>
        <w:t>.</w:t>
      </w:r>
      <w:r w:rsidRPr="0049170B">
        <w:rPr>
          <w:rFonts w:ascii="Times New Roman" w:hAnsi="Times New Roman"/>
          <w:sz w:val="28"/>
          <w:szCs w:val="28"/>
        </w:rPr>
        <w:t xml:space="preserve"> </w:t>
      </w:r>
    </w:p>
    <w:p w:rsidR="00B71AF8" w:rsidRPr="00286121" w:rsidRDefault="00B71AF8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86121">
        <w:rPr>
          <w:rFonts w:ascii="Times New Roman" w:hAnsi="Times New Roman"/>
          <w:sz w:val="28"/>
          <w:szCs w:val="28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нагрузки.</w:t>
      </w:r>
    </w:p>
    <w:p w:rsidR="00B71AF8" w:rsidRPr="00286121" w:rsidRDefault="00B71AF8" w:rsidP="00CD63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 xml:space="preserve">В порядке, установленном постановлением администрации района </w:t>
      </w:r>
      <w:r>
        <w:rPr>
          <w:sz w:val="28"/>
          <w:szCs w:val="28"/>
        </w:rPr>
        <w:br/>
      </w:r>
      <w:r w:rsidRPr="002861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286121">
        <w:rPr>
          <w:sz w:val="28"/>
          <w:szCs w:val="28"/>
        </w:rPr>
        <w:t>7</w:t>
      </w:r>
      <w:r>
        <w:rPr>
          <w:sz w:val="28"/>
          <w:szCs w:val="28"/>
        </w:rPr>
        <w:t>.09.</w:t>
      </w:r>
      <w:r w:rsidRPr="00286121">
        <w:rPr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 ответственным исполнителем муниципальной программы ежеквартально и ежегодно направляется следующая информация:</w:t>
      </w:r>
    </w:p>
    <w:p w:rsidR="00B71AF8" w:rsidRPr="00286121" w:rsidRDefault="00B71AF8" w:rsidP="00CD63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о ходе реализации муниципальной программы и использовании финансовых средств, анализ показателей эффективности реализации программы, о ходе исполнения комплексного плана – в комитет экономической политики администрации района;</w:t>
      </w:r>
    </w:p>
    <w:p w:rsidR="00B71AF8" w:rsidRPr="00286121" w:rsidRDefault="00B71AF8" w:rsidP="00CD63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121">
        <w:rPr>
          <w:sz w:val="28"/>
          <w:szCs w:val="28"/>
        </w:rPr>
        <w:t>о ходе реализации муниципальных программ и использовании финансовых средств в комитет по финансам администрации Ханты-Мансийского района.</w:t>
      </w:r>
    </w:p>
    <w:p w:rsidR="00B71AF8" w:rsidRPr="00D61141" w:rsidRDefault="00B71AF8" w:rsidP="00CD632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86121">
        <w:rPr>
          <w:sz w:val="28"/>
          <w:szCs w:val="28"/>
        </w:rPr>
        <w:t xml:space="preserve">Итоги реализации муниципальной программы подлежат опубликованию на официальном сайте администрации Ханты-Мансийского района в сети «Интернет» в разделе «Экономическое </w:t>
      </w:r>
      <w:r w:rsidRPr="00286121">
        <w:rPr>
          <w:sz w:val="28"/>
          <w:szCs w:val="28"/>
        </w:rPr>
        <w:lastRenderedPageBreak/>
        <w:t>развитие».</w:t>
      </w:r>
    </w:p>
    <w:p w:rsidR="00011D72" w:rsidRPr="00D61141" w:rsidRDefault="00011D72" w:rsidP="00CD6322">
      <w:pPr>
        <w:widowControl w:val="0"/>
        <w:autoSpaceDE w:val="0"/>
        <w:autoSpaceDN w:val="0"/>
        <w:ind w:firstLine="708"/>
        <w:jc w:val="both"/>
        <w:rPr>
          <w:rFonts w:eastAsia="Times New Roman"/>
          <w:strike/>
          <w:sz w:val="28"/>
          <w:szCs w:val="28"/>
        </w:rPr>
      </w:pPr>
    </w:p>
    <w:p w:rsidR="00011D72" w:rsidRPr="00D61141" w:rsidRDefault="00011D72" w:rsidP="00CD6322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  <w:sectPr w:rsidR="00011D72" w:rsidRPr="00D61141" w:rsidSect="00CD6322">
          <w:headerReference w:type="default" r:id="rId12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011D72" w:rsidRDefault="00011D72" w:rsidP="00CD6322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lastRenderedPageBreak/>
        <w:t>Таблица 1</w:t>
      </w:r>
    </w:p>
    <w:p w:rsidR="00A352D3" w:rsidRPr="00D61141" w:rsidRDefault="00A352D3" w:rsidP="00CD6322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011D72" w:rsidRDefault="00011D72" w:rsidP="00CD632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61141">
        <w:rPr>
          <w:rFonts w:eastAsia="Times New Roman"/>
          <w:sz w:val="28"/>
          <w:szCs w:val="28"/>
        </w:rPr>
        <w:t>Целевые показатели муниципальной программы</w:t>
      </w:r>
    </w:p>
    <w:p w:rsidR="00A352D3" w:rsidRPr="00D61141" w:rsidRDefault="00A352D3" w:rsidP="00CD632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14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39"/>
        <w:gridCol w:w="2445"/>
        <w:gridCol w:w="1324"/>
        <w:gridCol w:w="548"/>
        <w:gridCol w:w="641"/>
        <w:gridCol w:w="725"/>
        <w:gridCol w:w="709"/>
        <w:gridCol w:w="567"/>
        <w:gridCol w:w="1984"/>
        <w:gridCol w:w="4805"/>
      </w:tblGrid>
      <w:tr w:rsidR="006B4E98" w:rsidRPr="00CD6322" w:rsidTr="0082786D">
        <w:trPr>
          <w:trHeight w:val="522"/>
        </w:trPr>
        <w:tc>
          <w:tcPr>
            <w:tcW w:w="639" w:type="dxa"/>
            <w:vMerge w:val="restart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rStyle w:val="aff"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№</w:t>
            </w:r>
          </w:p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CD6322">
              <w:rPr>
                <w:rStyle w:val="aff"/>
                <w:sz w:val="22"/>
                <w:szCs w:val="22"/>
              </w:rPr>
              <w:t>пока-зателя</w:t>
            </w:r>
            <w:proofErr w:type="spellEnd"/>
            <w:proofErr w:type="gramEnd"/>
          </w:p>
        </w:tc>
        <w:tc>
          <w:tcPr>
            <w:tcW w:w="2445" w:type="dxa"/>
            <w:vMerge w:val="restart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rStyle w:val="aff"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 xml:space="preserve">Базовый показатель </w:t>
            </w:r>
          </w:p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 xml:space="preserve">на начало реализации </w:t>
            </w:r>
            <w:proofErr w:type="spellStart"/>
            <w:r w:rsidRPr="00CD6322">
              <w:rPr>
                <w:rStyle w:val="aff"/>
                <w:sz w:val="22"/>
                <w:szCs w:val="22"/>
              </w:rPr>
              <w:t>муници</w:t>
            </w:r>
            <w:r w:rsidR="00CD6322">
              <w:rPr>
                <w:rStyle w:val="aff"/>
                <w:sz w:val="22"/>
                <w:szCs w:val="22"/>
              </w:rPr>
              <w:t>-</w:t>
            </w:r>
            <w:r w:rsidRPr="00CD6322">
              <w:rPr>
                <w:rStyle w:val="aff"/>
                <w:sz w:val="22"/>
                <w:szCs w:val="22"/>
              </w:rPr>
              <w:t>пальной</w:t>
            </w:r>
            <w:proofErr w:type="spellEnd"/>
            <w:r w:rsidRPr="00CD6322">
              <w:rPr>
                <w:rStyle w:val="aff"/>
                <w:sz w:val="22"/>
                <w:szCs w:val="22"/>
              </w:rPr>
              <w:t xml:space="preserve"> программы</w:t>
            </w:r>
          </w:p>
        </w:tc>
        <w:tc>
          <w:tcPr>
            <w:tcW w:w="3190" w:type="dxa"/>
            <w:gridSpan w:val="5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rStyle w:val="aff"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Значение показателя</w:t>
            </w:r>
          </w:p>
          <w:p w:rsidR="006B4E98" w:rsidRPr="00CD6322" w:rsidRDefault="006B4E98" w:rsidP="00CD6322">
            <w:pPr>
              <w:jc w:val="center"/>
              <w:rPr>
                <w:rStyle w:val="aff"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по годам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4805" w:type="dxa"/>
            <w:vMerge w:val="restart"/>
          </w:tcPr>
          <w:p w:rsidR="006B4E98" w:rsidRPr="00CD6322" w:rsidRDefault="006B4E98" w:rsidP="00CD6322">
            <w:pPr>
              <w:jc w:val="center"/>
              <w:rPr>
                <w:rStyle w:val="aff"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Расчет показателя</w:t>
            </w:r>
          </w:p>
        </w:tc>
      </w:tr>
      <w:tr w:rsidR="006B4E98" w:rsidRPr="00CD6322" w:rsidTr="0082786D">
        <w:trPr>
          <w:trHeight w:val="148"/>
        </w:trPr>
        <w:tc>
          <w:tcPr>
            <w:tcW w:w="639" w:type="dxa"/>
            <w:vMerge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 xml:space="preserve">2019 год </w:t>
            </w:r>
          </w:p>
        </w:tc>
        <w:tc>
          <w:tcPr>
            <w:tcW w:w="641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2020 год</w:t>
            </w:r>
          </w:p>
        </w:tc>
        <w:tc>
          <w:tcPr>
            <w:tcW w:w="725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2021 год</w:t>
            </w:r>
          </w:p>
        </w:tc>
        <w:tc>
          <w:tcPr>
            <w:tcW w:w="709" w:type="dxa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  <w:r w:rsidRPr="00CD6322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567" w:type="dxa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  <w:r w:rsidRPr="00CD6322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vMerge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05" w:type="dxa"/>
            <w:vMerge/>
          </w:tcPr>
          <w:p w:rsidR="006B4E98" w:rsidRPr="00CD6322" w:rsidRDefault="006B4E98" w:rsidP="00CD63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B4E98" w:rsidRPr="00CD6322" w:rsidTr="0082786D">
        <w:trPr>
          <w:trHeight w:val="251"/>
        </w:trPr>
        <w:tc>
          <w:tcPr>
            <w:tcW w:w="639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rStyle w:val="aff"/>
                <w:sz w:val="22"/>
                <w:szCs w:val="22"/>
              </w:rPr>
            </w:pPr>
            <w:r w:rsidRPr="00CD6322">
              <w:rPr>
                <w:rStyle w:val="aff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05" w:type="dxa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B4E98" w:rsidRPr="00CD6322" w:rsidTr="0082786D">
        <w:trPr>
          <w:trHeight w:val="1003"/>
        </w:trPr>
        <w:tc>
          <w:tcPr>
            <w:tcW w:w="639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1.</w:t>
            </w:r>
          </w:p>
        </w:tc>
        <w:tc>
          <w:tcPr>
            <w:tcW w:w="2445" w:type="dxa"/>
            <w:shd w:val="clear" w:color="auto" w:fill="auto"/>
          </w:tcPr>
          <w:p w:rsidR="00CD6322" w:rsidRPr="00CD6322" w:rsidRDefault="006B4E98" w:rsidP="00CD6322">
            <w:pPr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 xml:space="preserve">Общая площадь жилых помещений, приходящихся в среднем на 1 жителя, </w:t>
            </w:r>
          </w:p>
          <w:p w:rsidR="006B4E98" w:rsidRPr="00CD6322" w:rsidRDefault="006B4E98" w:rsidP="00CD6322">
            <w:pPr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кв. м</w:t>
            </w:r>
          </w:p>
        </w:tc>
        <w:tc>
          <w:tcPr>
            <w:tcW w:w="1324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548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641" w:type="dxa"/>
            <w:shd w:val="clear" w:color="auto" w:fill="auto"/>
          </w:tcPr>
          <w:p w:rsidR="006B4E98" w:rsidRPr="00CD6322" w:rsidRDefault="00D13675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725" w:type="dxa"/>
            <w:shd w:val="clear" w:color="auto" w:fill="auto"/>
          </w:tcPr>
          <w:p w:rsidR="006B4E98" w:rsidRPr="00CD6322" w:rsidRDefault="00567A5F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,</w:t>
            </w: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24,</w:t>
            </w:r>
            <w:r w:rsidR="00234CAB"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B4E98" w:rsidRPr="00CD6322" w:rsidRDefault="00234CAB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1984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24,</w:t>
            </w:r>
            <w:r w:rsidR="00234CAB"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05" w:type="dxa"/>
          </w:tcPr>
          <w:p w:rsidR="006B4E98" w:rsidRPr="00CD6322" w:rsidRDefault="006B4E98" w:rsidP="00CD6322">
            <w:pPr>
              <w:jc w:val="both"/>
              <w:rPr>
                <w:rFonts w:eastAsia="Courier New"/>
                <w:sz w:val="22"/>
                <w:szCs w:val="22"/>
              </w:rPr>
            </w:pPr>
            <w:r w:rsidRPr="00CD6322">
              <w:rPr>
                <w:rFonts w:eastAsia="Courier New"/>
                <w:sz w:val="22"/>
                <w:szCs w:val="22"/>
              </w:rPr>
              <w:t xml:space="preserve">форма федерального статистического наблюдения № 1-жилфонд «Сведения о жилищном фонде», утвержденная приказом Федеральной службы государственной статистики от 18 июля 2019 года № 414; сводные таблицы </w:t>
            </w:r>
            <w:proofErr w:type="spellStart"/>
            <w:r w:rsidRPr="00CD6322">
              <w:rPr>
                <w:rFonts w:eastAsia="Courier New"/>
                <w:sz w:val="22"/>
                <w:szCs w:val="22"/>
              </w:rPr>
              <w:t>Тюменьстата</w:t>
            </w:r>
            <w:proofErr w:type="spellEnd"/>
            <w:r w:rsidRPr="00CD6322">
              <w:rPr>
                <w:rFonts w:eastAsia="Courier New"/>
                <w:sz w:val="22"/>
                <w:szCs w:val="22"/>
              </w:rPr>
              <w:t xml:space="preserve"> «Оценка численности населения»</w:t>
            </w:r>
          </w:p>
        </w:tc>
      </w:tr>
      <w:tr w:rsidR="006B4E98" w:rsidRPr="00CD6322" w:rsidTr="0082786D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2.</w:t>
            </w:r>
          </w:p>
        </w:tc>
        <w:tc>
          <w:tcPr>
            <w:tcW w:w="2445" w:type="dxa"/>
            <w:shd w:val="clear" w:color="auto" w:fill="auto"/>
          </w:tcPr>
          <w:p w:rsidR="006B4E98" w:rsidRPr="00CD6322" w:rsidRDefault="006B4E98" w:rsidP="00CD6322">
            <w:pPr>
              <w:rPr>
                <w:rFonts w:eastAsia="Courier New"/>
                <w:sz w:val="22"/>
                <w:szCs w:val="22"/>
              </w:rPr>
            </w:pPr>
            <w:r w:rsidRPr="00CD6322">
              <w:rPr>
                <w:rFonts w:eastAsia="Courier New"/>
                <w:sz w:val="22"/>
                <w:szCs w:val="22"/>
              </w:rPr>
              <w:t xml:space="preserve">Доля населения, получившего жилые помещения и улучшившего жилищные условия в отчетном году, </w:t>
            </w:r>
          </w:p>
          <w:p w:rsidR="006B4E98" w:rsidRPr="00CD6322" w:rsidRDefault="006B4E98" w:rsidP="00CD6322">
            <w:pPr>
              <w:rPr>
                <w:sz w:val="22"/>
                <w:szCs w:val="22"/>
              </w:rPr>
            </w:pPr>
            <w:r w:rsidRPr="00CD6322">
              <w:rPr>
                <w:rFonts w:eastAsia="Courier New"/>
                <w:sz w:val="22"/>
                <w:szCs w:val="22"/>
              </w:rPr>
              <w:t xml:space="preserve">в общей численности населения, состоящего на учете в качестве нуждающегося в жилых помещениях, %  </w:t>
            </w:r>
          </w:p>
        </w:tc>
        <w:tc>
          <w:tcPr>
            <w:tcW w:w="1324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548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23,3</w:t>
            </w:r>
          </w:p>
        </w:tc>
        <w:tc>
          <w:tcPr>
            <w:tcW w:w="641" w:type="dxa"/>
            <w:shd w:val="clear" w:color="auto" w:fill="auto"/>
          </w:tcPr>
          <w:p w:rsidR="006B4E98" w:rsidRPr="00CD6322" w:rsidRDefault="00D13675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19,1</w:t>
            </w:r>
          </w:p>
        </w:tc>
        <w:tc>
          <w:tcPr>
            <w:tcW w:w="725" w:type="dxa"/>
            <w:shd w:val="clear" w:color="auto" w:fill="auto"/>
          </w:tcPr>
          <w:p w:rsidR="006B4E98" w:rsidRPr="00941CF4" w:rsidRDefault="002B279B" w:rsidP="00CD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709" w:type="dxa"/>
          </w:tcPr>
          <w:p w:rsidR="006B4E98" w:rsidRPr="00CD6322" w:rsidRDefault="000053EA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5,7</w:t>
            </w:r>
          </w:p>
        </w:tc>
        <w:tc>
          <w:tcPr>
            <w:tcW w:w="567" w:type="dxa"/>
          </w:tcPr>
          <w:p w:rsidR="006B4E98" w:rsidRPr="00CD6322" w:rsidRDefault="000053EA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6B4E98" w:rsidRPr="00CD6322" w:rsidRDefault="000053EA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3,5</w:t>
            </w:r>
          </w:p>
        </w:tc>
        <w:tc>
          <w:tcPr>
            <w:tcW w:w="4805" w:type="dxa"/>
          </w:tcPr>
          <w:p w:rsidR="006B4E98" w:rsidRPr="00CD6322" w:rsidRDefault="006B4E98" w:rsidP="00CD6322">
            <w:pPr>
              <w:jc w:val="both"/>
              <w:rPr>
                <w:sz w:val="22"/>
                <w:szCs w:val="22"/>
              </w:rPr>
            </w:pPr>
            <w:r w:rsidRPr="00CD6322">
              <w:rPr>
                <w:rFonts w:eastAsia="Courier New"/>
                <w:sz w:val="22"/>
                <w:szCs w:val="22"/>
              </w:rPr>
              <w:t>форма федерального статистического наблюдения № 4-жилфонд «Сведения о предоставлении гражданам жилых помещений», утвержденная приказом Федеральной с</w:t>
            </w:r>
            <w:r w:rsidR="00CD6322">
              <w:rPr>
                <w:rFonts w:eastAsia="Courier New"/>
                <w:sz w:val="22"/>
                <w:szCs w:val="22"/>
              </w:rPr>
              <w:br/>
            </w:r>
            <w:proofErr w:type="spellStart"/>
            <w:r w:rsidRPr="00CD6322">
              <w:rPr>
                <w:rFonts w:eastAsia="Courier New"/>
                <w:sz w:val="22"/>
                <w:szCs w:val="22"/>
              </w:rPr>
              <w:t>лужбы</w:t>
            </w:r>
            <w:proofErr w:type="spellEnd"/>
            <w:r w:rsidRPr="00CD6322">
              <w:rPr>
                <w:rFonts w:eastAsia="Courier New"/>
                <w:sz w:val="22"/>
                <w:szCs w:val="22"/>
              </w:rPr>
              <w:t xml:space="preserve"> государственной статистики </w:t>
            </w:r>
            <w:r w:rsidR="00CD6322">
              <w:rPr>
                <w:rFonts w:eastAsia="Courier New"/>
                <w:sz w:val="22"/>
                <w:szCs w:val="22"/>
              </w:rPr>
              <w:br/>
            </w:r>
            <w:r w:rsidRPr="00CD6322">
              <w:rPr>
                <w:rFonts w:eastAsia="Courier New"/>
                <w:sz w:val="22"/>
                <w:szCs w:val="22"/>
              </w:rPr>
              <w:t>от 18 июля</w:t>
            </w:r>
            <w:r w:rsidR="00CD6322">
              <w:rPr>
                <w:rFonts w:eastAsia="Courier New"/>
                <w:sz w:val="22"/>
                <w:szCs w:val="22"/>
              </w:rPr>
              <w:t xml:space="preserve"> </w:t>
            </w:r>
            <w:r w:rsidRPr="00CD6322">
              <w:rPr>
                <w:rFonts w:eastAsia="Courier New"/>
                <w:sz w:val="22"/>
                <w:szCs w:val="22"/>
              </w:rPr>
              <w:t xml:space="preserve">2019 года № 414; </w:t>
            </w:r>
            <w:hyperlink r:id="rId13" w:history="1">
              <w:r w:rsidRPr="00CD6322">
                <w:rPr>
                  <w:rFonts w:eastAsia="Courier New"/>
                  <w:sz w:val="22"/>
                  <w:szCs w:val="22"/>
                </w:rPr>
                <w:t>Методика</w:t>
              </w:r>
            </w:hyperlink>
            <w:r w:rsidRPr="00CD6322">
              <w:rPr>
                <w:rFonts w:eastAsia="Courier New"/>
                <w:sz w:val="22"/>
                <w:szCs w:val="22"/>
              </w:rPr>
              <w:t xml:space="preserve"> расчета показателя «Удельный вес числа семей, получивших жилые помещения и улучивших жилищные условия, в числе семей, состоящих на учете в качестве нуждающихся в жилых помещениях», утвержденная приказом</w:t>
            </w:r>
            <w:r w:rsidR="00CD6322">
              <w:rPr>
                <w:rFonts w:eastAsia="Courier New"/>
                <w:sz w:val="22"/>
                <w:szCs w:val="22"/>
              </w:rPr>
              <w:t xml:space="preserve"> </w:t>
            </w:r>
            <w:r w:rsidRPr="00CD6322">
              <w:rPr>
                <w:rFonts w:eastAsia="Courier New"/>
                <w:sz w:val="22"/>
                <w:szCs w:val="22"/>
              </w:rPr>
              <w:t>Федеральной службы государственной</w:t>
            </w:r>
            <w:r w:rsidR="00CD6322">
              <w:rPr>
                <w:rFonts w:eastAsia="Courier New"/>
                <w:sz w:val="22"/>
                <w:szCs w:val="22"/>
              </w:rPr>
              <w:t xml:space="preserve"> </w:t>
            </w:r>
            <w:r w:rsidRPr="00CD6322">
              <w:rPr>
                <w:rFonts w:eastAsia="Courier New"/>
                <w:sz w:val="22"/>
                <w:szCs w:val="22"/>
              </w:rPr>
              <w:t>статистики от 17 июля</w:t>
            </w:r>
            <w:r w:rsidR="00CD6322">
              <w:rPr>
                <w:rFonts w:eastAsia="Courier New"/>
                <w:sz w:val="22"/>
                <w:szCs w:val="22"/>
              </w:rPr>
              <w:t xml:space="preserve"> </w:t>
            </w:r>
            <w:r w:rsidRPr="00CD6322">
              <w:rPr>
                <w:rFonts w:eastAsia="Courier New"/>
                <w:sz w:val="22"/>
                <w:szCs w:val="22"/>
              </w:rPr>
              <w:t>2015 года № 324</w:t>
            </w:r>
          </w:p>
        </w:tc>
      </w:tr>
      <w:tr w:rsidR="006B4E98" w:rsidRPr="00CD6322" w:rsidTr="0082786D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3</w:t>
            </w:r>
            <w:r w:rsidR="00CD6322">
              <w:rPr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B4E98" w:rsidRPr="00CD6322" w:rsidRDefault="006B4E98" w:rsidP="00CD6322">
            <w:pPr>
              <w:rPr>
                <w:sz w:val="22"/>
                <w:szCs w:val="22"/>
                <w:vertAlign w:val="superscript"/>
              </w:rPr>
            </w:pPr>
            <w:r w:rsidRPr="00CD6322">
              <w:rPr>
                <w:sz w:val="22"/>
                <w:szCs w:val="22"/>
              </w:rPr>
              <w:t xml:space="preserve">Количество квадратных метров расселенного аварийного жилищного </w:t>
            </w:r>
            <w:r w:rsidRPr="00CD6322">
              <w:rPr>
                <w:sz w:val="22"/>
                <w:szCs w:val="22"/>
              </w:rPr>
              <w:lastRenderedPageBreak/>
              <w:t>фонда, признанного таковым до 1 января 2017 года, тыс. м</w:t>
            </w:r>
            <w:r w:rsidRPr="00CD632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2,5</w:t>
            </w:r>
          </w:p>
        </w:tc>
        <w:tc>
          <w:tcPr>
            <w:tcW w:w="641" w:type="dxa"/>
            <w:shd w:val="clear" w:color="auto" w:fill="auto"/>
          </w:tcPr>
          <w:p w:rsidR="006B4E98" w:rsidRPr="00CD6322" w:rsidRDefault="00D13675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2,2</w:t>
            </w:r>
          </w:p>
        </w:tc>
        <w:tc>
          <w:tcPr>
            <w:tcW w:w="725" w:type="dxa"/>
            <w:shd w:val="clear" w:color="auto" w:fill="auto"/>
          </w:tcPr>
          <w:p w:rsidR="006B4E98" w:rsidRPr="00CD6322" w:rsidRDefault="00567A5F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0,</w:t>
            </w:r>
            <w:r w:rsidR="0082786D" w:rsidRPr="00CD632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B4E98" w:rsidRPr="00CD6322" w:rsidRDefault="0082786D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B4E98" w:rsidRPr="00CD6322" w:rsidRDefault="0082786D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B4E98" w:rsidRPr="00CD6322" w:rsidRDefault="0082786D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5,0</w:t>
            </w:r>
          </w:p>
        </w:tc>
        <w:tc>
          <w:tcPr>
            <w:tcW w:w="4805" w:type="dxa"/>
          </w:tcPr>
          <w:p w:rsidR="006B4E98" w:rsidRPr="00CD6322" w:rsidRDefault="006B4E98" w:rsidP="00CD6322">
            <w:pPr>
              <w:rPr>
                <w:rFonts w:eastAsia="Courier New"/>
                <w:sz w:val="22"/>
                <w:szCs w:val="22"/>
              </w:rPr>
            </w:pPr>
            <w:r w:rsidRPr="00CD6322">
              <w:rPr>
                <w:rFonts w:eastAsia="Courier New"/>
                <w:sz w:val="22"/>
                <w:szCs w:val="22"/>
              </w:rPr>
              <w:t>статистика сельских поселений района</w:t>
            </w:r>
          </w:p>
        </w:tc>
      </w:tr>
      <w:tr w:rsidR="006B4E98" w:rsidRPr="00CD6322" w:rsidTr="0082786D">
        <w:trPr>
          <w:trHeight w:val="280"/>
        </w:trPr>
        <w:tc>
          <w:tcPr>
            <w:tcW w:w="639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lastRenderedPageBreak/>
              <w:t>4</w:t>
            </w:r>
            <w:r w:rsidR="00CD6322">
              <w:rPr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B4E98" w:rsidRPr="00CD6322" w:rsidRDefault="006B4E98" w:rsidP="00CD6322">
            <w:pPr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Количество граждан, расселенных из аварийного жилищного фонда, признанного таковым до 1 января 2017 года, чел.</w:t>
            </w:r>
          </w:p>
        </w:tc>
        <w:tc>
          <w:tcPr>
            <w:tcW w:w="1324" w:type="dxa"/>
            <w:shd w:val="clear" w:color="auto" w:fill="auto"/>
          </w:tcPr>
          <w:p w:rsidR="006B4E98" w:rsidRPr="00CD6322" w:rsidRDefault="006B4E98" w:rsidP="00CD6322">
            <w:pPr>
              <w:pStyle w:val="ConsPlusCell"/>
              <w:keepNext/>
              <w:keepLines/>
              <w:jc w:val="center"/>
              <w:rPr>
                <w:rStyle w:val="aff"/>
                <w:rFonts w:ascii="Times New Roman" w:hAnsi="Times New Roman" w:cs="Times New Roman"/>
                <w:sz w:val="22"/>
                <w:szCs w:val="22"/>
              </w:rPr>
            </w:pPr>
            <w:r w:rsidRPr="00CD6322">
              <w:rPr>
                <w:rStyle w:val="aff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6B4E98" w:rsidRPr="00CD6322" w:rsidRDefault="006B4E98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183</w:t>
            </w:r>
          </w:p>
        </w:tc>
        <w:tc>
          <w:tcPr>
            <w:tcW w:w="641" w:type="dxa"/>
            <w:shd w:val="clear" w:color="auto" w:fill="auto"/>
          </w:tcPr>
          <w:p w:rsidR="006B4E98" w:rsidRPr="00CD6322" w:rsidRDefault="00D13675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149</w:t>
            </w:r>
          </w:p>
        </w:tc>
        <w:tc>
          <w:tcPr>
            <w:tcW w:w="725" w:type="dxa"/>
            <w:shd w:val="clear" w:color="auto" w:fill="auto"/>
          </w:tcPr>
          <w:p w:rsidR="006B4E98" w:rsidRPr="00CD6322" w:rsidRDefault="0082786D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6B4E98" w:rsidRPr="00CD6322" w:rsidRDefault="0082786D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B4E98" w:rsidRPr="00CD6322" w:rsidRDefault="0082786D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B4E98" w:rsidRPr="00CD6322" w:rsidRDefault="0082786D" w:rsidP="00CD6322">
            <w:pPr>
              <w:jc w:val="center"/>
              <w:rPr>
                <w:sz w:val="22"/>
                <w:szCs w:val="22"/>
              </w:rPr>
            </w:pPr>
            <w:r w:rsidRPr="00CD6322">
              <w:rPr>
                <w:sz w:val="22"/>
                <w:szCs w:val="22"/>
              </w:rPr>
              <w:t>358</w:t>
            </w:r>
          </w:p>
        </w:tc>
        <w:tc>
          <w:tcPr>
            <w:tcW w:w="4805" w:type="dxa"/>
          </w:tcPr>
          <w:p w:rsidR="006B4E98" w:rsidRPr="00CD6322" w:rsidRDefault="006B4E98" w:rsidP="00CD6322">
            <w:pPr>
              <w:rPr>
                <w:rFonts w:eastAsia="Courier New"/>
                <w:sz w:val="22"/>
                <w:szCs w:val="22"/>
              </w:rPr>
            </w:pPr>
            <w:r w:rsidRPr="00CD6322">
              <w:rPr>
                <w:rFonts w:eastAsia="Courier New"/>
                <w:sz w:val="22"/>
                <w:szCs w:val="22"/>
              </w:rPr>
              <w:t>статистика сельских поселений района</w:t>
            </w:r>
          </w:p>
        </w:tc>
      </w:tr>
    </w:tbl>
    <w:p w:rsidR="00A352D3" w:rsidRDefault="00A352D3" w:rsidP="00CD6322">
      <w:pPr>
        <w:pStyle w:val="ConsPlusNormal"/>
        <w:jc w:val="right"/>
        <w:outlineLvl w:val="1"/>
        <w:rPr>
          <w:sz w:val="28"/>
          <w:szCs w:val="28"/>
        </w:rPr>
      </w:pPr>
      <w:bookmarkStart w:id="1" w:name="P172"/>
      <w:bookmarkEnd w:id="1"/>
    </w:p>
    <w:p w:rsidR="00011D72" w:rsidRPr="00D61141" w:rsidRDefault="00011D72" w:rsidP="00CD6322">
      <w:pPr>
        <w:pStyle w:val="ConsPlusNormal"/>
        <w:jc w:val="right"/>
        <w:outlineLvl w:val="1"/>
        <w:rPr>
          <w:sz w:val="28"/>
          <w:szCs w:val="28"/>
        </w:rPr>
      </w:pPr>
      <w:r w:rsidRPr="00D61141">
        <w:rPr>
          <w:sz w:val="28"/>
          <w:szCs w:val="28"/>
        </w:rPr>
        <w:t>Таблица 2</w:t>
      </w:r>
    </w:p>
    <w:p w:rsidR="00011D72" w:rsidRPr="00D61141" w:rsidRDefault="00011D72" w:rsidP="00CD6322">
      <w:pPr>
        <w:widowControl w:val="0"/>
        <w:jc w:val="center"/>
        <w:rPr>
          <w:sz w:val="28"/>
          <w:szCs w:val="28"/>
        </w:rPr>
      </w:pPr>
      <w:bookmarkStart w:id="2" w:name="P4781"/>
      <w:bookmarkEnd w:id="2"/>
      <w:r w:rsidRPr="00D61141">
        <w:rPr>
          <w:sz w:val="28"/>
          <w:szCs w:val="28"/>
        </w:rPr>
        <w:t>Распределение финансовых ресурсов муниципальной программы</w:t>
      </w:r>
    </w:p>
    <w:p w:rsidR="00011D72" w:rsidRPr="00A352D3" w:rsidRDefault="00011D72" w:rsidP="00CD6322">
      <w:pPr>
        <w:widowControl w:val="0"/>
        <w:rPr>
          <w:rStyle w:val="aff"/>
          <w:b/>
          <w:bCs/>
          <w:sz w:val="18"/>
          <w:szCs w:val="28"/>
          <w:u w:val="single"/>
        </w:rPr>
      </w:pPr>
    </w:p>
    <w:tbl>
      <w:tblPr>
        <w:tblW w:w="147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15"/>
        <w:gridCol w:w="3585"/>
        <w:gridCol w:w="1577"/>
        <w:gridCol w:w="2470"/>
        <w:gridCol w:w="1134"/>
        <w:gridCol w:w="992"/>
        <w:gridCol w:w="993"/>
        <w:gridCol w:w="982"/>
        <w:gridCol w:w="10"/>
        <w:gridCol w:w="992"/>
        <w:gridCol w:w="992"/>
      </w:tblGrid>
      <w:tr w:rsidR="006B4E98" w:rsidRPr="00CD6322" w:rsidTr="006A1234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bookmarkStart w:id="3" w:name="_Hlk54535296"/>
            <w:r w:rsidRPr="00CD6322">
              <w:t xml:space="preserve">Номер основного </w:t>
            </w:r>
            <w:proofErr w:type="spellStart"/>
            <w:r w:rsidRPr="00CD6322">
              <w:t>мероприя-тия</w:t>
            </w:r>
            <w:proofErr w:type="spellEnd"/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Ответственный исполнитель (соисполнитель)</w:t>
            </w:r>
          </w:p>
        </w:tc>
        <w:tc>
          <w:tcPr>
            <w:tcW w:w="2470" w:type="dxa"/>
            <w:vMerge w:val="restart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Источники финансирования</w:t>
            </w:r>
          </w:p>
        </w:tc>
        <w:tc>
          <w:tcPr>
            <w:tcW w:w="6095" w:type="dxa"/>
            <w:gridSpan w:val="7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Финансовые затраты на реализацию</w:t>
            </w:r>
          </w:p>
          <w:p w:rsidR="006B4E98" w:rsidRPr="00CD6322" w:rsidRDefault="006B4E98" w:rsidP="00CD6322">
            <w:pPr>
              <w:jc w:val="center"/>
            </w:pPr>
            <w:r w:rsidRPr="00CD6322">
              <w:t>(тыс. руб.)</w:t>
            </w:r>
          </w:p>
        </w:tc>
      </w:tr>
      <w:tr w:rsidR="006B4E98" w:rsidRPr="00CD6322" w:rsidTr="006A1234">
        <w:trPr>
          <w:trHeight w:val="20"/>
        </w:trPr>
        <w:tc>
          <w:tcPr>
            <w:tcW w:w="1015" w:type="dxa"/>
            <w:vMerge/>
            <w:hideMark/>
          </w:tcPr>
          <w:p w:rsidR="006B4E98" w:rsidRPr="00CD6322" w:rsidRDefault="006B4E98" w:rsidP="00CD6322">
            <w:pPr>
              <w:jc w:val="center"/>
            </w:pPr>
          </w:p>
        </w:tc>
        <w:tc>
          <w:tcPr>
            <w:tcW w:w="3585" w:type="dxa"/>
            <w:vMerge/>
            <w:hideMark/>
          </w:tcPr>
          <w:p w:rsidR="006B4E98" w:rsidRPr="00CD6322" w:rsidRDefault="006B4E98" w:rsidP="00CD6322">
            <w:pPr>
              <w:jc w:val="center"/>
            </w:pPr>
          </w:p>
        </w:tc>
        <w:tc>
          <w:tcPr>
            <w:tcW w:w="1577" w:type="dxa"/>
            <w:vMerge/>
            <w:hideMark/>
          </w:tcPr>
          <w:p w:rsidR="006B4E98" w:rsidRPr="00CD6322" w:rsidRDefault="006B4E98" w:rsidP="00CD6322">
            <w:pPr>
              <w:jc w:val="center"/>
            </w:pPr>
          </w:p>
        </w:tc>
        <w:tc>
          <w:tcPr>
            <w:tcW w:w="2470" w:type="dxa"/>
            <w:vMerge/>
            <w:hideMark/>
          </w:tcPr>
          <w:p w:rsidR="006B4E98" w:rsidRPr="00CD6322" w:rsidRDefault="006B4E98" w:rsidP="00CD6322">
            <w:pPr>
              <w:jc w:val="center"/>
            </w:pPr>
          </w:p>
        </w:tc>
        <w:tc>
          <w:tcPr>
            <w:tcW w:w="1134" w:type="dxa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2019</w:t>
            </w:r>
            <w:r w:rsidRPr="00CD6322">
              <w:br/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2020</w:t>
            </w:r>
            <w:r w:rsidRPr="00CD6322">
              <w:br/>
              <w:t>год</w:t>
            </w:r>
          </w:p>
        </w:tc>
        <w:tc>
          <w:tcPr>
            <w:tcW w:w="982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2021</w:t>
            </w:r>
            <w:r w:rsidRPr="00CD6322">
              <w:br/>
              <w:t>год</w:t>
            </w:r>
          </w:p>
        </w:tc>
        <w:tc>
          <w:tcPr>
            <w:tcW w:w="1002" w:type="dxa"/>
            <w:gridSpan w:val="2"/>
          </w:tcPr>
          <w:p w:rsidR="006B4E98" w:rsidRPr="00CD6322" w:rsidRDefault="006B4E98" w:rsidP="00CD6322">
            <w:pPr>
              <w:jc w:val="center"/>
            </w:pPr>
            <w:r w:rsidRPr="00CD6322">
              <w:t xml:space="preserve">2022 </w:t>
            </w:r>
          </w:p>
          <w:p w:rsidR="006B4E98" w:rsidRPr="00CD6322" w:rsidRDefault="006B4E98" w:rsidP="00CD6322">
            <w:pPr>
              <w:jc w:val="center"/>
            </w:pPr>
            <w:r w:rsidRPr="00CD6322">
              <w:t>год</w:t>
            </w:r>
          </w:p>
        </w:tc>
        <w:tc>
          <w:tcPr>
            <w:tcW w:w="992" w:type="dxa"/>
          </w:tcPr>
          <w:p w:rsidR="006B4E98" w:rsidRPr="00CD6322" w:rsidRDefault="006B4E98" w:rsidP="00CD6322">
            <w:pPr>
              <w:jc w:val="center"/>
            </w:pPr>
            <w:r w:rsidRPr="00CD6322">
              <w:t xml:space="preserve">2023 </w:t>
            </w:r>
          </w:p>
          <w:p w:rsidR="006B4E98" w:rsidRPr="00CD6322" w:rsidRDefault="006B4E98" w:rsidP="00CD6322">
            <w:pPr>
              <w:jc w:val="center"/>
            </w:pPr>
            <w:r w:rsidRPr="00CD6322">
              <w:t>год</w:t>
            </w:r>
          </w:p>
        </w:tc>
      </w:tr>
      <w:tr w:rsidR="006B4E98" w:rsidRPr="00CD6322" w:rsidTr="006A1234">
        <w:trPr>
          <w:trHeight w:val="20"/>
        </w:trPr>
        <w:tc>
          <w:tcPr>
            <w:tcW w:w="1015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1</w:t>
            </w:r>
          </w:p>
        </w:tc>
        <w:tc>
          <w:tcPr>
            <w:tcW w:w="3585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2</w:t>
            </w:r>
          </w:p>
        </w:tc>
        <w:tc>
          <w:tcPr>
            <w:tcW w:w="1577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3</w:t>
            </w:r>
          </w:p>
        </w:tc>
        <w:tc>
          <w:tcPr>
            <w:tcW w:w="2470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7</w:t>
            </w:r>
          </w:p>
        </w:tc>
        <w:tc>
          <w:tcPr>
            <w:tcW w:w="982" w:type="dxa"/>
            <w:shd w:val="clear" w:color="auto" w:fill="auto"/>
            <w:hideMark/>
          </w:tcPr>
          <w:p w:rsidR="006B4E98" w:rsidRPr="00CD6322" w:rsidRDefault="006B4E98" w:rsidP="00CD6322">
            <w:pPr>
              <w:jc w:val="center"/>
            </w:pPr>
            <w:r w:rsidRPr="00CD6322">
              <w:t>8</w:t>
            </w:r>
          </w:p>
        </w:tc>
        <w:tc>
          <w:tcPr>
            <w:tcW w:w="1002" w:type="dxa"/>
            <w:gridSpan w:val="2"/>
          </w:tcPr>
          <w:p w:rsidR="006B4E98" w:rsidRPr="00CD6322" w:rsidRDefault="006B4E98" w:rsidP="00CD6322">
            <w:pPr>
              <w:jc w:val="center"/>
            </w:pPr>
            <w:r w:rsidRPr="00CD6322">
              <w:t>9</w:t>
            </w:r>
          </w:p>
        </w:tc>
        <w:tc>
          <w:tcPr>
            <w:tcW w:w="992" w:type="dxa"/>
          </w:tcPr>
          <w:p w:rsidR="006B4E98" w:rsidRPr="00CD6322" w:rsidRDefault="006B4E98" w:rsidP="00CD6322">
            <w:pPr>
              <w:jc w:val="center"/>
            </w:pPr>
            <w:r w:rsidRPr="00CD6322">
              <w:t>10</w:t>
            </w:r>
          </w:p>
        </w:tc>
      </w:tr>
      <w:tr w:rsidR="006B4E98" w:rsidRPr="00CD6322" w:rsidTr="006A1234">
        <w:trPr>
          <w:trHeight w:val="20"/>
        </w:trPr>
        <w:tc>
          <w:tcPr>
            <w:tcW w:w="13750" w:type="dxa"/>
            <w:gridSpan w:val="10"/>
            <w:shd w:val="clear" w:color="auto" w:fill="auto"/>
            <w:hideMark/>
          </w:tcPr>
          <w:p w:rsidR="006B4E98" w:rsidRPr="00CD6322" w:rsidRDefault="006B4E98" w:rsidP="00CD6322">
            <w:r w:rsidRPr="00CD6322">
              <w:t>Подпрограмма 1 «Стимулирование жилищного строительства»</w:t>
            </w:r>
          </w:p>
        </w:tc>
        <w:tc>
          <w:tcPr>
            <w:tcW w:w="992" w:type="dxa"/>
          </w:tcPr>
          <w:p w:rsidR="006B4E98" w:rsidRPr="00CD6322" w:rsidRDefault="006B4E98" w:rsidP="00CD6322"/>
        </w:tc>
      </w:tr>
      <w:tr w:rsidR="00657392" w:rsidRPr="00CD6322" w:rsidTr="006A1234">
        <w:trPr>
          <w:trHeight w:val="20"/>
        </w:trPr>
        <w:tc>
          <w:tcPr>
            <w:tcW w:w="1015" w:type="dxa"/>
            <w:vMerge w:val="restart"/>
            <w:shd w:val="clear" w:color="auto" w:fill="auto"/>
          </w:tcPr>
          <w:p w:rsidR="00657392" w:rsidRPr="00CD6322" w:rsidRDefault="00657392" w:rsidP="00CD6322">
            <w:pPr>
              <w:jc w:val="center"/>
            </w:pPr>
            <w:r w:rsidRPr="00CD6322">
              <w:t>1.1.</w:t>
            </w:r>
          </w:p>
        </w:tc>
        <w:tc>
          <w:tcPr>
            <w:tcW w:w="3585" w:type="dxa"/>
            <w:vMerge w:val="restart"/>
            <w:shd w:val="clear" w:color="auto" w:fill="auto"/>
          </w:tcPr>
          <w:p w:rsidR="00657392" w:rsidRPr="00CD6322" w:rsidRDefault="00657392" w:rsidP="00CD6322">
            <w:r w:rsidRPr="00CD6322">
              <w:t>Основное мероприятие: Приобретение жилых помещений по договорам купли-продажи и (или) приобретение жилых помещений по договорам участия в долевом строительстве (показатели 1, 2)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657392" w:rsidRPr="00CD6322" w:rsidRDefault="00657392" w:rsidP="00CD6322">
            <w:r w:rsidRPr="00CD6322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</w:tcPr>
          <w:p w:rsidR="00657392" w:rsidRPr="00CD6322" w:rsidRDefault="00657392" w:rsidP="00CD6322">
            <w:r w:rsidRPr="00CD6322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357 284,0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74 822,6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146 030,4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55 537,2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52 525,1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28 368,7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657392" w:rsidRPr="00CD6322" w:rsidRDefault="00657392" w:rsidP="00CD6322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</w:tcPr>
          <w:p w:rsidR="00657392" w:rsidRPr="00CD6322" w:rsidRDefault="00657392" w:rsidP="00CD6322">
            <w:r w:rsidRPr="00CD6322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323 994,3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68 088,6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132 887,7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49 404,7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47797,8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  <w:rPr>
                <w:bCs/>
              </w:rPr>
            </w:pPr>
            <w:r w:rsidRPr="002B279B">
              <w:rPr>
                <w:bCs/>
              </w:rPr>
              <w:t>25815,5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657392" w:rsidRPr="00CD6322" w:rsidRDefault="00657392" w:rsidP="00CD6322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</w:tcPr>
          <w:p w:rsidR="00657392" w:rsidRPr="00CD6322" w:rsidRDefault="00657392" w:rsidP="00CD6322">
            <w:r w:rsidRPr="00CD6322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33 289,7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6 734,0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6 132,5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4727,3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  <w:rPr>
                <w:bCs/>
              </w:rPr>
            </w:pPr>
            <w:r w:rsidRPr="002B279B">
              <w:rPr>
                <w:bCs/>
              </w:rPr>
              <w:t>2553,2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657392" w:rsidRPr="00CD6322" w:rsidRDefault="00657392" w:rsidP="00CD6322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</w:tcPr>
          <w:p w:rsidR="00657392" w:rsidRPr="00CD6322" w:rsidRDefault="00657392" w:rsidP="00CD6322">
            <w:r w:rsidRPr="00CD6322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  <w:rPr>
                <w:bCs/>
              </w:rPr>
            </w:pPr>
            <w:r w:rsidRPr="002B279B">
              <w:rPr>
                <w:bCs/>
              </w:rPr>
              <w:t> 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</w:tcPr>
          <w:p w:rsidR="00657392" w:rsidRPr="00CD6322" w:rsidRDefault="00657392" w:rsidP="00CD6322">
            <w:pPr>
              <w:jc w:val="center"/>
            </w:pPr>
          </w:p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</w:tcPr>
          <w:p w:rsidR="00657392" w:rsidRPr="00CD6322" w:rsidRDefault="00657392" w:rsidP="00CD6322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33 289,7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6 734,0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6 132,5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4727,3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  <w:rPr>
                <w:bCs/>
              </w:rPr>
            </w:pPr>
            <w:r w:rsidRPr="002B279B">
              <w:rPr>
                <w:bCs/>
              </w:rPr>
              <w:t>2553,2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657392" w:rsidRPr="00CD6322" w:rsidRDefault="00657392" w:rsidP="00CD6322">
            <w:pPr>
              <w:jc w:val="center"/>
            </w:pPr>
            <w:r w:rsidRPr="00CD6322">
              <w:t>1.2.</w:t>
            </w:r>
          </w:p>
        </w:tc>
        <w:tc>
          <w:tcPr>
            <w:tcW w:w="3585" w:type="dxa"/>
            <w:vMerge w:val="restart"/>
            <w:shd w:val="clear" w:color="auto" w:fill="auto"/>
          </w:tcPr>
          <w:p w:rsidR="00657392" w:rsidRPr="00CD6322" w:rsidRDefault="00657392" w:rsidP="00CD6322">
            <w:r w:rsidRPr="00CD6322">
              <w:t>Основное мероприятие: Федеральный проект «Обеспечение устойчивого сокращения непригодного для проживания жилищного фонда» (показатели 1, 2, 3, 4)</w:t>
            </w:r>
          </w:p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  <w:hideMark/>
          </w:tcPr>
          <w:p w:rsidR="00657392" w:rsidRPr="00CD6322" w:rsidRDefault="00657392" w:rsidP="00CD6322">
            <w:r w:rsidRPr="00CD6322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281 966,8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186 438,4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95 528,4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657392" w:rsidRPr="00CD6322" w:rsidRDefault="00657392" w:rsidP="00CD6322"/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  <w:hideMark/>
          </w:tcPr>
          <w:p w:rsidR="00657392" w:rsidRPr="00CD6322" w:rsidRDefault="00657392" w:rsidP="00CD6322">
            <w:r w:rsidRPr="00CD6322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256 589,8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169 658,9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86 930,9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657392" w:rsidRPr="00CD6322" w:rsidRDefault="00657392" w:rsidP="00CD6322"/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  <w:hideMark/>
          </w:tcPr>
          <w:p w:rsidR="00657392" w:rsidRPr="00CD6322" w:rsidRDefault="00657392" w:rsidP="00CD6322">
            <w:r w:rsidRPr="00CD6322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25 377,0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16 779,5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8 597,5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657392" w:rsidRPr="00CD6322" w:rsidRDefault="00657392" w:rsidP="00CD6322"/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  <w:hideMark/>
          </w:tcPr>
          <w:p w:rsidR="00657392" w:rsidRPr="00CD6322" w:rsidRDefault="00657392" w:rsidP="00CD6322">
            <w:r w:rsidRPr="00CD6322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 </w:t>
            </w:r>
          </w:p>
        </w:tc>
      </w:tr>
      <w:tr w:rsidR="00657392" w:rsidRPr="00CD6322" w:rsidTr="006A1234">
        <w:trPr>
          <w:trHeight w:val="20"/>
        </w:trPr>
        <w:tc>
          <w:tcPr>
            <w:tcW w:w="1015" w:type="dxa"/>
            <w:vMerge/>
            <w:shd w:val="clear" w:color="auto" w:fill="auto"/>
            <w:hideMark/>
          </w:tcPr>
          <w:p w:rsidR="00657392" w:rsidRPr="00CD6322" w:rsidRDefault="00657392" w:rsidP="00CD6322"/>
        </w:tc>
        <w:tc>
          <w:tcPr>
            <w:tcW w:w="3585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1577" w:type="dxa"/>
            <w:vMerge/>
            <w:shd w:val="clear" w:color="auto" w:fill="auto"/>
          </w:tcPr>
          <w:p w:rsidR="00657392" w:rsidRPr="00CD6322" w:rsidRDefault="00657392" w:rsidP="00CD6322"/>
        </w:tc>
        <w:tc>
          <w:tcPr>
            <w:tcW w:w="2470" w:type="dxa"/>
            <w:shd w:val="clear" w:color="auto" w:fill="auto"/>
            <w:hideMark/>
          </w:tcPr>
          <w:p w:rsidR="00657392" w:rsidRPr="00CD6322" w:rsidRDefault="00657392" w:rsidP="00CD6322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</w:t>
            </w:r>
            <w:r w:rsidRPr="00CD6322">
              <w:lastRenderedPageBreak/>
              <w:t>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lastRenderedPageBreak/>
              <w:t>25 377,0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16 779,5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57392" w:rsidRPr="002B279B" w:rsidRDefault="00657392">
            <w:pPr>
              <w:jc w:val="center"/>
            </w:pPr>
            <w:r w:rsidRPr="002B279B">
              <w:t>8 597,5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657392" w:rsidRPr="002B279B" w:rsidRDefault="00657392" w:rsidP="00CD6322">
            <w:pPr>
              <w:jc w:val="center"/>
            </w:pPr>
            <w:r w:rsidRPr="002B279B">
              <w:t>0,0</w:t>
            </w:r>
          </w:p>
        </w:tc>
      </w:tr>
      <w:tr w:rsidR="007138DE" w:rsidRPr="00CD6322" w:rsidTr="006A1234">
        <w:trPr>
          <w:trHeight w:val="20"/>
        </w:trPr>
        <w:tc>
          <w:tcPr>
            <w:tcW w:w="6177" w:type="dxa"/>
            <w:gridSpan w:val="3"/>
            <w:vMerge w:val="restart"/>
            <w:shd w:val="clear" w:color="auto" w:fill="auto"/>
            <w:hideMark/>
          </w:tcPr>
          <w:p w:rsidR="007138DE" w:rsidRPr="00CD6322" w:rsidRDefault="007138DE" w:rsidP="00CD6322">
            <w:r w:rsidRPr="00CD6322">
              <w:lastRenderedPageBreak/>
              <w:t>ИТОГО по подпрограмме I</w:t>
            </w:r>
          </w:p>
        </w:tc>
        <w:tc>
          <w:tcPr>
            <w:tcW w:w="2470" w:type="dxa"/>
            <w:shd w:val="clear" w:color="auto" w:fill="auto"/>
            <w:hideMark/>
          </w:tcPr>
          <w:p w:rsidR="007138DE" w:rsidRPr="00CD6322" w:rsidRDefault="007138DE" w:rsidP="00CD6322">
            <w:r w:rsidRPr="00CD6322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639 250,8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261 261,0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</w:pPr>
            <w:r w:rsidRPr="002B279B">
              <w:t>146 030,4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</w:pPr>
            <w:r w:rsidRPr="002B279B">
              <w:t>151 065,6</w:t>
            </w:r>
          </w:p>
        </w:tc>
        <w:tc>
          <w:tcPr>
            <w:tcW w:w="992" w:type="dxa"/>
            <w:vAlign w:val="center"/>
          </w:tcPr>
          <w:p w:rsidR="007138DE" w:rsidRPr="002B279B" w:rsidRDefault="007138DE" w:rsidP="00CD6322">
            <w:pPr>
              <w:jc w:val="center"/>
            </w:pPr>
            <w:r w:rsidRPr="002B279B">
              <w:t>52 525,1</w:t>
            </w:r>
          </w:p>
        </w:tc>
        <w:tc>
          <w:tcPr>
            <w:tcW w:w="992" w:type="dxa"/>
            <w:vAlign w:val="center"/>
          </w:tcPr>
          <w:p w:rsidR="007138DE" w:rsidRPr="002B279B" w:rsidRDefault="007138DE" w:rsidP="00CD6322">
            <w:pPr>
              <w:jc w:val="center"/>
            </w:pPr>
            <w:r w:rsidRPr="002B279B">
              <w:t>28 368,7</w:t>
            </w:r>
          </w:p>
        </w:tc>
      </w:tr>
      <w:tr w:rsidR="007138DE" w:rsidRPr="00CD6322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138DE" w:rsidRPr="00CD6322" w:rsidRDefault="007138DE" w:rsidP="00CD6322"/>
        </w:tc>
        <w:tc>
          <w:tcPr>
            <w:tcW w:w="2470" w:type="dxa"/>
            <w:shd w:val="clear" w:color="auto" w:fill="auto"/>
            <w:hideMark/>
          </w:tcPr>
          <w:p w:rsidR="007138DE" w:rsidRPr="00CD6322" w:rsidRDefault="007138DE" w:rsidP="00CD6322">
            <w:r w:rsidRPr="00CD6322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580 584,1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237 747,5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</w:pPr>
            <w:r w:rsidRPr="002B279B">
              <w:t>132 887,7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</w:pPr>
            <w:r w:rsidRPr="002B279B">
              <w:t>136 335,6</w:t>
            </w:r>
          </w:p>
        </w:tc>
        <w:tc>
          <w:tcPr>
            <w:tcW w:w="992" w:type="dxa"/>
            <w:vAlign w:val="center"/>
          </w:tcPr>
          <w:p w:rsidR="007138DE" w:rsidRPr="002B279B" w:rsidRDefault="007138DE" w:rsidP="00CD6322">
            <w:pPr>
              <w:jc w:val="center"/>
            </w:pPr>
            <w:r w:rsidRPr="002B279B">
              <w:t>47 797,8</w:t>
            </w:r>
          </w:p>
        </w:tc>
        <w:tc>
          <w:tcPr>
            <w:tcW w:w="992" w:type="dxa"/>
            <w:vAlign w:val="center"/>
          </w:tcPr>
          <w:p w:rsidR="007138DE" w:rsidRPr="002B279B" w:rsidRDefault="007138DE" w:rsidP="00CD6322">
            <w:pPr>
              <w:jc w:val="center"/>
            </w:pPr>
            <w:r w:rsidRPr="002B279B">
              <w:t>25 815,5</w:t>
            </w:r>
          </w:p>
        </w:tc>
      </w:tr>
      <w:tr w:rsidR="007138DE" w:rsidRPr="00CD6322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138DE" w:rsidRPr="00CD6322" w:rsidRDefault="007138DE" w:rsidP="00CD6322"/>
        </w:tc>
        <w:tc>
          <w:tcPr>
            <w:tcW w:w="2470" w:type="dxa"/>
            <w:shd w:val="clear" w:color="auto" w:fill="auto"/>
            <w:hideMark/>
          </w:tcPr>
          <w:p w:rsidR="007138DE" w:rsidRPr="00CD6322" w:rsidRDefault="007138DE" w:rsidP="00CD6322">
            <w:r w:rsidRPr="00CD6322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58 666,7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23 513,5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</w:pPr>
            <w:r w:rsidRPr="002B279B"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138DE" w:rsidRPr="002B279B" w:rsidRDefault="007138DE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  <w:vAlign w:val="center"/>
          </w:tcPr>
          <w:p w:rsidR="007138DE" w:rsidRPr="002B279B" w:rsidRDefault="007138DE" w:rsidP="00CD6322">
            <w:pPr>
              <w:jc w:val="center"/>
            </w:pPr>
            <w:r w:rsidRPr="002B279B">
              <w:t>4 727,3</w:t>
            </w:r>
          </w:p>
        </w:tc>
        <w:tc>
          <w:tcPr>
            <w:tcW w:w="992" w:type="dxa"/>
            <w:vAlign w:val="center"/>
          </w:tcPr>
          <w:p w:rsidR="007138DE" w:rsidRPr="002B279B" w:rsidRDefault="007138DE" w:rsidP="00CD6322">
            <w:pPr>
              <w:jc w:val="center"/>
            </w:pPr>
            <w:r w:rsidRPr="002B279B">
              <w:t>2 553,2</w:t>
            </w:r>
          </w:p>
        </w:tc>
      </w:tr>
      <w:tr w:rsidR="007138DE" w:rsidRPr="00CD6322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138DE" w:rsidRPr="00CD6322" w:rsidRDefault="007138DE" w:rsidP="00CD6322"/>
        </w:tc>
        <w:tc>
          <w:tcPr>
            <w:tcW w:w="2470" w:type="dxa"/>
            <w:shd w:val="clear" w:color="auto" w:fill="auto"/>
            <w:hideMark/>
          </w:tcPr>
          <w:p w:rsidR="007138DE" w:rsidRPr="00CD6322" w:rsidRDefault="007138DE" w:rsidP="00CD6322">
            <w:r w:rsidRPr="00CD6322"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7138DE" w:rsidRPr="002B279B" w:rsidRDefault="007138DE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138DE" w:rsidRPr="002B279B" w:rsidRDefault="007138DE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</w:tcPr>
          <w:p w:rsidR="007138DE" w:rsidRPr="002B279B" w:rsidRDefault="007138DE" w:rsidP="00CD632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</w:tcPr>
          <w:p w:rsidR="007138DE" w:rsidRPr="002B279B" w:rsidRDefault="007138DE" w:rsidP="00CD6322">
            <w:pPr>
              <w:jc w:val="center"/>
            </w:pPr>
            <w:r w:rsidRPr="002B279B">
              <w:t> </w:t>
            </w:r>
          </w:p>
        </w:tc>
      </w:tr>
      <w:tr w:rsidR="007138DE" w:rsidRPr="00CD6322" w:rsidTr="006A1234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138DE" w:rsidRPr="00CD6322" w:rsidRDefault="007138DE" w:rsidP="00CD6322"/>
        </w:tc>
        <w:tc>
          <w:tcPr>
            <w:tcW w:w="2470" w:type="dxa"/>
            <w:shd w:val="clear" w:color="auto" w:fill="auto"/>
            <w:hideMark/>
          </w:tcPr>
          <w:p w:rsidR="007138DE" w:rsidRPr="00CD6322" w:rsidRDefault="007138DE" w:rsidP="00CD6322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58 666,7</w:t>
            </w:r>
          </w:p>
        </w:tc>
        <w:tc>
          <w:tcPr>
            <w:tcW w:w="992" w:type="dxa"/>
            <w:shd w:val="clear" w:color="auto" w:fill="auto"/>
            <w:noWrap/>
          </w:tcPr>
          <w:p w:rsidR="007138DE" w:rsidRPr="002B279B" w:rsidRDefault="007138DE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23 513,5</w:t>
            </w:r>
          </w:p>
        </w:tc>
        <w:tc>
          <w:tcPr>
            <w:tcW w:w="993" w:type="dxa"/>
            <w:shd w:val="clear" w:color="auto" w:fill="auto"/>
            <w:noWrap/>
          </w:tcPr>
          <w:p w:rsidR="007138DE" w:rsidRPr="002B279B" w:rsidRDefault="007138DE">
            <w:pPr>
              <w:jc w:val="center"/>
            </w:pPr>
            <w:r w:rsidRPr="002B279B"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138DE" w:rsidRPr="002B279B" w:rsidRDefault="007138DE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</w:tcPr>
          <w:p w:rsidR="007138DE" w:rsidRPr="002B279B" w:rsidRDefault="007138DE" w:rsidP="00CD6322">
            <w:pPr>
              <w:jc w:val="center"/>
            </w:pPr>
            <w:r w:rsidRPr="002B279B">
              <w:t>4 727,3</w:t>
            </w:r>
          </w:p>
        </w:tc>
        <w:tc>
          <w:tcPr>
            <w:tcW w:w="992" w:type="dxa"/>
          </w:tcPr>
          <w:p w:rsidR="007138DE" w:rsidRPr="002B279B" w:rsidRDefault="007138DE" w:rsidP="00CD6322">
            <w:pPr>
              <w:jc w:val="center"/>
            </w:pPr>
            <w:r w:rsidRPr="002B279B">
              <w:t>2 553,2</w:t>
            </w:r>
          </w:p>
        </w:tc>
      </w:tr>
      <w:tr w:rsidR="006B4E98" w:rsidRPr="00CD6322" w:rsidTr="007A1C81">
        <w:trPr>
          <w:trHeight w:val="20"/>
        </w:trPr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6B4E98" w:rsidRPr="002B279B" w:rsidRDefault="006B4E98" w:rsidP="00CD6322">
            <w:pPr>
              <w:jc w:val="center"/>
            </w:pPr>
            <w:r w:rsidRPr="002B279B">
              <w:t>Подпрограмма 2 «Улучшение жилищных условий отдельных категорий граждан»</w:t>
            </w:r>
          </w:p>
        </w:tc>
        <w:tc>
          <w:tcPr>
            <w:tcW w:w="992" w:type="dxa"/>
            <w:vAlign w:val="center"/>
          </w:tcPr>
          <w:p w:rsidR="006B4E98" w:rsidRPr="00CD6322" w:rsidRDefault="006B4E98" w:rsidP="00CD6322">
            <w:pPr>
              <w:jc w:val="center"/>
            </w:pPr>
          </w:p>
        </w:tc>
      </w:tr>
      <w:tr w:rsidR="00EF3C53" w:rsidRPr="00CD6322" w:rsidTr="007A1C81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EF3C53" w:rsidRPr="00CD6322" w:rsidRDefault="00EF3C53" w:rsidP="00CD6322">
            <w:pPr>
              <w:jc w:val="center"/>
            </w:pPr>
            <w:r w:rsidRPr="00CD6322">
              <w:t>2.1.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EF3C53" w:rsidRPr="00CD6322" w:rsidRDefault="00EF3C53" w:rsidP="00CD6322">
            <w:r w:rsidRPr="00CD6322">
              <w:t xml:space="preserve">Основное мероприятие: предоставление субсидий молодым семьям на строительство жилых помещений в Ханты-Мансийском районе </w:t>
            </w:r>
          </w:p>
          <w:p w:rsidR="00EF3C53" w:rsidRPr="00CD6322" w:rsidRDefault="00EF3C53" w:rsidP="00CD6322">
            <w:r w:rsidRPr="00CD6322">
              <w:t>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EF3C53" w:rsidRPr="00CD6322" w:rsidRDefault="00EF3C53" w:rsidP="00CD6322">
            <w:r w:rsidRPr="00CD6322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EF3C53" w:rsidRPr="00CD6322" w:rsidRDefault="00EF3C53" w:rsidP="00CD6322">
            <w:r w:rsidRPr="00CD6322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</w:tr>
      <w:tr w:rsidR="00EF3C53" w:rsidRPr="00CD6322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EF3C53" w:rsidRPr="00CD6322" w:rsidRDefault="00EF3C53" w:rsidP="00CD6322"/>
        </w:tc>
        <w:tc>
          <w:tcPr>
            <w:tcW w:w="3585" w:type="dxa"/>
            <w:vMerge/>
            <w:hideMark/>
          </w:tcPr>
          <w:p w:rsidR="00EF3C53" w:rsidRPr="00CD6322" w:rsidRDefault="00EF3C53" w:rsidP="00CD6322"/>
        </w:tc>
        <w:tc>
          <w:tcPr>
            <w:tcW w:w="1577" w:type="dxa"/>
            <w:vMerge/>
            <w:hideMark/>
          </w:tcPr>
          <w:p w:rsidR="00EF3C53" w:rsidRPr="00CD6322" w:rsidRDefault="00EF3C53" w:rsidP="00CD6322"/>
        </w:tc>
        <w:tc>
          <w:tcPr>
            <w:tcW w:w="2470" w:type="dxa"/>
            <w:shd w:val="clear" w:color="auto" w:fill="auto"/>
            <w:hideMark/>
          </w:tcPr>
          <w:p w:rsidR="00EF3C53" w:rsidRPr="00CD6322" w:rsidRDefault="00EF3C53" w:rsidP="00CD6322">
            <w:r w:rsidRPr="00CD6322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0,0</w:t>
            </w:r>
          </w:p>
        </w:tc>
      </w:tr>
      <w:tr w:rsidR="00B03702" w:rsidRPr="00CD6322" w:rsidTr="007A1C81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B03702" w:rsidRPr="00CD6322" w:rsidRDefault="00B03702" w:rsidP="008A4E54">
            <w:pPr>
              <w:jc w:val="center"/>
            </w:pPr>
            <w:r w:rsidRPr="00CD6322">
              <w:t>2.2.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B03702" w:rsidRPr="00CD6322" w:rsidRDefault="00B03702" w:rsidP="008A4E54">
            <w:r w:rsidRPr="00CD6322">
              <w:t xml:space="preserve">Основное мероприятие: предоставление социальных выплат на оплату договора купли-продажи жилого помещения, договора строительного подряда 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      </w:r>
            <w:proofErr w:type="spellStart"/>
            <w:r w:rsidRPr="00CD6322">
              <w:t>софинансирования</w:t>
            </w:r>
            <w:proofErr w:type="spellEnd"/>
            <w:r w:rsidRPr="00CD6322">
              <w:t xml:space="preserve"> из федерального, окружного и местного бюджетов 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B03702" w:rsidRPr="00CD6322" w:rsidRDefault="00B03702" w:rsidP="008A4E54">
            <w:r w:rsidRPr="00CD6322"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B03702" w:rsidRPr="00CD6322" w:rsidRDefault="00B03702" w:rsidP="008A4E54">
            <w:r w:rsidRPr="00CD6322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4 350,7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932,6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1 323,1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1 048,7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1 046,3</w:t>
            </w:r>
          </w:p>
        </w:tc>
      </w:tr>
      <w:tr w:rsidR="00B03702" w:rsidRPr="00CD6322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B03702" w:rsidRPr="00CD6322" w:rsidRDefault="00B03702" w:rsidP="008A4E54"/>
        </w:tc>
        <w:tc>
          <w:tcPr>
            <w:tcW w:w="3585" w:type="dxa"/>
            <w:vMerge/>
            <w:hideMark/>
          </w:tcPr>
          <w:p w:rsidR="00B03702" w:rsidRPr="00CD6322" w:rsidRDefault="00B03702" w:rsidP="008A4E54"/>
        </w:tc>
        <w:tc>
          <w:tcPr>
            <w:tcW w:w="1577" w:type="dxa"/>
            <w:vMerge/>
            <w:hideMark/>
          </w:tcPr>
          <w:p w:rsidR="00B03702" w:rsidRPr="00CD6322" w:rsidRDefault="00B03702" w:rsidP="008A4E54"/>
        </w:tc>
        <w:tc>
          <w:tcPr>
            <w:tcW w:w="2470" w:type="dxa"/>
            <w:shd w:val="clear" w:color="auto" w:fill="auto"/>
            <w:hideMark/>
          </w:tcPr>
          <w:p w:rsidR="00B03702" w:rsidRPr="00CD6322" w:rsidRDefault="00B03702" w:rsidP="008A4E54">
            <w:r w:rsidRPr="00CD6322"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212,8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43,9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58,6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56,3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54,0</w:t>
            </w:r>
          </w:p>
        </w:tc>
      </w:tr>
      <w:tr w:rsidR="00B03702" w:rsidRPr="00CD6322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B03702" w:rsidRPr="00CD6322" w:rsidRDefault="00B03702" w:rsidP="008A4E54"/>
        </w:tc>
        <w:tc>
          <w:tcPr>
            <w:tcW w:w="3585" w:type="dxa"/>
            <w:vMerge/>
            <w:hideMark/>
          </w:tcPr>
          <w:p w:rsidR="00B03702" w:rsidRPr="00CD6322" w:rsidRDefault="00B03702" w:rsidP="008A4E54"/>
        </w:tc>
        <w:tc>
          <w:tcPr>
            <w:tcW w:w="1577" w:type="dxa"/>
            <w:vMerge/>
            <w:hideMark/>
          </w:tcPr>
          <w:p w:rsidR="00B03702" w:rsidRPr="00CD6322" w:rsidRDefault="00B03702" w:rsidP="008A4E54"/>
        </w:tc>
        <w:tc>
          <w:tcPr>
            <w:tcW w:w="2470" w:type="dxa"/>
            <w:shd w:val="clear" w:color="auto" w:fill="auto"/>
            <w:hideMark/>
          </w:tcPr>
          <w:p w:rsidR="00B03702" w:rsidRPr="00CD6322" w:rsidRDefault="00B03702" w:rsidP="008A4E54">
            <w:r w:rsidRPr="00CD6322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3 920,4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842,1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1 198,3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940,0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940,0</w:t>
            </w:r>
          </w:p>
        </w:tc>
      </w:tr>
      <w:tr w:rsidR="00B03702" w:rsidRPr="00CD6322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B03702" w:rsidRPr="00CD6322" w:rsidRDefault="00B03702" w:rsidP="008A4E54"/>
        </w:tc>
        <w:tc>
          <w:tcPr>
            <w:tcW w:w="3585" w:type="dxa"/>
            <w:vMerge/>
            <w:hideMark/>
          </w:tcPr>
          <w:p w:rsidR="00B03702" w:rsidRPr="00CD6322" w:rsidRDefault="00B03702" w:rsidP="008A4E54"/>
        </w:tc>
        <w:tc>
          <w:tcPr>
            <w:tcW w:w="1577" w:type="dxa"/>
            <w:vMerge/>
            <w:hideMark/>
          </w:tcPr>
          <w:p w:rsidR="00B03702" w:rsidRPr="00CD6322" w:rsidRDefault="00B03702" w:rsidP="008A4E54"/>
        </w:tc>
        <w:tc>
          <w:tcPr>
            <w:tcW w:w="2470" w:type="dxa"/>
            <w:shd w:val="clear" w:color="auto" w:fill="auto"/>
            <w:hideMark/>
          </w:tcPr>
          <w:p w:rsidR="00B03702" w:rsidRPr="00CD6322" w:rsidRDefault="00B03702" w:rsidP="008A4E54">
            <w:r w:rsidRPr="00CD6322"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217,5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52,4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52,3</w:t>
            </w:r>
          </w:p>
        </w:tc>
      </w:tr>
      <w:tr w:rsidR="00B03702" w:rsidRPr="00CD6322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B03702" w:rsidRPr="00CD6322" w:rsidRDefault="00B03702" w:rsidP="008A4E54"/>
        </w:tc>
        <w:tc>
          <w:tcPr>
            <w:tcW w:w="3585" w:type="dxa"/>
            <w:vMerge/>
            <w:hideMark/>
          </w:tcPr>
          <w:p w:rsidR="00B03702" w:rsidRPr="00CD6322" w:rsidRDefault="00B03702" w:rsidP="008A4E54"/>
        </w:tc>
        <w:tc>
          <w:tcPr>
            <w:tcW w:w="1577" w:type="dxa"/>
            <w:vMerge/>
            <w:hideMark/>
          </w:tcPr>
          <w:p w:rsidR="00B03702" w:rsidRPr="00CD6322" w:rsidRDefault="00B03702" w:rsidP="008A4E54"/>
        </w:tc>
        <w:tc>
          <w:tcPr>
            <w:tcW w:w="2470" w:type="dxa"/>
            <w:shd w:val="clear" w:color="auto" w:fill="auto"/>
            <w:hideMark/>
          </w:tcPr>
          <w:p w:rsidR="00B03702" w:rsidRPr="00CD6322" w:rsidRDefault="00B03702" w:rsidP="008A4E54">
            <w:r w:rsidRPr="00CD6322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</w:tr>
      <w:tr w:rsidR="00B03702" w:rsidRPr="00CD6322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B03702" w:rsidRPr="00CD6322" w:rsidRDefault="00B03702" w:rsidP="008A4E54"/>
        </w:tc>
        <w:tc>
          <w:tcPr>
            <w:tcW w:w="3585" w:type="dxa"/>
            <w:vMerge/>
            <w:hideMark/>
          </w:tcPr>
          <w:p w:rsidR="00B03702" w:rsidRPr="00CD6322" w:rsidRDefault="00B03702" w:rsidP="008A4E54"/>
        </w:tc>
        <w:tc>
          <w:tcPr>
            <w:tcW w:w="1577" w:type="dxa"/>
            <w:vMerge/>
            <w:hideMark/>
          </w:tcPr>
          <w:p w:rsidR="00B03702" w:rsidRPr="00CD6322" w:rsidRDefault="00B03702" w:rsidP="008A4E54"/>
        </w:tc>
        <w:tc>
          <w:tcPr>
            <w:tcW w:w="2470" w:type="dxa"/>
            <w:shd w:val="clear" w:color="auto" w:fill="auto"/>
            <w:hideMark/>
          </w:tcPr>
          <w:p w:rsidR="00B03702" w:rsidRPr="00CD6322" w:rsidRDefault="00B03702" w:rsidP="008A4E54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217,5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52,4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52,3</w:t>
            </w:r>
          </w:p>
        </w:tc>
      </w:tr>
      <w:tr w:rsidR="00EF3C53" w:rsidRPr="00CD6322" w:rsidTr="007A1C81">
        <w:trPr>
          <w:trHeight w:val="20"/>
        </w:trPr>
        <w:tc>
          <w:tcPr>
            <w:tcW w:w="1015" w:type="dxa"/>
            <w:vMerge w:val="restart"/>
            <w:shd w:val="clear" w:color="auto" w:fill="auto"/>
            <w:hideMark/>
          </w:tcPr>
          <w:p w:rsidR="00EF3C53" w:rsidRPr="00CD6322" w:rsidRDefault="00EF3C53" w:rsidP="00CD6322">
            <w:pPr>
              <w:jc w:val="center"/>
            </w:pPr>
            <w:r w:rsidRPr="00CD6322">
              <w:t>2.3.</w:t>
            </w:r>
          </w:p>
        </w:tc>
        <w:tc>
          <w:tcPr>
            <w:tcW w:w="3585" w:type="dxa"/>
            <w:vMerge w:val="restart"/>
            <w:shd w:val="clear" w:color="auto" w:fill="auto"/>
            <w:hideMark/>
          </w:tcPr>
          <w:p w:rsidR="00EF3C53" w:rsidRPr="00CD6322" w:rsidRDefault="00EF3C53" w:rsidP="00CD6322">
            <w:r w:rsidRPr="00CD6322"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</w:p>
          <w:p w:rsidR="00EF3C53" w:rsidRPr="00CD6322" w:rsidRDefault="00EF3C53" w:rsidP="00CD6322">
            <w:r w:rsidRPr="00CD6322">
              <w:t xml:space="preserve">от 31 марта 2009 года № 36-оз </w:t>
            </w:r>
          </w:p>
          <w:p w:rsidR="00EF3C53" w:rsidRPr="00CD6322" w:rsidRDefault="00EF3C53" w:rsidP="00CD6322">
            <w:r w:rsidRPr="00CD6322">
              <w:t xml:space="preserve">«О наделении органов местного </w:t>
            </w:r>
            <w:r w:rsidRPr="00CD6322">
              <w:lastRenderedPageBreak/>
              <w:t>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(показатель 2)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EF3C53" w:rsidRPr="00CD6322" w:rsidRDefault="00EF3C53" w:rsidP="00CD6322">
            <w:r w:rsidRPr="00CD6322">
              <w:lastRenderedPageBreak/>
              <w:t>департамент имущественных и земельных отношений</w:t>
            </w:r>
          </w:p>
        </w:tc>
        <w:tc>
          <w:tcPr>
            <w:tcW w:w="2470" w:type="dxa"/>
            <w:shd w:val="clear" w:color="auto" w:fill="auto"/>
            <w:hideMark/>
          </w:tcPr>
          <w:p w:rsidR="00EF3C53" w:rsidRPr="00CD6322" w:rsidRDefault="00EF3C53" w:rsidP="00CD6322">
            <w:r w:rsidRPr="00CD6322"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</w:tr>
      <w:tr w:rsidR="00EF3C53" w:rsidRPr="00CD6322" w:rsidTr="007A1C81">
        <w:trPr>
          <w:trHeight w:val="20"/>
        </w:trPr>
        <w:tc>
          <w:tcPr>
            <w:tcW w:w="1015" w:type="dxa"/>
            <w:vMerge/>
            <w:vAlign w:val="center"/>
            <w:hideMark/>
          </w:tcPr>
          <w:p w:rsidR="00EF3C53" w:rsidRPr="00CD6322" w:rsidRDefault="00EF3C53" w:rsidP="00CD6322"/>
        </w:tc>
        <w:tc>
          <w:tcPr>
            <w:tcW w:w="3585" w:type="dxa"/>
            <w:vMerge/>
            <w:tcBorders>
              <w:bottom w:val="single" w:sz="4" w:space="0" w:color="auto"/>
            </w:tcBorders>
            <w:hideMark/>
          </w:tcPr>
          <w:p w:rsidR="00EF3C53" w:rsidRPr="00CD6322" w:rsidRDefault="00EF3C53" w:rsidP="00CD6322"/>
        </w:tc>
        <w:tc>
          <w:tcPr>
            <w:tcW w:w="1577" w:type="dxa"/>
            <w:vMerge/>
            <w:tcBorders>
              <w:bottom w:val="single" w:sz="4" w:space="0" w:color="auto"/>
            </w:tcBorders>
            <w:hideMark/>
          </w:tcPr>
          <w:p w:rsidR="00EF3C53" w:rsidRPr="00CD6322" w:rsidRDefault="00EF3C53" w:rsidP="00CD6322"/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3C53" w:rsidRPr="00CD6322" w:rsidRDefault="00EF3C53" w:rsidP="00CD6322">
            <w:r w:rsidRPr="00CD6322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  <w:tc>
          <w:tcPr>
            <w:tcW w:w="992" w:type="dxa"/>
            <w:vAlign w:val="center"/>
          </w:tcPr>
          <w:p w:rsidR="00EF3C53" w:rsidRPr="002B279B" w:rsidRDefault="00EF3C53" w:rsidP="00CD6322">
            <w:pPr>
              <w:jc w:val="center"/>
            </w:pPr>
            <w:r w:rsidRPr="002B279B">
              <w:t>17,3</w:t>
            </w:r>
          </w:p>
        </w:tc>
      </w:tr>
      <w:tr w:rsidR="00724403" w:rsidRPr="00CD6322" w:rsidTr="007A1C81">
        <w:trPr>
          <w:trHeight w:val="20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24403" w:rsidRPr="00CD6322" w:rsidRDefault="00724403" w:rsidP="00CD6322">
            <w:pPr>
              <w:jc w:val="center"/>
            </w:pPr>
            <w:r w:rsidRPr="00CD6322">
              <w:lastRenderedPageBreak/>
              <w:t>2.4.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22" w:rsidRPr="00CD6322" w:rsidRDefault="00724403" w:rsidP="00CD6322">
            <w:r w:rsidRPr="00CD6322">
              <w:t xml:space="preserve">Основное мероприятие: Предоставление субсидий отдельным категориям граждан, установленным федеральными законами от 12 января 1995 года </w:t>
            </w:r>
          </w:p>
          <w:p w:rsidR="00724403" w:rsidRPr="00CD6322" w:rsidRDefault="00724403" w:rsidP="00CD6322">
            <w:r w:rsidRPr="00CD6322">
              <w:t>№ 5-ФЗ «О ветеранах» и от</w:t>
            </w:r>
            <w:r w:rsidR="00CD6322" w:rsidRPr="00CD6322">
              <w:t xml:space="preserve"> </w:t>
            </w:r>
            <w:r w:rsidRPr="00CD6322">
              <w:t>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 (показатель 2)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CD6322" w:rsidRDefault="00724403" w:rsidP="00CD6322">
            <w:r w:rsidRPr="00CD6322">
              <w:t>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CD6322" w:rsidRDefault="00724403" w:rsidP="00CD6322">
            <w:r w:rsidRPr="00CD6322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5 556,7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1 776,4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945,0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724403" w:rsidRPr="002B279B" w:rsidRDefault="00724403" w:rsidP="00CD6322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724403" w:rsidRPr="002B279B" w:rsidRDefault="00724403" w:rsidP="00CD6322">
            <w:pPr>
              <w:jc w:val="center"/>
            </w:pPr>
            <w:r w:rsidRPr="002B279B">
              <w:t>945,1</w:t>
            </w:r>
          </w:p>
        </w:tc>
      </w:tr>
      <w:tr w:rsidR="00724403" w:rsidRPr="00CD6322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24403" w:rsidRPr="00CD6322" w:rsidRDefault="00724403" w:rsidP="00CD6322">
            <w:pPr>
              <w:jc w:val="center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CD6322" w:rsidRDefault="00724403" w:rsidP="00CD6322"/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CD6322" w:rsidRDefault="00724403" w:rsidP="00CD6322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03" w:rsidRPr="00CD6322" w:rsidRDefault="00724403" w:rsidP="00CD6322">
            <w:r w:rsidRPr="00CD6322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5 556,7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1 776,4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945,0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24403" w:rsidRPr="002B279B" w:rsidRDefault="00724403" w:rsidP="00CD6322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724403" w:rsidRPr="002B279B" w:rsidRDefault="00724403" w:rsidP="00CD6322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724403" w:rsidRPr="002B279B" w:rsidRDefault="00724403" w:rsidP="00CD6322">
            <w:pPr>
              <w:jc w:val="center"/>
            </w:pPr>
            <w:r w:rsidRPr="002B279B">
              <w:t>945,1</w:t>
            </w:r>
          </w:p>
        </w:tc>
      </w:tr>
      <w:tr w:rsidR="0088233A" w:rsidRPr="00CD6322" w:rsidTr="007A1C81">
        <w:trPr>
          <w:trHeight w:val="20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pPr>
              <w:jc w:val="center"/>
            </w:pPr>
            <w:r w:rsidRPr="00CD6322">
              <w:t>2.5.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 xml:space="preserve">Основное мероприятие </w:t>
            </w:r>
            <w:r w:rsidR="00CD6322">
              <w:t>«</w:t>
            </w:r>
            <w:r w:rsidRPr="00CD6322">
              <w:t>Улучшение жилищных условий граждан, проживающих на сельских территориях</w:t>
            </w:r>
            <w:r w:rsidR="00CD6322">
              <w:t>»</w:t>
            </w:r>
          </w:p>
          <w:p w:rsidR="0088233A" w:rsidRPr="00CD6322" w:rsidRDefault="0088233A" w:rsidP="00CD6322">
            <w:r w:rsidRPr="00CD6322">
              <w:t>(показатель 2)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>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</w:tr>
      <w:tr w:rsidR="0088233A" w:rsidRPr="00CD6322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</w:tr>
      <w:tr w:rsidR="0088233A" w:rsidRPr="00CD6322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</w:tr>
      <w:tr w:rsidR="0088233A" w:rsidRPr="00CD6322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 xml:space="preserve">бюджет района – всего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</w:tr>
      <w:tr w:rsidR="0088233A" w:rsidRPr="00CD6322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2B279B" w:rsidRDefault="0088233A" w:rsidP="00CD632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</w:p>
        </w:tc>
      </w:tr>
      <w:tr w:rsidR="0088233A" w:rsidRPr="00CD6322" w:rsidTr="007A1C81">
        <w:trPr>
          <w:trHeight w:val="20"/>
        </w:trPr>
        <w:tc>
          <w:tcPr>
            <w:tcW w:w="101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pPr>
              <w:jc w:val="center"/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3A" w:rsidRPr="00CD6322" w:rsidRDefault="0088233A" w:rsidP="00CD6322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88233A" w:rsidRPr="002B279B" w:rsidRDefault="0088233A" w:rsidP="00CD6322">
            <w:pPr>
              <w:jc w:val="center"/>
            </w:pPr>
            <w:r w:rsidRPr="002B279B">
              <w:t>0,0</w:t>
            </w:r>
          </w:p>
        </w:tc>
      </w:tr>
      <w:tr w:rsidR="00B03702" w:rsidRPr="00CD6322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>ИТОГО по подпрограмме II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10 513,1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3 245,5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2 285,4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962,4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2 011,1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2 008,7</w:t>
            </w:r>
          </w:p>
        </w:tc>
      </w:tr>
      <w:tr w:rsidR="00B03702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02" w:rsidRPr="00CD6322" w:rsidRDefault="00B03702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5 769,5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1 001,4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999,1</w:t>
            </w:r>
          </w:p>
        </w:tc>
      </w:tr>
      <w:tr w:rsidR="00B03702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02" w:rsidRPr="00CD6322" w:rsidRDefault="00B03702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4 006,9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859,4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1 215,6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17,3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957,3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957,3</w:t>
            </w:r>
          </w:p>
        </w:tc>
      </w:tr>
      <w:tr w:rsidR="00B03702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02" w:rsidRPr="00CD6322" w:rsidRDefault="00B03702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736,7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565,8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52,4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52,3</w:t>
            </w:r>
          </w:p>
        </w:tc>
      </w:tr>
      <w:tr w:rsidR="00B03702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02" w:rsidRPr="00CD6322" w:rsidRDefault="00B03702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 </w:t>
            </w:r>
          </w:p>
        </w:tc>
      </w:tr>
      <w:tr w:rsidR="00B03702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02" w:rsidRPr="00CD6322" w:rsidRDefault="00B03702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0,0</w:t>
            </w:r>
          </w:p>
        </w:tc>
      </w:tr>
      <w:tr w:rsidR="00B03702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02" w:rsidRPr="00CD6322" w:rsidRDefault="00B03702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2" w:rsidRPr="00CD6322" w:rsidRDefault="00B03702" w:rsidP="008A4E54">
            <w:r w:rsidRPr="00CD6322">
              <w:t xml:space="preserve">средства бюджета района </w:t>
            </w:r>
            <w:r w:rsidRPr="00CD6322">
              <w:lastRenderedPageBreak/>
              <w:t xml:space="preserve">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3702" w:rsidRPr="002B279B" w:rsidRDefault="00B03702">
            <w:pPr>
              <w:jc w:val="center"/>
            </w:pPr>
            <w:r w:rsidRPr="002B279B">
              <w:lastRenderedPageBreak/>
              <w:t>217,5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3702" w:rsidRPr="002B279B" w:rsidRDefault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52,4</w:t>
            </w:r>
          </w:p>
        </w:tc>
        <w:tc>
          <w:tcPr>
            <w:tcW w:w="992" w:type="dxa"/>
            <w:vAlign w:val="center"/>
          </w:tcPr>
          <w:p w:rsidR="00B03702" w:rsidRPr="002B279B" w:rsidRDefault="00B03702" w:rsidP="00B03702">
            <w:pPr>
              <w:jc w:val="center"/>
            </w:pPr>
            <w:r w:rsidRPr="002B279B">
              <w:t>52,3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lastRenderedPageBreak/>
              <w:t>Всего по муниципальной программе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649 763,9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264 506,5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148 315,8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152 028,0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54 536,2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30 377,4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5 769,5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1 001,4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999,1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584 591,0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238 606,9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134 103,3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136 352,9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48 755,1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26 772,8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59 403,4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24 079,3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13 208,9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4 779,7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2 605,5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 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0,0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52,4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52,3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 за счет средств бюджета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58 666,7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23 513,5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4 727,3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2 553,2</w:t>
            </w:r>
          </w:p>
        </w:tc>
      </w:tr>
      <w:tr w:rsidR="006B4E98" w:rsidRPr="00CD6322" w:rsidTr="007A1C81">
        <w:trPr>
          <w:trHeight w:val="20"/>
        </w:trPr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CD6322" w:rsidRDefault="006B4E98" w:rsidP="00CD6322">
            <w:r w:rsidRPr="00CD6322"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CD6322" w:rsidRDefault="006B4E98" w:rsidP="00CD6322">
            <w:r w:rsidRPr="00CD6322"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</w:tr>
      <w:tr w:rsidR="00AA27E1" w:rsidRPr="00CD6322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CD6322" w:rsidRDefault="00AA27E1" w:rsidP="00CD6322">
            <w:r w:rsidRPr="00CD6322">
              <w:t>Инвестиции в объекты муниципальной собственности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CD6322" w:rsidRDefault="00AA27E1" w:rsidP="00CD6322">
            <w:r w:rsidRPr="00CD6322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</w:tr>
      <w:tr w:rsidR="00AA27E1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E1" w:rsidRPr="00CD6322" w:rsidRDefault="00AA27E1" w:rsidP="00CD6322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E1" w:rsidRPr="00CD6322" w:rsidRDefault="00AA27E1" w:rsidP="00CD6322">
            <w:r w:rsidRPr="00CD6322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AA27E1" w:rsidRPr="002B279B" w:rsidRDefault="00AA27E1" w:rsidP="00CD6322">
            <w:pPr>
              <w:jc w:val="center"/>
            </w:pPr>
            <w:r w:rsidRPr="002B279B">
              <w:t>0,0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Прочие расходы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649 763,9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264 506,5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148 315,8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152 028,0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54 536,2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30 377,4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5 769,5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1 001,4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999,1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584 591,0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238 606,9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134 103,3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136 352,9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48 755,1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26 772,8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бюджет района – 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59 403,4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24 079,3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13 208,9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4 779,7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2 605,5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 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средства бюджета района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0,0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52,4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52,3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58 666,7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23 513,5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4 727,3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2 553,2</w:t>
            </w:r>
          </w:p>
        </w:tc>
      </w:tr>
      <w:tr w:rsidR="006B4E98" w:rsidRPr="00CD6322" w:rsidTr="007A1C81">
        <w:trPr>
          <w:trHeight w:val="20"/>
        </w:trPr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CD6322" w:rsidRDefault="006B4E98" w:rsidP="00CD6322">
            <w:r w:rsidRPr="00CD6322"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98" w:rsidRPr="00CD6322" w:rsidRDefault="006B4E98" w:rsidP="00CD6322">
            <w:r w:rsidRPr="00CD6322"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  <w:tc>
          <w:tcPr>
            <w:tcW w:w="992" w:type="dxa"/>
            <w:vAlign w:val="center"/>
          </w:tcPr>
          <w:p w:rsidR="006B4E98" w:rsidRPr="002B279B" w:rsidRDefault="006B4E98" w:rsidP="00CD6322">
            <w:pPr>
              <w:jc w:val="center"/>
            </w:pP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lastRenderedPageBreak/>
              <w:t>Ответственный исполнитель: департамент имущественных и земельных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649 763,9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264 506,5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148 315,8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152 028,0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54 536,2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30 377,4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5 769,5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1 820,3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1 003,6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945,1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1 001,4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999,1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бюджет автономного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584 591,0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238 606,9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134 103,3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136 352,9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48 755,1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26 772,8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tcBorders>
              <w:top w:val="single" w:sz="4" w:space="0" w:color="auto"/>
            </w:tcBorders>
            <w:hideMark/>
          </w:tcPr>
          <w:p w:rsidR="00753FF3" w:rsidRPr="00CD6322" w:rsidRDefault="00753FF3" w:rsidP="008A4E54"/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53FF3" w:rsidRPr="00CD6322" w:rsidRDefault="00753FF3" w:rsidP="008A4E54">
            <w:r w:rsidRPr="00CD6322">
              <w:t>бюджет района –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59 403,4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24 079,3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13 208,9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4 779,7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2 605,5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53FF3" w:rsidRPr="00CD6322" w:rsidRDefault="00753FF3" w:rsidP="008A4E54"/>
        </w:tc>
        <w:tc>
          <w:tcPr>
            <w:tcW w:w="2470" w:type="dxa"/>
            <w:shd w:val="clear" w:color="auto" w:fill="auto"/>
            <w:hideMark/>
          </w:tcPr>
          <w:p w:rsidR="00753FF3" w:rsidRPr="00CD6322" w:rsidRDefault="00753FF3" w:rsidP="008A4E54">
            <w:r w:rsidRPr="00CD6322"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 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 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53FF3" w:rsidRPr="00CD6322" w:rsidRDefault="00753FF3" w:rsidP="008A4E54"/>
        </w:tc>
        <w:tc>
          <w:tcPr>
            <w:tcW w:w="2470" w:type="dxa"/>
            <w:shd w:val="clear" w:color="auto" w:fill="auto"/>
            <w:hideMark/>
          </w:tcPr>
          <w:p w:rsidR="00753FF3" w:rsidRPr="00CD6322" w:rsidRDefault="00753FF3" w:rsidP="008A4E54">
            <w:r w:rsidRPr="00CD6322"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0,0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53FF3" w:rsidRPr="00CD6322" w:rsidRDefault="00753FF3" w:rsidP="008A4E54"/>
        </w:tc>
        <w:tc>
          <w:tcPr>
            <w:tcW w:w="2470" w:type="dxa"/>
            <w:shd w:val="clear" w:color="auto" w:fill="auto"/>
            <w:hideMark/>
          </w:tcPr>
          <w:p w:rsidR="00753FF3" w:rsidRPr="00CD6322" w:rsidRDefault="00753FF3" w:rsidP="008A4E54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66,2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52,4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52,3</w:t>
            </w:r>
          </w:p>
        </w:tc>
      </w:tr>
      <w:tr w:rsidR="00753FF3" w:rsidRPr="00CD6322" w:rsidTr="007A1C81">
        <w:trPr>
          <w:trHeight w:val="20"/>
        </w:trPr>
        <w:tc>
          <w:tcPr>
            <w:tcW w:w="6177" w:type="dxa"/>
            <w:gridSpan w:val="3"/>
            <w:vMerge/>
            <w:hideMark/>
          </w:tcPr>
          <w:p w:rsidR="00753FF3" w:rsidRPr="00CD6322" w:rsidRDefault="00753FF3" w:rsidP="008A4E54"/>
        </w:tc>
        <w:tc>
          <w:tcPr>
            <w:tcW w:w="2470" w:type="dxa"/>
            <w:shd w:val="clear" w:color="auto" w:fill="auto"/>
            <w:hideMark/>
          </w:tcPr>
          <w:p w:rsidR="00753FF3" w:rsidRPr="00CD6322" w:rsidRDefault="00753FF3" w:rsidP="008A4E54">
            <w:r w:rsidRPr="00CD6322">
              <w:t xml:space="preserve">средства бюджета района на </w:t>
            </w:r>
            <w:proofErr w:type="spellStart"/>
            <w:r w:rsidRPr="00CD6322">
              <w:t>софинансирование</w:t>
            </w:r>
            <w:proofErr w:type="spellEnd"/>
            <w:r w:rsidRPr="00CD6322"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58 666,7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  <w:rPr>
                <w:color w:val="000000"/>
              </w:rPr>
            </w:pPr>
            <w:r w:rsidRPr="002B279B">
              <w:rPr>
                <w:color w:val="000000"/>
              </w:rPr>
              <w:t>23 513,5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13 142,7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3FF3" w:rsidRPr="002B279B" w:rsidRDefault="00753FF3">
            <w:pPr>
              <w:jc w:val="center"/>
            </w:pPr>
            <w:r w:rsidRPr="002B279B">
              <w:t>14 730,0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4 727,3</w:t>
            </w:r>
          </w:p>
        </w:tc>
        <w:tc>
          <w:tcPr>
            <w:tcW w:w="992" w:type="dxa"/>
            <w:vAlign w:val="center"/>
          </w:tcPr>
          <w:p w:rsidR="00753FF3" w:rsidRPr="002B279B" w:rsidRDefault="00753FF3" w:rsidP="00B03702">
            <w:pPr>
              <w:jc w:val="center"/>
            </w:pPr>
            <w:r w:rsidRPr="002B279B">
              <w:t>2 553,2</w:t>
            </w:r>
          </w:p>
        </w:tc>
      </w:tr>
      <w:bookmarkEnd w:id="3"/>
    </w:tbl>
    <w:p w:rsidR="00011D72" w:rsidRPr="00A352D3" w:rsidRDefault="00011D72" w:rsidP="00CD6322">
      <w:pPr>
        <w:widowControl w:val="0"/>
        <w:autoSpaceDE w:val="0"/>
        <w:autoSpaceDN w:val="0"/>
        <w:jc w:val="right"/>
        <w:outlineLvl w:val="2"/>
        <w:rPr>
          <w:sz w:val="24"/>
          <w:szCs w:val="28"/>
        </w:rPr>
      </w:pPr>
    </w:p>
    <w:p w:rsidR="00011D72" w:rsidRPr="00D61141" w:rsidRDefault="00011D72" w:rsidP="00CD6322">
      <w:pPr>
        <w:tabs>
          <w:tab w:val="left" w:pos="1540"/>
        </w:tabs>
        <w:jc w:val="right"/>
        <w:rPr>
          <w:sz w:val="28"/>
          <w:szCs w:val="28"/>
        </w:rPr>
      </w:pPr>
      <w:r w:rsidRPr="00D61141">
        <w:rPr>
          <w:sz w:val="28"/>
          <w:szCs w:val="28"/>
        </w:rPr>
        <w:t>Таблица 3</w:t>
      </w:r>
    </w:p>
    <w:p w:rsidR="00011D72" w:rsidRPr="00A352D3" w:rsidRDefault="00011D72" w:rsidP="00CD6322">
      <w:pPr>
        <w:tabs>
          <w:tab w:val="left" w:pos="1540"/>
        </w:tabs>
        <w:jc w:val="right"/>
        <w:rPr>
          <w:sz w:val="22"/>
          <w:szCs w:val="28"/>
        </w:rPr>
      </w:pPr>
    </w:p>
    <w:p w:rsidR="00011D72" w:rsidRDefault="00EF769C" w:rsidP="00CD6322">
      <w:pPr>
        <w:widowControl w:val="0"/>
        <w:autoSpaceDE w:val="0"/>
        <w:autoSpaceDN w:val="0"/>
        <w:ind w:right="-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Мероприятия, реализуемые на принципах проектного управления, направленные в том числе на достижение национальных целей развития Российской Федерации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3905"/>
        <w:gridCol w:w="2898"/>
        <w:gridCol w:w="1196"/>
        <w:gridCol w:w="1109"/>
        <w:gridCol w:w="999"/>
        <w:gridCol w:w="1016"/>
        <w:gridCol w:w="1092"/>
        <w:gridCol w:w="1106"/>
      </w:tblGrid>
      <w:tr w:rsidR="00EF769C" w:rsidRPr="003B597C" w:rsidTr="00CD6322">
        <w:trPr>
          <w:trHeight w:val="20"/>
        </w:trPr>
        <w:tc>
          <w:tcPr>
            <w:tcW w:w="279" w:type="pct"/>
            <w:vMerge w:val="restart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№ п/п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Наименование проекта или мероприятия</w:t>
            </w:r>
          </w:p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pct"/>
            <w:vMerge w:val="restart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Источники финансирования</w:t>
            </w:r>
          </w:p>
        </w:tc>
        <w:tc>
          <w:tcPr>
            <w:tcW w:w="2310" w:type="pct"/>
            <w:gridSpan w:val="6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Параметры финансового обеспечения, тыс. рублей</w:t>
            </w:r>
          </w:p>
        </w:tc>
      </w:tr>
      <w:tr w:rsidR="00EF769C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vMerge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всего</w:t>
            </w:r>
          </w:p>
        </w:tc>
        <w:tc>
          <w:tcPr>
            <w:tcW w:w="393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2019 г.</w:t>
            </w:r>
          </w:p>
        </w:tc>
        <w:tc>
          <w:tcPr>
            <w:tcW w:w="354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2020 г.</w:t>
            </w:r>
          </w:p>
        </w:tc>
        <w:tc>
          <w:tcPr>
            <w:tcW w:w="360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2021 г.</w:t>
            </w:r>
          </w:p>
        </w:tc>
        <w:tc>
          <w:tcPr>
            <w:tcW w:w="387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2022 г.</w:t>
            </w:r>
          </w:p>
        </w:tc>
        <w:tc>
          <w:tcPr>
            <w:tcW w:w="392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033">
              <w:t>2023 г.</w:t>
            </w:r>
          </w:p>
        </w:tc>
      </w:tr>
      <w:tr w:rsidR="00EF769C" w:rsidRPr="003B597C" w:rsidTr="00CD6322">
        <w:trPr>
          <w:trHeight w:val="20"/>
        </w:trPr>
        <w:tc>
          <w:tcPr>
            <w:tcW w:w="279" w:type="pct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1</w:t>
            </w:r>
          </w:p>
        </w:tc>
        <w:tc>
          <w:tcPr>
            <w:tcW w:w="1384" w:type="pct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2</w:t>
            </w:r>
          </w:p>
        </w:tc>
        <w:tc>
          <w:tcPr>
            <w:tcW w:w="1027" w:type="pct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3</w:t>
            </w:r>
          </w:p>
        </w:tc>
        <w:tc>
          <w:tcPr>
            <w:tcW w:w="424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4</w:t>
            </w:r>
          </w:p>
        </w:tc>
        <w:tc>
          <w:tcPr>
            <w:tcW w:w="393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5</w:t>
            </w:r>
          </w:p>
        </w:tc>
        <w:tc>
          <w:tcPr>
            <w:tcW w:w="354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6</w:t>
            </w:r>
          </w:p>
        </w:tc>
        <w:tc>
          <w:tcPr>
            <w:tcW w:w="360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7</w:t>
            </w:r>
          </w:p>
        </w:tc>
        <w:tc>
          <w:tcPr>
            <w:tcW w:w="387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8</w:t>
            </w:r>
          </w:p>
        </w:tc>
        <w:tc>
          <w:tcPr>
            <w:tcW w:w="392" w:type="pct"/>
            <w:shd w:val="clear" w:color="auto" w:fill="auto"/>
          </w:tcPr>
          <w:p w:rsidR="00EF769C" w:rsidRPr="002A6033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A6033">
              <w:t>9</w:t>
            </w:r>
          </w:p>
        </w:tc>
      </w:tr>
      <w:tr w:rsidR="00EF769C" w:rsidRPr="003B597C" w:rsidTr="00CD63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Портфели проектов, основанные на национальных и федеральных проектах Российской Федерации</w:t>
            </w:r>
            <w:r>
              <w:t xml:space="preserve"> (участие в которых принимает Ханты-Мансийский район)</w:t>
            </w:r>
          </w:p>
        </w:tc>
      </w:tr>
      <w:tr w:rsidR="00EF769C" w:rsidRPr="003B597C" w:rsidTr="00CD63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EF769C" w:rsidRPr="003B597C" w:rsidRDefault="00EF769C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B597C">
              <w:t>Наименование портфеля проектов</w:t>
            </w:r>
            <w:r>
              <w:t xml:space="preserve"> </w:t>
            </w:r>
            <w:r w:rsidRPr="00C33F07">
              <w:rPr>
                <w:sz w:val="22"/>
                <w:szCs w:val="22"/>
              </w:rPr>
              <w:t>«Жилье и городская среда»</w:t>
            </w:r>
          </w:p>
        </w:tc>
      </w:tr>
      <w:tr w:rsidR="007A1C81" w:rsidRPr="003B597C" w:rsidTr="00CD6322">
        <w:trPr>
          <w:trHeight w:val="20"/>
        </w:trPr>
        <w:tc>
          <w:tcPr>
            <w:tcW w:w="279" w:type="pct"/>
            <w:vMerge w:val="restar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7C">
              <w:t>1</w:t>
            </w:r>
            <w:r w:rsidR="00CD6322">
              <w:t>.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7A1C81" w:rsidRDefault="007A1C81" w:rsidP="00CD6322">
            <w:pPr>
              <w:widowControl w:val="0"/>
              <w:autoSpaceDE w:val="0"/>
              <w:autoSpaceDN w:val="0"/>
              <w:adjustRightInd w:val="0"/>
            </w:pPr>
            <w:r>
              <w:t>Мероприятие № 1.2. «</w:t>
            </w:r>
            <w:r w:rsidRPr="00AB5BD4">
              <w:t>Основное мероприятие: Федеральный проект «Обеспечение устойчивого сокращения непригодного для проживания жилищного фонда»</w:t>
            </w:r>
          </w:p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>
              <w:t>Региональный п</w:t>
            </w:r>
            <w:r w:rsidRPr="003B597C">
              <w:t xml:space="preserve">роект </w:t>
            </w:r>
            <w:r w:rsidRPr="00C33F07">
              <w:rPr>
                <w:sz w:val="22"/>
                <w:szCs w:val="22"/>
              </w:rPr>
              <w:t xml:space="preserve">«Обеспечение устойчивого сокращения непригодного для проживания жилищного фонда» </w:t>
            </w:r>
            <w:r w:rsidRPr="003B597C">
              <w:t xml:space="preserve"> </w:t>
            </w:r>
            <w:r w:rsidRPr="00AB5BD4">
              <w:t xml:space="preserve">(показатели </w:t>
            </w:r>
            <w:r>
              <w:t>3, 4</w:t>
            </w:r>
            <w:r w:rsidRPr="00AB5BD4">
              <w:t>)</w:t>
            </w:r>
            <w:r w:rsidRPr="003B597C">
              <w:t xml:space="preserve">, </w:t>
            </w:r>
            <w:r w:rsidRPr="003B597C">
              <w:br/>
              <w:t>срок реализации (</w:t>
            </w:r>
            <w:r>
              <w:t>01.01.2019</w:t>
            </w:r>
            <w:r w:rsidRPr="003B597C">
              <w:t xml:space="preserve"> </w:t>
            </w:r>
            <w:r>
              <w:t>–</w:t>
            </w:r>
            <w:r w:rsidRPr="003B597C">
              <w:t xml:space="preserve"> </w:t>
            </w:r>
            <w:r>
              <w:t>31.12.20</w:t>
            </w:r>
            <w:r w:rsidR="008C45A1">
              <w:t>21</w:t>
            </w:r>
            <w:r w:rsidRPr="003B597C">
              <w:t>)</w:t>
            </w: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281 966,9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186 438,4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53FF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95 528,</w:t>
            </w:r>
            <w:r w:rsidR="00753FF3">
              <w:rPr>
                <w:sz w:val="22"/>
                <w:szCs w:val="22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федеральный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7A1C81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256 589,8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169 658,9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CD6322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86 930,9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местный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25 377,1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16 779,5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53FF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8 597,</w:t>
            </w:r>
            <w:r w:rsidR="00753FF3">
              <w:rPr>
                <w:sz w:val="22"/>
                <w:szCs w:val="22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7A1C81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 w:val="restar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3B597C">
              <w:t>Итого по портфелю проектов 1</w:t>
            </w: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281 966,9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186 438,4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53FF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95 528,</w:t>
            </w:r>
            <w:r w:rsidR="00753FF3">
              <w:rPr>
                <w:sz w:val="22"/>
                <w:szCs w:val="22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федеральный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C81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049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256 589,8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169 658,9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CD6322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86 930,9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7A1C81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местный бюджет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25 377,1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16 779,5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A1C81" w:rsidRDefault="007A1C81" w:rsidP="00CD6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1C81" w:rsidRPr="007A1C81" w:rsidRDefault="007A1C81" w:rsidP="00753FF3">
            <w:pPr>
              <w:jc w:val="center"/>
              <w:rPr>
                <w:sz w:val="22"/>
                <w:szCs w:val="22"/>
              </w:rPr>
            </w:pPr>
            <w:r w:rsidRPr="007A1C81">
              <w:rPr>
                <w:sz w:val="22"/>
                <w:szCs w:val="22"/>
              </w:rPr>
              <w:t>8 597,</w:t>
            </w:r>
            <w:r w:rsidR="00753FF3">
              <w:rPr>
                <w:sz w:val="22"/>
                <w:szCs w:val="22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F07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A1C81" w:rsidRPr="003B597C" w:rsidRDefault="007A1C81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  <w:tr w:rsidR="002A6033" w:rsidRPr="003B597C" w:rsidTr="00CD6322">
        <w:trPr>
          <w:trHeight w:val="20"/>
        </w:trPr>
        <w:tc>
          <w:tcPr>
            <w:tcW w:w="279" w:type="pct"/>
            <w:vMerge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pct"/>
            <w:vMerge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pct"/>
            <w:shd w:val="clear" w:color="auto" w:fill="auto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</w:pPr>
            <w:r w:rsidRPr="003B597C"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24F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A6033" w:rsidRPr="003B597C" w:rsidRDefault="002A6033" w:rsidP="00CD63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F3E">
              <w:rPr>
                <w:sz w:val="22"/>
                <w:szCs w:val="22"/>
              </w:rPr>
              <w:t>0,0</w:t>
            </w:r>
          </w:p>
        </w:tc>
      </w:tr>
    </w:tbl>
    <w:p w:rsidR="00EF769C" w:rsidRDefault="00EF769C" w:rsidP="00CD6322">
      <w:pPr>
        <w:contextualSpacing/>
        <w:jc w:val="center"/>
        <w:rPr>
          <w:sz w:val="28"/>
          <w:szCs w:val="28"/>
        </w:rPr>
      </w:pPr>
    </w:p>
    <w:p w:rsidR="00011D72" w:rsidRDefault="00011D72" w:rsidP="00CD6322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A6D04">
        <w:rPr>
          <w:rFonts w:eastAsia="Times New Roman"/>
          <w:sz w:val="28"/>
          <w:szCs w:val="28"/>
        </w:rPr>
        <w:t>Таблица 4</w:t>
      </w:r>
    </w:p>
    <w:p w:rsidR="00011D72" w:rsidRPr="004D08AB" w:rsidRDefault="00011D72" w:rsidP="00CD632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</w:t>
      </w:r>
      <w:r w:rsidRPr="004D08AB">
        <w:rPr>
          <w:sz w:val="28"/>
          <w:szCs w:val="28"/>
        </w:rPr>
        <w:t>муниципальных заданий</w:t>
      </w:r>
    </w:p>
    <w:p w:rsidR="00011D72" w:rsidRPr="00EB40D0" w:rsidRDefault="00011D72" w:rsidP="00CD6322">
      <w:pPr>
        <w:pStyle w:val="ConsPlusNormal"/>
        <w:jc w:val="both"/>
      </w:pPr>
    </w:p>
    <w:tbl>
      <w:tblPr>
        <w:tblW w:w="145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4681"/>
        <w:gridCol w:w="4290"/>
        <w:gridCol w:w="883"/>
        <w:gridCol w:w="882"/>
        <w:gridCol w:w="883"/>
        <w:gridCol w:w="2353"/>
      </w:tblGrid>
      <w:tr w:rsidR="00011D72" w:rsidRPr="00EB40D0" w:rsidTr="002A6033">
        <w:trPr>
          <w:trHeight w:val="554"/>
        </w:trPr>
        <w:tc>
          <w:tcPr>
            <w:tcW w:w="5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Default="00011D72" w:rsidP="00CD6322">
            <w:pPr>
              <w:pStyle w:val="ConsPlusNormal"/>
              <w:jc w:val="center"/>
            </w:pPr>
            <w:r>
              <w:t>№</w:t>
            </w:r>
          </w:p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п/п</w:t>
            </w:r>
          </w:p>
        </w:tc>
        <w:tc>
          <w:tcPr>
            <w:tcW w:w="46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 xml:space="preserve">Наименование муниципальных </w:t>
            </w:r>
            <w:r w:rsidRPr="00EB40D0">
              <w:t>услуг (работ)</w:t>
            </w:r>
          </w:p>
        </w:tc>
        <w:tc>
          <w:tcPr>
            <w:tcW w:w="429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64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 xml:space="preserve">Значения показателя </w:t>
            </w:r>
            <w:r>
              <w:br/>
            </w:r>
            <w:r w:rsidRPr="00EB40D0">
              <w:t>по годам</w:t>
            </w:r>
          </w:p>
        </w:tc>
        <w:tc>
          <w:tcPr>
            <w:tcW w:w="23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Значение показателя на момент окончания реализации муниципальной программы</w:t>
            </w:r>
          </w:p>
        </w:tc>
      </w:tr>
      <w:tr w:rsidR="00011D72" w:rsidRPr="00EB40D0" w:rsidTr="002A6033">
        <w:trPr>
          <w:trHeight w:val="149"/>
        </w:trPr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/>
        </w:tc>
        <w:tc>
          <w:tcPr>
            <w:tcW w:w="46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/>
        </w:tc>
        <w:tc>
          <w:tcPr>
            <w:tcW w:w="429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/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20</w:t>
            </w:r>
            <w:r>
              <w:t>19 год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20</w:t>
            </w:r>
            <w:r>
              <w:t>20 год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/>
        </w:tc>
      </w:tr>
      <w:tr w:rsidR="00011D72" w:rsidRPr="00EB40D0" w:rsidTr="002A6033">
        <w:trPr>
          <w:trHeight w:val="277"/>
        </w:trPr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46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42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3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4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5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6</w:t>
            </w:r>
          </w:p>
        </w:tc>
        <w:tc>
          <w:tcPr>
            <w:tcW w:w="23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7</w:t>
            </w:r>
          </w:p>
        </w:tc>
      </w:tr>
      <w:tr w:rsidR="00011D72" w:rsidRPr="00EB40D0" w:rsidTr="002A6033">
        <w:trPr>
          <w:trHeight w:val="277"/>
        </w:trPr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42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397ED5" w:rsidRDefault="00011D72" w:rsidP="00CD6322">
      <w:pPr>
        <w:ind w:firstLine="709"/>
        <w:jc w:val="both"/>
      </w:pPr>
      <w:r w:rsidRPr="00397ED5">
        <w:t>* В рамках муниципальной программы не предусмотрена реализация муниципальных услуг (работ), в том числе посредством подведомственных учреждений</w:t>
      </w:r>
      <w:r>
        <w:t>.</w:t>
      </w:r>
    </w:p>
    <w:p w:rsidR="00011D72" w:rsidRPr="00A03F90" w:rsidRDefault="00011D72" w:rsidP="00CD6322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210049">
        <w:rPr>
          <w:sz w:val="28"/>
          <w:szCs w:val="28"/>
        </w:rPr>
        <w:t>5</w:t>
      </w:r>
    </w:p>
    <w:p w:rsidR="00011D72" w:rsidRPr="004D08AB" w:rsidRDefault="00011D72" w:rsidP="00CD6322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капитального строительства</w:t>
      </w:r>
      <w:r>
        <w:rPr>
          <w:sz w:val="28"/>
          <w:szCs w:val="28"/>
        </w:rPr>
        <w:t>*</w:t>
      </w:r>
    </w:p>
    <w:p w:rsidR="00011D72" w:rsidRPr="00950EC9" w:rsidRDefault="00011D72" w:rsidP="00CD6322">
      <w:pPr>
        <w:pStyle w:val="ConsPlusNormal"/>
        <w:jc w:val="both"/>
      </w:pPr>
    </w:p>
    <w:tbl>
      <w:tblPr>
        <w:tblW w:w="146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5514"/>
        <w:gridCol w:w="2075"/>
        <w:gridCol w:w="3410"/>
        <w:gridCol w:w="2964"/>
      </w:tblGrid>
      <w:tr w:rsidR="00011D72" w:rsidRPr="00950EC9" w:rsidTr="002A6033">
        <w:trPr>
          <w:trHeight w:val="45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Default="00011D72" w:rsidP="00CD6322">
            <w:pPr>
              <w:pStyle w:val="ConsPlusNormal"/>
              <w:jc w:val="center"/>
            </w:pPr>
            <w:r>
              <w:t>№</w:t>
            </w:r>
          </w:p>
          <w:p w:rsidR="00011D72" w:rsidRPr="00950EC9" w:rsidRDefault="00011D72" w:rsidP="00CD6322">
            <w:pPr>
              <w:pStyle w:val="ConsPlusNormal"/>
              <w:jc w:val="center"/>
            </w:pPr>
            <w:r w:rsidRPr="00950EC9">
              <w:t>п/п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 w:rsidRPr="00950EC9">
              <w:t>Наименование объекта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 w:rsidRPr="00950EC9">
              <w:t>Мощность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 w:rsidRPr="00950EC9">
              <w:t>Срок строительства, проектирования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9A2B8A" w:rsidP="00CD6322">
            <w:pPr>
              <w:pStyle w:val="ConsPlusNormal"/>
              <w:jc w:val="center"/>
            </w:pPr>
            <w:r w:rsidRPr="009A2B8A">
              <w:t>Механизм реализации</w:t>
            </w:r>
          </w:p>
        </w:tc>
      </w:tr>
      <w:tr w:rsidR="00011D72" w:rsidRPr="00950EC9" w:rsidTr="002A6033">
        <w:trPr>
          <w:trHeight w:val="22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 w:rsidRPr="00950EC9">
              <w:t>1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5</w:t>
            </w:r>
          </w:p>
        </w:tc>
      </w:tr>
      <w:tr w:rsidR="00011D72" w:rsidRPr="00950EC9" w:rsidTr="002A6033">
        <w:trPr>
          <w:trHeight w:val="228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 w:rsidRPr="00950EC9">
              <w:t>1</w:t>
            </w:r>
            <w:r>
              <w:t>.</w:t>
            </w:r>
          </w:p>
        </w:tc>
        <w:tc>
          <w:tcPr>
            <w:tcW w:w="5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-*</w:t>
            </w:r>
          </w:p>
        </w:tc>
        <w:tc>
          <w:tcPr>
            <w:tcW w:w="2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950EC9" w:rsidRDefault="00011D72" w:rsidP="00CD6322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397ED5" w:rsidRDefault="00011D72" w:rsidP="00CD6322">
      <w:pPr>
        <w:ind w:firstLine="709"/>
      </w:pPr>
      <w:r>
        <w:t>* О</w:t>
      </w:r>
      <w:r w:rsidRPr="00397ED5">
        <w:t>тсутствуют объекты, строительство которых направлено на достижение целей и решение задач при реализации муниципальной программы</w:t>
      </w:r>
      <w:r>
        <w:t>.</w:t>
      </w:r>
    </w:p>
    <w:p w:rsidR="00011D72" w:rsidRPr="00A03F90" w:rsidRDefault="00011D72" w:rsidP="00CD6322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210049">
        <w:rPr>
          <w:sz w:val="28"/>
          <w:szCs w:val="28"/>
        </w:rPr>
        <w:t>6</w:t>
      </w:r>
    </w:p>
    <w:p w:rsidR="00011D72" w:rsidRPr="004D08AB" w:rsidRDefault="00011D72" w:rsidP="00CD6322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социально-культурного</w:t>
      </w:r>
    </w:p>
    <w:p w:rsidR="00011D72" w:rsidRPr="004D08AB" w:rsidRDefault="00011D72" w:rsidP="00CD6322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и коммунально-бытового назначения, масштабные инвестиционные</w:t>
      </w:r>
    </w:p>
    <w:p w:rsidR="00011D72" w:rsidRPr="004D08AB" w:rsidRDefault="00011D72" w:rsidP="00CD6322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проекты (далее </w:t>
      </w:r>
      <w:r>
        <w:rPr>
          <w:sz w:val="28"/>
          <w:szCs w:val="28"/>
        </w:rPr>
        <w:t>–</w:t>
      </w:r>
      <w:r w:rsidRPr="004D08AB">
        <w:rPr>
          <w:sz w:val="28"/>
          <w:szCs w:val="28"/>
        </w:rPr>
        <w:t xml:space="preserve"> инвестиционные проекты)</w:t>
      </w:r>
      <w:r>
        <w:rPr>
          <w:sz w:val="28"/>
          <w:szCs w:val="28"/>
        </w:rPr>
        <w:t>*</w:t>
      </w:r>
    </w:p>
    <w:p w:rsidR="00011D72" w:rsidRPr="00EB40D0" w:rsidRDefault="00011D72" w:rsidP="00CD6322">
      <w:pPr>
        <w:pStyle w:val="ConsPlusNormal"/>
        <w:jc w:val="both"/>
      </w:pPr>
    </w:p>
    <w:tbl>
      <w:tblPr>
        <w:tblW w:w="146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5781"/>
        <w:gridCol w:w="2964"/>
        <w:gridCol w:w="5336"/>
      </w:tblGrid>
      <w:tr w:rsidR="00011D72" w:rsidRPr="00EB40D0" w:rsidTr="002A6033">
        <w:trPr>
          <w:trHeight w:val="208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Default="00011D72" w:rsidP="00CD6322">
            <w:pPr>
              <w:pStyle w:val="ConsPlusNormal"/>
              <w:jc w:val="center"/>
            </w:pPr>
            <w:r>
              <w:t>№</w:t>
            </w:r>
          </w:p>
          <w:p w:rsidR="00011D72" w:rsidRPr="00EB40D0" w:rsidRDefault="00011D72" w:rsidP="00CD632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Наименование инвестиционного проекта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Объем финансирования инвестиционного проекта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11D72" w:rsidRPr="00EB40D0" w:rsidTr="002A6033">
        <w:trPr>
          <w:trHeight w:val="226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4</w:t>
            </w:r>
          </w:p>
        </w:tc>
      </w:tr>
      <w:tr w:rsidR="00011D72" w:rsidRPr="00EB40D0" w:rsidTr="002A6033">
        <w:trPr>
          <w:trHeight w:val="226"/>
        </w:trPr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 w:rsidRPr="00EB40D0">
              <w:lastRenderedPageBreak/>
              <w:t>1</w:t>
            </w:r>
            <w:r>
              <w:t>.</w:t>
            </w:r>
          </w:p>
        </w:tc>
        <w:tc>
          <w:tcPr>
            <w:tcW w:w="5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D72" w:rsidRPr="00EB40D0" w:rsidRDefault="00011D72" w:rsidP="00CD6322">
            <w:pPr>
              <w:pStyle w:val="ConsPlusNormal"/>
              <w:jc w:val="center"/>
            </w:pPr>
            <w:r>
              <w:t>-</w:t>
            </w:r>
          </w:p>
        </w:tc>
      </w:tr>
    </w:tbl>
    <w:p w:rsidR="00011D72" w:rsidRPr="00AF29AD" w:rsidRDefault="00011D72" w:rsidP="00CD6322">
      <w:pPr>
        <w:ind w:firstLine="709"/>
        <w:jc w:val="both"/>
      </w:pPr>
      <w:r w:rsidRPr="00AF29AD">
        <w:t>* Отсутствуют объекты социально-культурного и коммунально-бытового назначения, масштабные инвестиционные проекты в рамках реализации мероприятий программы.</w:t>
      </w:r>
    </w:p>
    <w:p w:rsidR="00A352D3" w:rsidRDefault="00A352D3" w:rsidP="00CD6322">
      <w:pPr>
        <w:ind w:firstLine="709"/>
        <w:jc w:val="right"/>
        <w:rPr>
          <w:rFonts w:eastAsia="Arial Unicode MS"/>
          <w:sz w:val="28"/>
          <w:szCs w:val="28"/>
        </w:rPr>
      </w:pPr>
    </w:p>
    <w:p w:rsidR="00712524" w:rsidRDefault="00712524" w:rsidP="00CD632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524">
        <w:rPr>
          <w:color w:val="000000"/>
          <w:sz w:val="28"/>
          <w:szCs w:val="28"/>
        </w:rPr>
        <w:t xml:space="preserve">Таблица </w:t>
      </w:r>
      <w:r w:rsidR="00210049">
        <w:rPr>
          <w:color w:val="000000"/>
          <w:sz w:val="28"/>
          <w:szCs w:val="28"/>
        </w:rPr>
        <w:t>7</w:t>
      </w:r>
    </w:p>
    <w:p w:rsidR="009A2B8A" w:rsidRPr="00867338" w:rsidRDefault="009A2B8A" w:rsidP="00CD63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План мероприятий, направленный на достижение значений</w:t>
      </w:r>
    </w:p>
    <w:p w:rsidR="009A2B8A" w:rsidRPr="00867338" w:rsidRDefault="009A2B8A" w:rsidP="00CD63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(уровней) показателей оценки эффективности деятельности</w:t>
      </w:r>
    </w:p>
    <w:p w:rsidR="009A2B8A" w:rsidRPr="00867338" w:rsidRDefault="009A2B8A" w:rsidP="00CD63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7338">
        <w:rPr>
          <w:sz w:val="28"/>
          <w:szCs w:val="28"/>
        </w:rPr>
        <w:t>исполнительных органов государственной власти автономного</w:t>
      </w:r>
    </w:p>
    <w:p w:rsidR="009A2B8A" w:rsidRPr="00867338" w:rsidRDefault="009A2B8A" w:rsidP="00CD63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 на 2019 – 2024 годы</w:t>
      </w:r>
      <w:r w:rsidR="00D13675">
        <w:rPr>
          <w:sz w:val="28"/>
          <w:szCs w:val="28"/>
        </w:rPr>
        <w:t>*</w:t>
      </w:r>
    </w:p>
    <w:p w:rsidR="00C33F07" w:rsidRPr="00712524" w:rsidRDefault="00C33F07" w:rsidP="00CD632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2591"/>
        <w:gridCol w:w="2500"/>
        <w:gridCol w:w="3150"/>
        <w:gridCol w:w="2869"/>
        <w:gridCol w:w="2777"/>
      </w:tblGrid>
      <w:tr w:rsidR="00D13675" w:rsidRPr="00867338" w:rsidTr="00D13675">
        <w:trPr>
          <w:trHeight w:val="1541"/>
        </w:trPr>
        <w:tc>
          <w:tcPr>
            <w:tcW w:w="833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№ п/п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Номер, наименование мероприятия</w:t>
            </w:r>
          </w:p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(таблица 2)</w:t>
            </w: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Наименование портфеля проектов, основанного на национальных и федеральных проектах Российской Федерации</w:t>
            </w: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Ответственный исполнитель/соисполнители</w:t>
            </w: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Контрольное событие (промежуточный результат)</w:t>
            </w:r>
          </w:p>
        </w:tc>
      </w:tr>
      <w:tr w:rsidR="00D13675" w:rsidRPr="00867338" w:rsidTr="00D13675">
        <w:trPr>
          <w:trHeight w:val="220"/>
        </w:trPr>
        <w:tc>
          <w:tcPr>
            <w:tcW w:w="833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2</w:t>
            </w: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5</w:t>
            </w: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6</w:t>
            </w:r>
          </w:p>
        </w:tc>
      </w:tr>
      <w:tr w:rsidR="00D13675" w:rsidRPr="00867338" w:rsidTr="00D13675">
        <w:trPr>
          <w:trHeight w:val="220"/>
        </w:trPr>
        <w:tc>
          <w:tcPr>
            <w:tcW w:w="14720" w:type="dxa"/>
            <w:gridSpan w:val="6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Наименование показателя</w:t>
            </w:r>
          </w:p>
        </w:tc>
      </w:tr>
      <w:tr w:rsidR="00D13675" w:rsidRPr="00867338" w:rsidTr="00D13675">
        <w:trPr>
          <w:trHeight w:val="200"/>
        </w:trPr>
        <w:tc>
          <w:tcPr>
            <w:tcW w:w="14720" w:type="dxa"/>
            <w:gridSpan w:val="6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Задача № 1</w:t>
            </w:r>
          </w:p>
        </w:tc>
      </w:tr>
      <w:tr w:rsidR="00D13675" w:rsidRPr="00867338" w:rsidTr="00D13675">
        <w:trPr>
          <w:trHeight w:val="220"/>
        </w:trPr>
        <w:tc>
          <w:tcPr>
            <w:tcW w:w="833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338">
              <w:rPr>
                <w:sz w:val="18"/>
                <w:szCs w:val="18"/>
              </w:rPr>
              <w:t>1.1.</w:t>
            </w:r>
          </w:p>
        </w:tc>
        <w:tc>
          <w:tcPr>
            <w:tcW w:w="2591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7" w:type="dxa"/>
            <w:shd w:val="clear" w:color="auto" w:fill="auto"/>
          </w:tcPr>
          <w:p w:rsidR="00D13675" w:rsidRPr="00867338" w:rsidRDefault="00D13675" w:rsidP="00CD63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7393B" w:rsidRPr="00CD6322" w:rsidRDefault="00D13675" w:rsidP="00CD6322">
      <w:pPr>
        <w:ind w:firstLine="709"/>
        <w:jc w:val="both"/>
        <w:rPr>
          <w:color w:val="000000"/>
          <w:sz w:val="22"/>
          <w:szCs w:val="28"/>
        </w:rPr>
      </w:pPr>
      <w:r w:rsidRPr="00A352D3">
        <w:rPr>
          <w:rFonts w:eastAsia="Arial Unicode MS"/>
          <w:sz w:val="22"/>
          <w:szCs w:val="28"/>
        </w:rPr>
        <w:t xml:space="preserve">* </w:t>
      </w:r>
      <w:r w:rsidRPr="00A352D3">
        <w:rPr>
          <w:color w:val="000000"/>
          <w:sz w:val="22"/>
          <w:szCs w:val="28"/>
        </w:rPr>
        <w:t>Показатели оценки эффективности деятельности исполнительных органов государственной власти Ханты-Мансийского автономного округа – Югры на 2019 – 2024 годы в муниципальной программе отсутствуют.</w:t>
      </w:r>
      <w:r w:rsidR="0027393B">
        <w:rPr>
          <w:color w:val="000000"/>
          <w:sz w:val="28"/>
          <w:szCs w:val="28"/>
        </w:rPr>
        <w:t>»</w:t>
      </w:r>
      <w:r w:rsidR="00CD6322">
        <w:rPr>
          <w:color w:val="000000"/>
          <w:sz w:val="28"/>
          <w:szCs w:val="28"/>
        </w:rPr>
        <w:t>.</w:t>
      </w:r>
    </w:p>
    <w:p w:rsidR="00CD6322" w:rsidRPr="009A7B06" w:rsidRDefault="00CD6322" w:rsidP="00CD6322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t xml:space="preserve">2. Опубликовать (обнародовать) настоящее </w:t>
      </w:r>
      <w:r>
        <w:rPr>
          <w:sz w:val="28"/>
          <w:szCs w:val="28"/>
        </w:rPr>
        <w:t>постановление</w:t>
      </w:r>
      <w:r w:rsidRPr="009A7B06">
        <w:rPr>
          <w:sz w:val="28"/>
          <w:szCs w:val="28"/>
        </w:rPr>
        <w:t xml:space="preserve">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CD6322" w:rsidRDefault="00CD6322" w:rsidP="00CD6322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t xml:space="preserve">3. Настоящее постановление вступает в силу </w:t>
      </w:r>
      <w:r w:rsidR="0016519D" w:rsidRPr="0070702D">
        <w:rPr>
          <w:color w:val="000000" w:themeColor="text1"/>
          <w:sz w:val="28"/>
          <w:szCs w:val="28"/>
        </w:rPr>
        <w:t>после его официального опубликования (обнародования)</w:t>
      </w:r>
      <w:r w:rsidRPr="00D35074">
        <w:rPr>
          <w:sz w:val="28"/>
          <w:szCs w:val="28"/>
        </w:rPr>
        <w:t>.</w:t>
      </w:r>
    </w:p>
    <w:p w:rsidR="00CD6322" w:rsidRDefault="00CD6322" w:rsidP="00CD6322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4. Контроль за выполнением постановления возложить на заместителя главы района, директора департамента имущественных и земельных отношений.</w:t>
      </w:r>
    </w:p>
    <w:p w:rsidR="00CD6322" w:rsidRDefault="00CD6322" w:rsidP="00CD6322">
      <w:pPr>
        <w:rPr>
          <w:sz w:val="28"/>
          <w:szCs w:val="28"/>
        </w:rPr>
      </w:pPr>
    </w:p>
    <w:p w:rsidR="00CD6322" w:rsidRDefault="00CD6322" w:rsidP="00CD6322">
      <w:pPr>
        <w:rPr>
          <w:sz w:val="28"/>
          <w:szCs w:val="28"/>
        </w:rPr>
      </w:pPr>
    </w:p>
    <w:p w:rsidR="0027393B" w:rsidRDefault="00CD6322" w:rsidP="00CD63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sectPr w:rsidR="0027393B" w:rsidSect="00CD6322">
      <w:headerReference w:type="default" r:id="rId14"/>
      <w:pgSz w:w="16838" w:h="11905" w:orient="landscape" w:code="9"/>
      <w:pgMar w:top="1418" w:right="1276" w:bottom="1134" w:left="1559" w:header="709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76" w:rsidRDefault="00120376" w:rsidP="007C7827">
      <w:r>
        <w:separator/>
      </w:r>
    </w:p>
  </w:endnote>
  <w:endnote w:type="continuationSeparator" w:id="0">
    <w:p w:rsidR="00120376" w:rsidRDefault="00120376" w:rsidP="007C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76" w:rsidRDefault="00120376" w:rsidP="007C7827">
      <w:r>
        <w:separator/>
      </w:r>
    </w:p>
  </w:footnote>
  <w:footnote w:type="continuationSeparator" w:id="0">
    <w:p w:rsidR="00120376" w:rsidRDefault="00120376" w:rsidP="007C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DE" w:rsidRPr="0045468D" w:rsidRDefault="007138D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2B279B">
      <w:rPr>
        <w:noProof/>
        <w:sz w:val="26"/>
        <w:szCs w:val="26"/>
      </w:rPr>
      <w:t>9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DE" w:rsidRPr="0045468D" w:rsidRDefault="007138D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2B279B">
      <w:rPr>
        <w:noProof/>
        <w:sz w:val="26"/>
        <w:szCs w:val="26"/>
      </w:rPr>
      <w:t>17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A50"/>
    <w:multiLevelType w:val="multilevel"/>
    <w:tmpl w:val="F18C31D2"/>
    <w:numStyleLink w:val="3"/>
  </w:abstractNum>
  <w:abstractNum w:abstractNumId="3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69BB"/>
    <w:multiLevelType w:val="hybridMultilevel"/>
    <w:tmpl w:val="E498502A"/>
    <w:numStyleLink w:val="4"/>
  </w:abstractNum>
  <w:abstractNum w:abstractNumId="8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8207E"/>
    <w:multiLevelType w:val="hybridMultilevel"/>
    <w:tmpl w:val="085E6910"/>
    <w:numStyleLink w:val="2"/>
  </w:abstractNum>
  <w:abstractNum w:abstractNumId="1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3B8345B2"/>
    <w:multiLevelType w:val="hybridMultilevel"/>
    <w:tmpl w:val="A9080E54"/>
    <w:numStyleLink w:val="1"/>
  </w:abstractNum>
  <w:abstractNum w:abstractNumId="16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5"/>
  </w:num>
  <w:num w:numId="5">
    <w:abstractNumId w:val="16"/>
  </w:num>
  <w:num w:numId="6">
    <w:abstractNumId w:val="19"/>
  </w:num>
  <w:num w:numId="7">
    <w:abstractNumId w:val="8"/>
  </w:num>
  <w:num w:numId="8">
    <w:abstractNumId w:val="25"/>
  </w:num>
  <w:num w:numId="9">
    <w:abstractNumId w:val="6"/>
  </w:num>
  <w:num w:numId="10">
    <w:abstractNumId w:val="28"/>
  </w:num>
  <w:num w:numId="11">
    <w:abstractNumId w:val="18"/>
  </w:num>
  <w:num w:numId="12">
    <w:abstractNumId w:val="10"/>
  </w:num>
  <w:num w:numId="13">
    <w:abstractNumId w:val="22"/>
  </w:num>
  <w:num w:numId="14">
    <w:abstractNumId w:val="1"/>
  </w:num>
  <w:num w:numId="15">
    <w:abstractNumId w:val="12"/>
  </w:num>
  <w:num w:numId="16">
    <w:abstractNumId w:val="2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9"/>
  </w:num>
  <w:num w:numId="20">
    <w:abstractNumId w:val="15"/>
  </w:num>
  <w:num w:numId="21">
    <w:abstractNumId w:val="15"/>
    <w:lvlOverride w:ilvl="0">
      <w:startOverride w:val="2"/>
      <w:lvl w:ilvl="0" w:tplc="8CD20106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72D0AE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50B394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342C9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34662E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5C81F2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36B99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CA28D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EE2C88C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9"/>
    <w:lvlOverride w:ilvl="0">
      <w:lvl w:ilvl="0" w:tplc="5E6CEC40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"/>
    <w:lvlOverride w:ilvl="0">
      <w:lvl w:ilvl="0" w:tplc="5E6CEC40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20D8E4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DA9072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CDAE8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DE9746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D8C7CA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A2ED0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8F0E6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A4B24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  <w:lvlOverride w:ilvl="0">
      <w:lvl w:ilvl="0" w:tplc="5E6CEC40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20D8E4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DA9072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CDAE8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DE9746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D8C7CA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A2ED0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8F0E6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A4B24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9"/>
    <w:lvlOverride w:ilvl="0">
      <w:lvl w:ilvl="0" w:tplc="5E6CEC40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20D8E4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DA9072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CDAE8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DE9746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D8C7CA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A2ED0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8F0E6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A4B24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"/>
  </w:num>
  <w:num w:numId="28">
    <w:abstractNumId w:val="20"/>
  </w:num>
  <w:num w:numId="29">
    <w:abstractNumId w:val="3"/>
  </w:num>
  <w:num w:numId="30">
    <w:abstractNumId w:val="7"/>
  </w:num>
  <w:num w:numId="31">
    <w:abstractNumId w:val="7"/>
    <w:lvlOverride w:ilvl="0">
      <w:startOverride w:val="4"/>
    </w:lvlOverride>
  </w:num>
  <w:num w:numId="32">
    <w:abstractNumId w:val="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7DB"/>
    <w:rsid w:val="000229A5"/>
    <w:rsid w:val="00023726"/>
    <w:rsid w:val="00030131"/>
    <w:rsid w:val="000302B3"/>
    <w:rsid w:val="00031707"/>
    <w:rsid w:val="00031DD8"/>
    <w:rsid w:val="00031E30"/>
    <w:rsid w:val="00031E78"/>
    <w:rsid w:val="0003208F"/>
    <w:rsid w:val="00034E5E"/>
    <w:rsid w:val="0003599D"/>
    <w:rsid w:val="00037A84"/>
    <w:rsid w:val="00042192"/>
    <w:rsid w:val="0004487F"/>
    <w:rsid w:val="00044F13"/>
    <w:rsid w:val="00044F47"/>
    <w:rsid w:val="000470CD"/>
    <w:rsid w:val="00051607"/>
    <w:rsid w:val="00053BAD"/>
    <w:rsid w:val="00053C53"/>
    <w:rsid w:val="0005689B"/>
    <w:rsid w:val="000571C1"/>
    <w:rsid w:val="00060536"/>
    <w:rsid w:val="00060666"/>
    <w:rsid w:val="00062373"/>
    <w:rsid w:val="000642A6"/>
    <w:rsid w:val="0006557D"/>
    <w:rsid w:val="00065704"/>
    <w:rsid w:val="000658F3"/>
    <w:rsid w:val="00065D03"/>
    <w:rsid w:val="00065FC9"/>
    <w:rsid w:val="00066046"/>
    <w:rsid w:val="000664CD"/>
    <w:rsid w:val="00067B26"/>
    <w:rsid w:val="00073A99"/>
    <w:rsid w:val="00075106"/>
    <w:rsid w:val="0007554E"/>
    <w:rsid w:val="00075DB9"/>
    <w:rsid w:val="00076373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4DC"/>
    <w:rsid w:val="000965E8"/>
    <w:rsid w:val="00097EEB"/>
    <w:rsid w:val="00097F6B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24E3"/>
    <w:rsid w:val="000C6AF8"/>
    <w:rsid w:val="000C7C53"/>
    <w:rsid w:val="000D26BD"/>
    <w:rsid w:val="000D30FE"/>
    <w:rsid w:val="000D41AC"/>
    <w:rsid w:val="000D5D36"/>
    <w:rsid w:val="000D69FB"/>
    <w:rsid w:val="000E0B6F"/>
    <w:rsid w:val="000E3A96"/>
    <w:rsid w:val="000E476F"/>
    <w:rsid w:val="000F0BE5"/>
    <w:rsid w:val="000F15E8"/>
    <w:rsid w:val="000F37B6"/>
    <w:rsid w:val="000F4BC0"/>
    <w:rsid w:val="000F6621"/>
    <w:rsid w:val="000F720D"/>
    <w:rsid w:val="0010438E"/>
    <w:rsid w:val="0010484A"/>
    <w:rsid w:val="001049BE"/>
    <w:rsid w:val="00105117"/>
    <w:rsid w:val="00105F21"/>
    <w:rsid w:val="0010664F"/>
    <w:rsid w:val="00106CB5"/>
    <w:rsid w:val="00107200"/>
    <w:rsid w:val="00107E1D"/>
    <w:rsid w:val="00110415"/>
    <w:rsid w:val="00110446"/>
    <w:rsid w:val="00110F7B"/>
    <w:rsid w:val="00113A8D"/>
    <w:rsid w:val="00113FD9"/>
    <w:rsid w:val="001149A3"/>
    <w:rsid w:val="00116D2D"/>
    <w:rsid w:val="00120376"/>
    <w:rsid w:val="0012112A"/>
    <w:rsid w:val="00123223"/>
    <w:rsid w:val="001247E3"/>
    <w:rsid w:val="00125355"/>
    <w:rsid w:val="00125AFD"/>
    <w:rsid w:val="00126A29"/>
    <w:rsid w:val="00130200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528"/>
    <w:rsid w:val="00147705"/>
    <w:rsid w:val="001508BF"/>
    <w:rsid w:val="00152FFA"/>
    <w:rsid w:val="00154144"/>
    <w:rsid w:val="00156F36"/>
    <w:rsid w:val="001613C3"/>
    <w:rsid w:val="00162FD1"/>
    <w:rsid w:val="00164F85"/>
    <w:rsid w:val="0016519D"/>
    <w:rsid w:val="001706FD"/>
    <w:rsid w:val="001707DD"/>
    <w:rsid w:val="001712D2"/>
    <w:rsid w:val="0017505D"/>
    <w:rsid w:val="0017632B"/>
    <w:rsid w:val="001822D6"/>
    <w:rsid w:val="00183FE7"/>
    <w:rsid w:val="001842EA"/>
    <w:rsid w:val="001847D4"/>
    <w:rsid w:val="00187BCF"/>
    <w:rsid w:val="00192519"/>
    <w:rsid w:val="001A26A7"/>
    <w:rsid w:val="001A3B7C"/>
    <w:rsid w:val="001A3CCB"/>
    <w:rsid w:val="001A68BE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700A"/>
    <w:rsid w:val="001D74E8"/>
    <w:rsid w:val="001E00B3"/>
    <w:rsid w:val="001E25F9"/>
    <w:rsid w:val="001E3AD6"/>
    <w:rsid w:val="001E403D"/>
    <w:rsid w:val="001E6F4F"/>
    <w:rsid w:val="001F0C0E"/>
    <w:rsid w:val="001F22BB"/>
    <w:rsid w:val="001F35CD"/>
    <w:rsid w:val="001F36F9"/>
    <w:rsid w:val="001F602A"/>
    <w:rsid w:val="00200185"/>
    <w:rsid w:val="002001FC"/>
    <w:rsid w:val="0020137E"/>
    <w:rsid w:val="00201E8B"/>
    <w:rsid w:val="00202FA9"/>
    <w:rsid w:val="00205EA3"/>
    <w:rsid w:val="002068E1"/>
    <w:rsid w:val="00207F91"/>
    <w:rsid w:val="00210049"/>
    <w:rsid w:val="002109CD"/>
    <w:rsid w:val="0021794D"/>
    <w:rsid w:val="002216E7"/>
    <w:rsid w:val="0022306F"/>
    <w:rsid w:val="00233208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993"/>
    <w:rsid w:val="0025356C"/>
    <w:rsid w:val="00253B9A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D22"/>
    <w:rsid w:val="00275ED8"/>
    <w:rsid w:val="0027612D"/>
    <w:rsid w:val="00283BA4"/>
    <w:rsid w:val="00284347"/>
    <w:rsid w:val="00285884"/>
    <w:rsid w:val="00286B64"/>
    <w:rsid w:val="002909F6"/>
    <w:rsid w:val="00291950"/>
    <w:rsid w:val="00292E7A"/>
    <w:rsid w:val="0029457C"/>
    <w:rsid w:val="0029485F"/>
    <w:rsid w:val="00295485"/>
    <w:rsid w:val="00296000"/>
    <w:rsid w:val="00296DB0"/>
    <w:rsid w:val="002A0FE5"/>
    <w:rsid w:val="002A1018"/>
    <w:rsid w:val="002A1196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B0310"/>
    <w:rsid w:val="002B279B"/>
    <w:rsid w:val="002B3D2B"/>
    <w:rsid w:val="002B4028"/>
    <w:rsid w:val="002B51DB"/>
    <w:rsid w:val="002B5516"/>
    <w:rsid w:val="002B6A2E"/>
    <w:rsid w:val="002C01AC"/>
    <w:rsid w:val="002C12BC"/>
    <w:rsid w:val="002C5C4D"/>
    <w:rsid w:val="002C6808"/>
    <w:rsid w:val="002D0125"/>
    <w:rsid w:val="002D0ADB"/>
    <w:rsid w:val="002D1B18"/>
    <w:rsid w:val="002D561C"/>
    <w:rsid w:val="002D64F8"/>
    <w:rsid w:val="002D69DC"/>
    <w:rsid w:val="002E05B3"/>
    <w:rsid w:val="002E1B6A"/>
    <w:rsid w:val="002E478F"/>
    <w:rsid w:val="002E6E0A"/>
    <w:rsid w:val="002F0C30"/>
    <w:rsid w:val="002F127D"/>
    <w:rsid w:val="002F148C"/>
    <w:rsid w:val="002F26ED"/>
    <w:rsid w:val="002F42B6"/>
    <w:rsid w:val="002F43F1"/>
    <w:rsid w:val="002F6969"/>
    <w:rsid w:val="00302049"/>
    <w:rsid w:val="00303CD9"/>
    <w:rsid w:val="00306522"/>
    <w:rsid w:val="00306F60"/>
    <w:rsid w:val="00307C33"/>
    <w:rsid w:val="00307E2A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9B2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44D8"/>
    <w:rsid w:val="00344D21"/>
    <w:rsid w:val="003470CF"/>
    <w:rsid w:val="003500DC"/>
    <w:rsid w:val="00351331"/>
    <w:rsid w:val="003517C5"/>
    <w:rsid w:val="003559A8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75AF"/>
    <w:rsid w:val="0038195B"/>
    <w:rsid w:val="003838ED"/>
    <w:rsid w:val="00383E48"/>
    <w:rsid w:val="00384811"/>
    <w:rsid w:val="00385753"/>
    <w:rsid w:val="003952F3"/>
    <w:rsid w:val="00395D72"/>
    <w:rsid w:val="0039629D"/>
    <w:rsid w:val="003A3440"/>
    <w:rsid w:val="003A36F0"/>
    <w:rsid w:val="003A4C6E"/>
    <w:rsid w:val="003A5490"/>
    <w:rsid w:val="003B0937"/>
    <w:rsid w:val="003B0982"/>
    <w:rsid w:val="003B12BC"/>
    <w:rsid w:val="003B1997"/>
    <w:rsid w:val="003B1DAC"/>
    <w:rsid w:val="003B2D1B"/>
    <w:rsid w:val="003B327E"/>
    <w:rsid w:val="003B4985"/>
    <w:rsid w:val="003B62EF"/>
    <w:rsid w:val="003C2DA3"/>
    <w:rsid w:val="003D00D1"/>
    <w:rsid w:val="003D0A7C"/>
    <w:rsid w:val="003D15F5"/>
    <w:rsid w:val="003D1703"/>
    <w:rsid w:val="003D48E7"/>
    <w:rsid w:val="003D5A3B"/>
    <w:rsid w:val="003D6F45"/>
    <w:rsid w:val="003E15E6"/>
    <w:rsid w:val="003E1A49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11CBB"/>
    <w:rsid w:val="0041406E"/>
    <w:rsid w:val="00415616"/>
    <w:rsid w:val="00416648"/>
    <w:rsid w:val="004209FD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4682A"/>
    <w:rsid w:val="00446D35"/>
    <w:rsid w:val="0044730E"/>
    <w:rsid w:val="004476B2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4028"/>
    <w:rsid w:val="004646D4"/>
    <w:rsid w:val="004650CC"/>
    <w:rsid w:val="004677AA"/>
    <w:rsid w:val="00467E94"/>
    <w:rsid w:val="00471B6D"/>
    <w:rsid w:val="00472CBB"/>
    <w:rsid w:val="00474463"/>
    <w:rsid w:val="00474FFB"/>
    <w:rsid w:val="00480BDC"/>
    <w:rsid w:val="00481CD8"/>
    <w:rsid w:val="00481FBD"/>
    <w:rsid w:val="00482183"/>
    <w:rsid w:val="00483ED5"/>
    <w:rsid w:val="00487A90"/>
    <w:rsid w:val="0049170B"/>
    <w:rsid w:val="00491A15"/>
    <w:rsid w:val="004927AA"/>
    <w:rsid w:val="00492FE4"/>
    <w:rsid w:val="00495497"/>
    <w:rsid w:val="00495682"/>
    <w:rsid w:val="004956A7"/>
    <w:rsid w:val="004A06D8"/>
    <w:rsid w:val="004A2DDE"/>
    <w:rsid w:val="004A3083"/>
    <w:rsid w:val="004A3C30"/>
    <w:rsid w:val="004A40EF"/>
    <w:rsid w:val="004B08A7"/>
    <w:rsid w:val="004B09B1"/>
    <w:rsid w:val="004B3E30"/>
    <w:rsid w:val="004B484C"/>
    <w:rsid w:val="004B7BB0"/>
    <w:rsid w:val="004B7E22"/>
    <w:rsid w:val="004C2A32"/>
    <w:rsid w:val="004C36D6"/>
    <w:rsid w:val="004C3C06"/>
    <w:rsid w:val="004C4627"/>
    <w:rsid w:val="004D0FDC"/>
    <w:rsid w:val="004D14EF"/>
    <w:rsid w:val="004D2794"/>
    <w:rsid w:val="004D3F81"/>
    <w:rsid w:val="004D7F8E"/>
    <w:rsid w:val="004E12BE"/>
    <w:rsid w:val="004E33F1"/>
    <w:rsid w:val="004E459F"/>
    <w:rsid w:val="004E74DE"/>
    <w:rsid w:val="0050112F"/>
    <w:rsid w:val="00501F45"/>
    <w:rsid w:val="00502264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19CE"/>
    <w:rsid w:val="00523E04"/>
    <w:rsid w:val="00523ED6"/>
    <w:rsid w:val="005256AD"/>
    <w:rsid w:val="00532E1C"/>
    <w:rsid w:val="00532FCC"/>
    <w:rsid w:val="00535A52"/>
    <w:rsid w:val="00535E57"/>
    <w:rsid w:val="0053610C"/>
    <w:rsid w:val="0053640A"/>
    <w:rsid w:val="00536B82"/>
    <w:rsid w:val="00540B29"/>
    <w:rsid w:val="00543046"/>
    <w:rsid w:val="005466BE"/>
    <w:rsid w:val="00551511"/>
    <w:rsid w:val="00551A75"/>
    <w:rsid w:val="00551D36"/>
    <w:rsid w:val="00553610"/>
    <w:rsid w:val="005541B1"/>
    <w:rsid w:val="00554E98"/>
    <w:rsid w:val="0055518A"/>
    <w:rsid w:val="0055541D"/>
    <w:rsid w:val="00557CD7"/>
    <w:rsid w:val="005624F8"/>
    <w:rsid w:val="00562F0B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3E4F"/>
    <w:rsid w:val="005858E5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32F5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2BB0"/>
    <w:rsid w:val="005E3474"/>
    <w:rsid w:val="005E36D4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3405"/>
    <w:rsid w:val="006339C6"/>
    <w:rsid w:val="0063543D"/>
    <w:rsid w:val="00637F49"/>
    <w:rsid w:val="0064005D"/>
    <w:rsid w:val="00640917"/>
    <w:rsid w:val="00640AB6"/>
    <w:rsid w:val="006430E5"/>
    <w:rsid w:val="00643EC7"/>
    <w:rsid w:val="006459D7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EA"/>
    <w:rsid w:val="00670ABB"/>
    <w:rsid w:val="00670DFB"/>
    <w:rsid w:val="00674947"/>
    <w:rsid w:val="006759F6"/>
    <w:rsid w:val="00676D5E"/>
    <w:rsid w:val="00676DE7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75BE"/>
    <w:rsid w:val="00692504"/>
    <w:rsid w:val="0069291C"/>
    <w:rsid w:val="0069527F"/>
    <w:rsid w:val="006A1234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210C"/>
    <w:rsid w:val="006C2935"/>
    <w:rsid w:val="006C4651"/>
    <w:rsid w:val="006C58CC"/>
    <w:rsid w:val="006C5C1D"/>
    <w:rsid w:val="006C68EC"/>
    <w:rsid w:val="006D5C43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429"/>
    <w:rsid w:val="006F0BB8"/>
    <w:rsid w:val="006F40E6"/>
    <w:rsid w:val="006F5525"/>
    <w:rsid w:val="006F559F"/>
    <w:rsid w:val="006F783C"/>
    <w:rsid w:val="006F7D30"/>
    <w:rsid w:val="00701064"/>
    <w:rsid w:val="00702713"/>
    <w:rsid w:val="00702C2F"/>
    <w:rsid w:val="007032BB"/>
    <w:rsid w:val="00712524"/>
    <w:rsid w:val="00712CFA"/>
    <w:rsid w:val="007138DE"/>
    <w:rsid w:val="007173B0"/>
    <w:rsid w:val="00717DB7"/>
    <w:rsid w:val="00720431"/>
    <w:rsid w:val="00720F81"/>
    <w:rsid w:val="00722E28"/>
    <w:rsid w:val="00724403"/>
    <w:rsid w:val="00733604"/>
    <w:rsid w:val="007339D8"/>
    <w:rsid w:val="007342D7"/>
    <w:rsid w:val="00735924"/>
    <w:rsid w:val="00737240"/>
    <w:rsid w:val="00740188"/>
    <w:rsid w:val="0074180A"/>
    <w:rsid w:val="007421D8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51CF9"/>
    <w:rsid w:val="007536D1"/>
    <w:rsid w:val="00753FF3"/>
    <w:rsid w:val="00755998"/>
    <w:rsid w:val="00755E26"/>
    <w:rsid w:val="0076141E"/>
    <w:rsid w:val="0076156C"/>
    <w:rsid w:val="00761827"/>
    <w:rsid w:val="007625D3"/>
    <w:rsid w:val="00763A6B"/>
    <w:rsid w:val="00764A88"/>
    <w:rsid w:val="00764FD8"/>
    <w:rsid w:val="0077006E"/>
    <w:rsid w:val="00771B8D"/>
    <w:rsid w:val="00771DE8"/>
    <w:rsid w:val="00773D54"/>
    <w:rsid w:val="00774D05"/>
    <w:rsid w:val="00776360"/>
    <w:rsid w:val="00777154"/>
    <w:rsid w:val="00777954"/>
    <w:rsid w:val="007825C7"/>
    <w:rsid w:val="007827D2"/>
    <w:rsid w:val="007833A8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B11BE"/>
    <w:rsid w:val="007B231A"/>
    <w:rsid w:val="007B3A10"/>
    <w:rsid w:val="007B52E7"/>
    <w:rsid w:val="007B6408"/>
    <w:rsid w:val="007C0884"/>
    <w:rsid w:val="007C3E67"/>
    <w:rsid w:val="007C553D"/>
    <w:rsid w:val="007C623B"/>
    <w:rsid w:val="007C6672"/>
    <w:rsid w:val="007C7827"/>
    <w:rsid w:val="007D28B8"/>
    <w:rsid w:val="007D2BE6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E8"/>
    <w:rsid w:val="0081427A"/>
    <w:rsid w:val="008219B7"/>
    <w:rsid w:val="0082239B"/>
    <w:rsid w:val="00822D44"/>
    <w:rsid w:val="00822DE8"/>
    <w:rsid w:val="00824146"/>
    <w:rsid w:val="008254D8"/>
    <w:rsid w:val="0082786D"/>
    <w:rsid w:val="00827AAC"/>
    <w:rsid w:val="008312FE"/>
    <w:rsid w:val="008367C1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F96"/>
    <w:rsid w:val="0087526F"/>
    <w:rsid w:val="00876826"/>
    <w:rsid w:val="00880169"/>
    <w:rsid w:val="00880A80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9B6"/>
    <w:rsid w:val="00892AB9"/>
    <w:rsid w:val="00893BE1"/>
    <w:rsid w:val="00895334"/>
    <w:rsid w:val="008A3D23"/>
    <w:rsid w:val="008A4629"/>
    <w:rsid w:val="008A4B82"/>
    <w:rsid w:val="008A4BE7"/>
    <w:rsid w:val="008A4E54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52F2"/>
    <w:rsid w:val="008E5469"/>
    <w:rsid w:val="008E5BB6"/>
    <w:rsid w:val="008E5BC4"/>
    <w:rsid w:val="008E6F89"/>
    <w:rsid w:val="008F1C26"/>
    <w:rsid w:val="008F47D1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4AC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7B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A94"/>
    <w:rsid w:val="00987DF1"/>
    <w:rsid w:val="00990160"/>
    <w:rsid w:val="00991CDA"/>
    <w:rsid w:val="009945F7"/>
    <w:rsid w:val="009955FC"/>
    <w:rsid w:val="009A0727"/>
    <w:rsid w:val="009A1584"/>
    <w:rsid w:val="009A2B8A"/>
    <w:rsid w:val="009A40B9"/>
    <w:rsid w:val="009A44A8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C221B"/>
    <w:rsid w:val="009C35B4"/>
    <w:rsid w:val="009C3F79"/>
    <w:rsid w:val="009C45F6"/>
    <w:rsid w:val="009C472E"/>
    <w:rsid w:val="009C634E"/>
    <w:rsid w:val="009D0E09"/>
    <w:rsid w:val="009D0FA3"/>
    <w:rsid w:val="009D16E4"/>
    <w:rsid w:val="009D2377"/>
    <w:rsid w:val="009D27A5"/>
    <w:rsid w:val="009D36F0"/>
    <w:rsid w:val="009D3A12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2C62"/>
    <w:rsid w:val="00A235E9"/>
    <w:rsid w:val="00A23F1D"/>
    <w:rsid w:val="00A2466A"/>
    <w:rsid w:val="00A24B70"/>
    <w:rsid w:val="00A2533C"/>
    <w:rsid w:val="00A25B77"/>
    <w:rsid w:val="00A2603A"/>
    <w:rsid w:val="00A27846"/>
    <w:rsid w:val="00A312B8"/>
    <w:rsid w:val="00A317EE"/>
    <w:rsid w:val="00A31F0F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12FE"/>
    <w:rsid w:val="00A72A09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6686"/>
    <w:rsid w:val="00A96D48"/>
    <w:rsid w:val="00A97CF9"/>
    <w:rsid w:val="00AA048C"/>
    <w:rsid w:val="00AA1C10"/>
    <w:rsid w:val="00AA20CD"/>
    <w:rsid w:val="00AA27E1"/>
    <w:rsid w:val="00AA3D3D"/>
    <w:rsid w:val="00AA424F"/>
    <w:rsid w:val="00AA4C3C"/>
    <w:rsid w:val="00AA75F9"/>
    <w:rsid w:val="00AB33CA"/>
    <w:rsid w:val="00AB459E"/>
    <w:rsid w:val="00AB4C1D"/>
    <w:rsid w:val="00AB54DB"/>
    <w:rsid w:val="00AB5BD4"/>
    <w:rsid w:val="00AB745F"/>
    <w:rsid w:val="00AC0068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C81"/>
    <w:rsid w:val="00B14EC3"/>
    <w:rsid w:val="00B17476"/>
    <w:rsid w:val="00B20E01"/>
    <w:rsid w:val="00B21F20"/>
    <w:rsid w:val="00B2433D"/>
    <w:rsid w:val="00B25798"/>
    <w:rsid w:val="00B25E0A"/>
    <w:rsid w:val="00B26988"/>
    <w:rsid w:val="00B32945"/>
    <w:rsid w:val="00B32FD2"/>
    <w:rsid w:val="00B36527"/>
    <w:rsid w:val="00B37EB0"/>
    <w:rsid w:val="00B4083E"/>
    <w:rsid w:val="00B43D09"/>
    <w:rsid w:val="00B44816"/>
    <w:rsid w:val="00B44F55"/>
    <w:rsid w:val="00B46EA5"/>
    <w:rsid w:val="00B47C1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2CE"/>
    <w:rsid w:val="00B84E45"/>
    <w:rsid w:val="00B85F60"/>
    <w:rsid w:val="00B8683D"/>
    <w:rsid w:val="00B91646"/>
    <w:rsid w:val="00B92309"/>
    <w:rsid w:val="00B926E8"/>
    <w:rsid w:val="00B929DD"/>
    <w:rsid w:val="00B953D7"/>
    <w:rsid w:val="00B96316"/>
    <w:rsid w:val="00BA075C"/>
    <w:rsid w:val="00BA2875"/>
    <w:rsid w:val="00BA4B63"/>
    <w:rsid w:val="00BA5368"/>
    <w:rsid w:val="00BA697D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3AFF"/>
    <w:rsid w:val="00BE0201"/>
    <w:rsid w:val="00BE0C3F"/>
    <w:rsid w:val="00BE10C4"/>
    <w:rsid w:val="00BE1F39"/>
    <w:rsid w:val="00BE396F"/>
    <w:rsid w:val="00BE3B29"/>
    <w:rsid w:val="00BE431B"/>
    <w:rsid w:val="00BE66AA"/>
    <w:rsid w:val="00BE6CB9"/>
    <w:rsid w:val="00BE7CDD"/>
    <w:rsid w:val="00BF1CD3"/>
    <w:rsid w:val="00BF3C1E"/>
    <w:rsid w:val="00BF3FA6"/>
    <w:rsid w:val="00BF6512"/>
    <w:rsid w:val="00BF6525"/>
    <w:rsid w:val="00BF6938"/>
    <w:rsid w:val="00BF7B60"/>
    <w:rsid w:val="00C020C4"/>
    <w:rsid w:val="00C043F0"/>
    <w:rsid w:val="00C04B06"/>
    <w:rsid w:val="00C060F0"/>
    <w:rsid w:val="00C068D8"/>
    <w:rsid w:val="00C106D9"/>
    <w:rsid w:val="00C10898"/>
    <w:rsid w:val="00C132D2"/>
    <w:rsid w:val="00C16DCA"/>
    <w:rsid w:val="00C16ECA"/>
    <w:rsid w:val="00C2046B"/>
    <w:rsid w:val="00C219C5"/>
    <w:rsid w:val="00C2276D"/>
    <w:rsid w:val="00C22F47"/>
    <w:rsid w:val="00C238AE"/>
    <w:rsid w:val="00C25996"/>
    <w:rsid w:val="00C30814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4157"/>
    <w:rsid w:val="00C74893"/>
    <w:rsid w:val="00C82CB7"/>
    <w:rsid w:val="00C84308"/>
    <w:rsid w:val="00C865AE"/>
    <w:rsid w:val="00C91AF0"/>
    <w:rsid w:val="00C92157"/>
    <w:rsid w:val="00C93E7E"/>
    <w:rsid w:val="00C94DC7"/>
    <w:rsid w:val="00C9547C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C0412"/>
    <w:rsid w:val="00CC0B23"/>
    <w:rsid w:val="00CC2E0A"/>
    <w:rsid w:val="00CC4E2C"/>
    <w:rsid w:val="00CD1842"/>
    <w:rsid w:val="00CD18AC"/>
    <w:rsid w:val="00CD51C8"/>
    <w:rsid w:val="00CD58AB"/>
    <w:rsid w:val="00CD6322"/>
    <w:rsid w:val="00CD66FA"/>
    <w:rsid w:val="00CE216B"/>
    <w:rsid w:val="00CE6327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9F7"/>
    <w:rsid w:val="00D0280A"/>
    <w:rsid w:val="00D0462B"/>
    <w:rsid w:val="00D054F2"/>
    <w:rsid w:val="00D06542"/>
    <w:rsid w:val="00D114E8"/>
    <w:rsid w:val="00D117EB"/>
    <w:rsid w:val="00D12B22"/>
    <w:rsid w:val="00D12C25"/>
    <w:rsid w:val="00D13675"/>
    <w:rsid w:val="00D13AF0"/>
    <w:rsid w:val="00D14947"/>
    <w:rsid w:val="00D1507B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6BDB"/>
    <w:rsid w:val="00D27BC2"/>
    <w:rsid w:val="00D304C4"/>
    <w:rsid w:val="00D325E7"/>
    <w:rsid w:val="00D33266"/>
    <w:rsid w:val="00D360F1"/>
    <w:rsid w:val="00D361D1"/>
    <w:rsid w:val="00D369BD"/>
    <w:rsid w:val="00D4111D"/>
    <w:rsid w:val="00D421E8"/>
    <w:rsid w:val="00D456BB"/>
    <w:rsid w:val="00D45988"/>
    <w:rsid w:val="00D45D3F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A2C"/>
    <w:rsid w:val="00DB4E44"/>
    <w:rsid w:val="00DB4EAF"/>
    <w:rsid w:val="00DB74ED"/>
    <w:rsid w:val="00DC0143"/>
    <w:rsid w:val="00DC1C73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E0599"/>
    <w:rsid w:val="00DE1210"/>
    <w:rsid w:val="00DF1820"/>
    <w:rsid w:val="00DF314A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7FA2"/>
    <w:rsid w:val="00E117BE"/>
    <w:rsid w:val="00E1201C"/>
    <w:rsid w:val="00E144F8"/>
    <w:rsid w:val="00E17619"/>
    <w:rsid w:val="00E17660"/>
    <w:rsid w:val="00E17897"/>
    <w:rsid w:val="00E2000E"/>
    <w:rsid w:val="00E265A0"/>
    <w:rsid w:val="00E31620"/>
    <w:rsid w:val="00E3389B"/>
    <w:rsid w:val="00E35D2A"/>
    <w:rsid w:val="00E426A7"/>
    <w:rsid w:val="00E427AB"/>
    <w:rsid w:val="00E4336D"/>
    <w:rsid w:val="00E43EBD"/>
    <w:rsid w:val="00E4573B"/>
    <w:rsid w:val="00E46DE4"/>
    <w:rsid w:val="00E477E0"/>
    <w:rsid w:val="00E54CDB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693"/>
    <w:rsid w:val="00EA2B12"/>
    <w:rsid w:val="00EA3533"/>
    <w:rsid w:val="00EA4693"/>
    <w:rsid w:val="00EA5D41"/>
    <w:rsid w:val="00EA6A28"/>
    <w:rsid w:val="00EA7802"/>
    <w:rsid w:val="00EB7D34"/>
    <w:rsid w:val="00EC3F83"/>
    <w:rsid w:val="00EC6D20"/>
    <w:rsid w:val="00EC7E6D"/>
    <w:rsid w:val="00ED3396"/>
    <w:rsid w:val="00ED3D08"/>
    <w:rsid w:val="00ED5902"/>
    <w:rsid w:val="00ED66E5"/>
    <w:rsid w:val="00EE073D"/>
    <w:rsid w:val="00EE0EB2"/>
    <w:rsid w:val="00EE1AEC"/>
    <w:rsid w:val="00EE2AE2"/>
    <w:rsid w:val="00EE34A1"/>
    <w:rsid w:val="00EE3C56"/>
    <w:rsid w:val="00EE5336"/>
    <w:rsid w:val="00EE7295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717"/>
    <w:rsid w:val="00F036D3"/>
    <w:rsid w:val="00F0528D"/>
    <w:rsid w:val="00F064B5"/>
    <w:rsid w:val="00F129AD"/>
    <w:rsid w:val="00F20616"/>
    <w:rsid w:val="00F22873"/>
    <w:rsid w:val="00F25EBD"/>
    <w:rsid w:val="00F26803"/>
    <w:rsid w:val="00F30613"/>
    <w:rsid w:val="00F30648"/>
    <w:rsid w:val="00F31CCD"/>
    <w:rsid w:val="00F32D91"/>
    <w:rsid w:val="00F33FB1"/>
    <w:rsid w:val="00F354B9"/>
    <w:rsid w:val="00F36CE7"/>
    <w:rsid w:val="00F37943"/>
    <w:rsid w:val="00F44A40"/>
    <w:rsid w:val="00F46B92"/>
    <w:rsid w:val="00F51F3E"/>
    <w:rsid w:val="00F53823"/>
    <w:rsid w:val="00F54A1B"/>
    <w:rsid w:val="00F54C3A"/>
    <w:rsid w:val="00F562E5"/>
    <w:rsid w:val="00F57096"/>
    <w:rsid w:val="00F57DDB"/>
    <w:rsid w:val="00F60B91"/>
    <w:rsid w:val="00F631A8"/>
    <w:rsid w:val="00F65FF8"/>
    <w:rsid w:val="00F700EB"/>
    <w:rsid w:val="00F703E3"/>
    <w:rsid w:val="00F72807"/>
    <w:rsid w:val="00F7495F"/>
    <w:rsid w:val="00F7522A"/>
    <w:rsid w:val="00F75D01"/>
    <w:rsid w:val="00F76219"/>
    <w:rsid w:val="00F7688A"/>
    <w:rsid w:val="00F85745"/>
    <w:rsid w:val="00F86A7C"/>
    <w:rsid w:val="00F87113"/>
    <w:rsid w:val="00F872AE"/>
    <w:rsid w:val="00F9220B"/>
    <w:rsid w:val="00F92230"/>
    <w:rsid w:val="00F92E75"/>
    <w:rsid w:val="00F93A9E"/>
    <w:rsid w:val="00F96C51"/>
    <w:rsid w:val="00F97CF9"/>
    <w:rsid w:val="00FA0631"/>
    <w:rsid w:val="00FA305E"/>
    <w:rsid w:val="00FA4949"/>
    <w:rsid w:val="00FA5183"/>
    <w:rsid w:val="00FA5B03"/>
    <w:rsid w:val="00FA5DEB"/>
    <w:rsid w:val="00FB1A04"/>
    <w:rsid w:val="00FB2D7C"/>
    <w:rsid w:val="00FB2FB9"/>
    <w:rsid w:val="00FB3D9A"/>
    <w:rsid w:val="00FB43D5"/>
    <w:rsid w:val="00FB5A13"/>
    <w:rsid w:val="00FB5F3B"/>
    <w:rsid w:val="00FB6D2D"/>
    <w:rsid w:val="00FB7141"/>
    <w:rsid w:val="00FB7246"/>
    <w:rsid w:val="00FC0C55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6782"/>
    <w:rsid w:val="00FE1E2B"/>
    <w:rsid w:val="00FE28DC"/>
    <w:rsid w:val="00FE4775"/>
    <w:rsid w:val="00FE49A4"/>
    <w:rsid w:val="00FE4C4B"/>
    <w:rsid w:val="00FE564B"/>
    <w:rsid w:val="00FE6E88"/>
    <w:rsid w:val="00FE7899"/>
    <w:rsid w:val="00FE7BAA"/>
    <w:rsid w:val="00FF316C"/>
    <w:rsid w:val="00FF478F"/>
    <w:rsid w:val="00FF6BF4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uiPriority w:val="9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uiPriority w:val="10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uiPriority w:val="1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semiHidden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semiHidden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semiHidden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0C986FF4193F72AA2C65C73471735F7FEBAD9DCC7B0B9C2087C662C7A8B70AEEE250E862BC7F02Bq4a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8B5AB955B53D2368DD22BF46D274628320CA28197C7AF223D3255C0C083FCDE5697443856DE27F409F149BD51EEC992893862E073ECFA1hAP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C1C2A5D5ECC656D4D1AE11A40ADB0464DAC19D04FF4136A9A1EA94C3QEq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AC19D04FF4136A9A1EA94C3QEq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7C4B-B7E3-4D92-9751-6C3BFDCC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17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remneva</cp:lastModifiedBy>
  <cp:revision>5</cp:revision>
  <cp:lastPrinted>2021-07-29T09:54:00Z</cp:lastPrinted>
  <dcterms:created xsi:type="dcterms:W3CDTF">2021-12-17T09:12:00Z</dcterms:created>
  <dcterms:modified xsi:type="dcterms:W3CDTF">2021-12-22T12:25:00Z</dcterms:modified>
</cp:coreProperties>
</file>