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апреля 2022 г. N 629</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РЕГУЛИРОВАНИЯ ЗЕМЕЛЬНЫХ ОТНОШЕНИЙ В РОССИЙСКОЙ ФЕДЕРАЦИИ</w:t>
      </w:r>
    </w:p>
    <w:p>
      <w:pPr>
        <w:pStyle w:val="2"/>
        <w:jc w:val="center"/>
      </w:pPr>
      <w:r>
        <w:rPr>
          <w:sz w:val="20"/>
        </w:rPr>
        <w:t xml:space="preserve">В 2022 И 2023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048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 w:tooltip="Постановление Правительства РФ от 30.12.2022 N 2536 &quot;О внесении изменений в постановление Правительства Российской Федерации от 9 апреля 2022 г. N 629&quot; {КонсультантПлюс}">
              <w:r>
                <w:rPr>
                  <w:sz w:val="20"/>
                  <w:color w:val="0000ff"/>
                </w:rPr>
                <w:t xml:space="preserve">Постановления</w:t>
              </w:r>
            </w:hyperlink>
            <w:r>
              <w:rPr>
                <w:sz w:val="20"/>
                <w:color w:val="392c69"/>
              </w:rPr>
              <w:t xml:space="preserve"> Правительства РФ от 30.12.2022 N 2536)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частью 1 статьи 8</w:t>
        </w:r>
      </w:hyperlink>
      <w:r>
        <w:rPr>
          <w:sz w:val="20"/>
        </w:rPr>
        <w:t xml:space="preserve"> Федерального закона от 14 марта 2022 г. N 58-ФЗ "О внесении изменений в отдельные законодательные акты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Установить, что в 2022 и 2023 годах:</w:t>
      </w:r>
    </w:p>
    <w:p>
      <w:pPr>
        <w:pStyle w:val="0"/>
        <w:jc w:val="both"/>
      </w:pPr>
      <w:r>
        <w:rPr>
          <w:sz w:val="20"/>
        </w:rPr>
        <w:t xml:space="preserve">(в ред. </w:t>
      </w:r>
      <w:hyperlink w:history="0" r:id="rId8" w:tooltip="Постановление Правительства РФ от 30.12.2022 N 2536 &quot;О внесении изменений в постановление Правительства Российской Федерации от 9 апреля 2022 г. N 629&quot; {КонсультантПлюс}">
        <w:r>
          <w:rPr>
            <w:sz w:val="20"/>
            <w:color w:val="0000ff"/>
          </w:rPr>
          <w:t xml:space="preserve">Постановления</w:t>
        </w:r>
      </w:hyperlink>
      <w:r>
        <w:rPr>
          <w:sz w:val="20"/>
        </w:rPr>
        <w:t xml:space="preserve"> Правительства РФ от 30.12.2022 N 2536)</w:t>
      </w:r>
    </w:p>
    <w:p>
      <w:pPr>
        <w:pStyle w:val="0"/>
        <w:spacing w:before="200" w:line-rule="auto"/>
        <w:ind w:firstLine="540"/>
        <w:jc w:val="both"/>
      </w:pPr>
      <w:r>
        <w:rPr>
          <w:sz w:val="20"/>
        </w:rPr>
        <w:t xml:space="preserve">наряду со случаями, предусмотренными Земельным </w:t>
      </w:r>
      <w:hyperlink w:history="0" r:id="rId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 условии соблюдения требований, предусмотренных </w:t>
      </w:r>
      <w:hyperlink w:history="0" r:id="rId10"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пунктами 1</w:t>
        </w:r>
      </w:hyperlink>
      <w:r>
        <w:rPr>
          <w:sz w:val="20"/>
        </w:rPr>
        <w:t xml:space="preserve"> - </w:t>
      </w:r>
      <w:hyperlink w:history="0" r:id="rId1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5 статьи 39.22</w:t>
        </w:r>
      </w:hyperlink>
      <w:r>
        <w:rPr>
          <w:sz w:val="20"/>
        </w:rPr>
        <w:t xml:space="preserve"> Земельного кодекса Российской Федерации, допускается заключение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 в случае, если такой земельный участок, находящийся в частной собственности, необходим для размещения объектов или реализации масштабных инвестиционных проектов, указанных в </w:t>
      </w:r>
      <w:hyperlink w:history="0" r:id="rId12"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подпунктах 2</w:t>
        </w:r>
      </w:hyperlink>
      <w:r>
        <w:rPr>
          <w:sz w:val="20"/>
        </w:rPr>
        <w:t xml:space="preserve"> и </w:t>
      </w:r>
      <w:hyperlink w:history="0" r:id="rId13"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3 пункта 2 статьи 39.6</w:t>
        </w:r>
      </w:hyperlink>
      <w:r>
        <w:rPr>
          <w:sz w:val="20"/>
        </w:rPr>
        <w:t xml:space="preserve"> Земельного кодекса Российской Федерации, а также для размещения объектов социальной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 При этом с соблюдением требований, предусмотренных </w:t>
      </w:r>
      <w:hyperlink w:history="0" r:id="rId1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пунктом 5 статьи 39.22</w:t>
        </w:r>
      </w:hyperlink>
      <w:r>
        <w:rPr>
          <w:sz w:val="20"/>
        </w:rPr>
        <w:t xml:space="preserve"> Земельного кодекса Российской Федерации, может осуществляться обмен одного или нескольких земельных участков, находящихся в государственной или муниципальной собственности, на один или несколько земельных участков, находящихся в частной собственности;</w:t>
      </w:r>
    </w:p>
    <w:p>
      <w:pPr>
        <w:pStyle w:val="0"/>
        <w:jc w:val="both"/>
      </w:pPr>
      <w:r>
        <w:rPr>
          <w:sz w:val="20"/>
        </w:rPr>
        <w:t xml:space="preserve">(в ред. </w:t>
      </w:r>
      <w:hyperlink w:history="0" r:id="rId15" w:tooltip="Постановление Правительства РФ от 30.12.2022 N 2536 &quot;О внесении изменений в постановление Правительства Российской Федерации от 9 апреля 2022 г. N 629&quot; {КонсультантПлюс}">
        <w:r>
          <w:rPr>
            <w:sz w:val="20"/>
            <w:color w:val="0000ff"/>
          </w:rPr>
          <w:t xml:space="preserve">Постановления</w:t>
        </w:r>
      </w:hyperlink>
      <w:r>
        <w:rPr>
          <w:sz w:val="20"/>
        </w:rPr>
        <w:t xml:space="preserve"> Правительства РФ от 30.12.2022 N 2536)</w:t>
      </w:r>
    </w:p>
    <w:p>
      <w:pPr>
        <w:pStyle w:val="0"/>
        <w:spacing w:before="200" w:line-rule="auto"/>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с учетом следующих особенностей:</w:t>
      </w:r>
    </w:p>
    <w:p>
      <w:pPr>
        <w:pStyle w:val="0"/>
        <w:spacing w:before="200" w:line-rule="auto"/>
        <w:ind w:firstLine="540"/>
        <w:jc w:val="both"/>
      </w:pPr>
      <w:r>
        <w:rPr>
          <w:sz w:val="20"/>
        </w:rPr>
        <w:t xml:space="preserve">а) допускается наряду со случаями, предусмотренными Земельным </w:t>
      </w:r>
      <w:hyperlink w:history="0" r:id="rId16"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продажа без проведения торгов земельного участка, находящегося в государственной или муниципальной собственности, и земельного участка, государственная собственность на который не разграничена, предназначенных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 и предоставленных в аренду, при условии отсутствия у уполномоченного органа, предусмотренного </w:t>
      </w:r>
      <w:hyperlink w:history="0" r:id="rId17"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39.2</w:t>
        </w:r>
      </w:hyperlink>
      <w:r>
        <w:rPr>
          <w:sz w:val="20"/>
        </w:rPr>
        <w:t xml:space="preserve"> Земельного кодекса Российской Федерации,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pPr>
        <w:pStyle w:val="0"/>
        <w:jc w:val="both"/>
      </w:pPr>
      <w:r>
        <w:rPr>
          <w:sz w:val="20"/>
        </w:rPr>
        <w:t xml:space="preserve">(пп. "а" в ред. </w:t>
      </w:r>
      <w:hyperlink w:history="0" r:id="rId18" w:tooltip="Постановление Правительства РФ от 30.12.2022 N 2536 &quot;О внесении изменений в постановление Правительства Российской Федерации от 9 апреля 2022 г. N 629&quot; {КонсультантПлюс}">
        <w:r>
          <w:rPr>
            <w:sz w:val="20"/>
            <w:color w:val="0000ff"/>
          </w:rPr>
          <w:t xml:space="preserve">Постановления</w:t>
        </w:r>
      </w:hyperlink>
      <w:r>
        <w:rPr>
          <w:sz w:val="20"/>
        </w:rPr>
        <w:t xml:space="preserve"> Правительства РФ от 30.12.2022 N 2536)</w:t>
      </w:r>
    </w:p>
    <w:bookmarkStart w:id="20" w:name="P20"/>
    <w:bookmarkEnd w:id="20"/>
    <w:p>
      <w:pPr>
        <w:pStyle w:val="0"/>
        <w:spacing w:before="200" w:line-rule="auto"/>
        <w:ind w:firstLine="540"/>
        <w:jc w:val="both"/>
      </w:pPr>
      <w:r>
        <w:rPr>
          <w:sz w:val="20"/>
        </w:rPr>
        <w:t xml:space="preserve">б) наряду со случаями, предусмотренными Земельным </w:t>
      </w:r>
      <w:hyperlink w:history="0" r:id="rId1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pPr>
        <w:pStyle w:val="0"/>
        <w:spacing w:before="200" w:line-rule="auto"/>
        <w:ind w:firstLine="540"/>
        <w:jc w:val="both"/>
      </w:pPr>
      <w:r>
        <w:rPr>
          <w:sz w:val="20"/>
        </w:rPr>
        <w:t xml:space="preserve">в) процедуры, предусмотренные </w:t>
      </w:r>
      <w:hyperlink w:history="0" r:id="rId20"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пунктом 7 статьи 11.4</w:t>
        </w:r>
      </w:hyperlink>
      <w:r>
        <w:rPr>
          <w:sz w:val="20"/>
        </w:rPr>
        <w:t xml:space="preserve">, </w:t>
      </w:r>
      <w:hyperlink w:history="0" r:id="rId2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подпунктом 3 пункта 4 статьи 39.11</w:t>
        </w:r>
      </w:hyperlink>
      <w:r>
        <w:rPr>
          <w:sz w:val="20"/>
        </w:rPr>
        <w:t xml:space="preserve">, </w:t>
      </w:r>
      <w:hyperlink w:history="0" r:id="rId22"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пунктом 7 статьи 39.15</w:t>
        </w:r>
      </w:hyperlink>
      <w:r>
        <w:rPr>
          <w:sz w:val="20"/>
        </w:rPr>
        <w:t xml:space="preserve">, </w:t>
      </w:r>
      <w:hyperlink w:history="0" r:id="rId23"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пунктом 5 статьи 39.17</w:t>
        </w:r>
      </w:hyperlink>
      <w:r>
        <w:rPr>
          <w:sz w:val="20"/>
        </w:rPr>
        <w:t xml:space="preserve">, </w:t>
      </w:r>
      <w:hyperlink w:history="0" r:id="rId2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пунктом 1 статьи 39.18</w:t>
        </w:r>
      </w:hyperlink>
      <w:r>
        <w:rPr>
          <w:sz w:val="20"/>
        </w:rPr>
        <w:t xml:space="preserve"> Земельного кодекса Российской Федерации, осуществляются в срок не более 14 календарных дней;</w:t>
      </w:r>
    </w:p>
    <w:p>
      <w:pPr>
        <w:pStyle w:val="0"/>
        <w:spacing w:before="200" w:line-rule="auto"/>
        <w:ind w:firstLine="540"/>
        <w:jc w:val="both"/>
      </w:pPr>
      <w:r>
        <w:rPr>
          <w:sz w:val="20"/>
        </w:rPr>
        <w:t xml:space="preserve">г) процедуры, предусмотренные </w:t>
      </w:r>
      <w:hyperlink w:history="0" r:id="rId2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пунктом 7.1 статьи 39.15</w:t>
        </w:r>
      </w:hyperlink>
      <w:r>
        <w:rPr>
          <w:sz w:val="20"/>
        </w:rPr>
        <w:t xml:space="preserve">, </w:t>
      </w:r>
      <w:hyperlink w:history="0" r:id="rId26"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подпунктом 2 пункта 5 статьи 39.18</w:t>
        </w:r>
      </w:hyperlink>
      <w:r>
        <w:rPr>
          <w:sz w:val="20"/>
        </w:rPr>
        <w:t xml:space="preserve"> Земельного кодекса Российской Федерации, осуществляются в срок не более 20 календарных дней;</w:t>
      </w:r>
    </w:p>
    <w:p>
      <w:pPr>
        <w:pStyle w:val="0"/>
        <w:spacing w:before="200" w:line-rule="auto"/>
        <w:ind w:firstLine="540"/>
        <w:jc w:val="both"/>
      </w:pPr>
      <w:r>
        <w:rPr>
          <w:sz w:val="20"/>
        </w:rPr>
        <w:t xml:space="preserve">д) процедура, предусмотренная </w:t>
      </w:r>
      <w:hyperlink w:history="0" r:id="rId27"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абзацем первым пункта 5 статьи 39.18</w:t>
        </w:r>
      </w:hyperlink>
      <w:r>
        <w:rPr>
          <w:sz w:val="20"/>
        </w:rPr>
        <w:t xml:space="preserve"> Земельного кодекса Российской Федерации, осуществляется в срок не более 10 календарных дней;</w:t>
      </w:r>
    </w:p>
    <w:p>
      <w:pPr>
        <w:pStyle w:val="0"/>
        <w:spacing w:before="200" w:line-rule="auto"/>
        <w:ind w:firstLine="540"/>
        <w:jc w:val="both"/>
      </w:pPr>
      <w:r>
        <w:rPr>
          <w:sz w:val="20"/>
        </w:rPr>
        <w:t xml:space="preserve">е) наряду со случаями, предусмотренными Земельным </w:t>
      </w:r>
      <w:hyperlink w:history="0" r:id="rId28"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по инициативе гражданина или юридического лица может осуществляться подготовка схемы расположения земельного участка или земельных участков на кадастровом плане территории при образовании земельного участка или земельных участков в границах населенных пунктов для проведения аукциона по продаже земельного участка или земельных участков или аукциона на право заключения договора аренды земельного участка или земельных участков,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и Севастополя.</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по основаниям, предусмотренным </w:t>
      </w:r>
      <w:hyperlink w:history="0" w:anchor="P20" w:tooltip="б) наряду со случаями, предусмотренными Земельным кодексом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
        <w:r>
          <w:rPr>
            <w:sz w:val="20"/>
            <w:color w:val="0000ff"/>
          </w:rPr>
          <w:t xml:space="preserve">подпунктом "б" пункта 1</w:t>
        </w:r>
      </w:hyperlink>
      <w:r>
        <w:rPr>
          <w:sz w:val="20"/>
        </w:rPr>
        <w:t xml:space="preserve"> настоящего постановления,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 указанных в </w:t>
      </w:r>
      <w:hyperlink w:history="0" w:anchor="P20" w:tooltip="б) наряду со случаями, предусмотренными Земельным кодексом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
        <w:r>
          <w:rPr>
            <w:sz w:val="20"/>
            <w:color w:val="0000ff"/>
          </w:rPr>
          <w:t xml:space="preserve">подпункте "б" пункта 1</w:t>
        </w:r>
      </w:hyperlink>
      <w:r>
        <w:rPr>
          <w:sz w:val="20"/>
        </w:rPr>
        <w:t xml:space="preserve"> настоящего постановления.</w:t>
      </w:r>
    </w:p>
    <w:p>
      <w:pPr>
        <w:pStyle w:val="0"/>
        <w:spacing w:before="200" w:line-rule="auto"/>
        <w:ind w:firstLine="540"/>
        <w:jc w:val="both"/>
      </w:pPr>
      <w:r>
        <w:rPr>
          <w:sz w:val="20"/>
        </w:rPr>
        <w:t xml:space="preserve">Арендодатель обязан направить арендатору уведомление об отказе от указанного договора.</w:t>
      </w:r>
    </w:p>
    <w:bookmarkStart w:id="27" w:name="P27"/>
    <w:bookmarkEnd w:id="27"/>
    <w:p>
      <w:pPr>
        <w:pStyle w:val="0"/>
        <w:spacing w:before="200" w:line-rule="auto"/>
        <w:ind w:firstLine="540"/>
        <w:jc w:val="both"/>
      </w:pPr>
      <w:r>
        <w:rPr>
          <w:sz w:val="20"/>
        </w:rPr>
        <w:t xml:space="preserve">3. Предоставление земельных участков в целях осуществления деятельности, указанной в </w:t>
      </w:r>
      <w:hyperlink w:history="0" w:anchor="P20" w:tooltip="б) наряду со случаями, предусмотренными Земельным кодексом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
        <w:r>
          <w:rPr>
            <w:sz w:val="20"/>
            <w:color w:val="0000ff"/>
          </w:rPr>
          <w:t xml:space="preserve">подпункте "б" пункта 1</w:t>
        </w:r>
      </w:hyperlink>
      <w:r>
        <w:rPr>
          <w:sz w:val="20"/>
        </w:rPr>
        <w:t xml:space="preserve"> настоящего постановления,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4. В случае если предоставление земельного участка, находящегося в государственной или муниципальной собственности, в соответствии с </w:t>
      </w:r>
      <w:hyperlink w:history="0" w:anchor="P27" w:tooltip="3. Предоставление земельных участков в целях осуществления деятельности, указанной в подпункте &quot;б&quot; пункта 1 настоящего постановления,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
        <w:r>
          <w:rPr>
            <w:sz w:val="20"/>
            <w:color w:val="0000ff"/>
          </w:rPr>
          <w:t xml:space="preserve">пунктом 3</w:t>
        </w:r>
      </w:hyperlink>
      <w:r>
        <w:rPr>
          <w:sz w:val="20"/>
        </w:rPr>
        <w:t xml:space="preserve"> настоящего постановления не соответствует утвержденной для соответствующей территории документации по планировке территории и документам градостроительного зонирования, документация по планировке территории и документы градостроительного зонирования подлежат изменению в части приведения их в соответствие с целями предоставления указанного земельного участка в течение 6 месяцев со дня его предоставления.</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873" w:right="567" w:bottom="590" w:left="567"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09.04.2022 N 629</w:t>
            <w:br/>
            <w:t>(ред. от 30.12.2022)</w:t>
            <w:br/>
            <w:t>"Об особенностях регулирования земельных отношен...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09.04.2022 N 629 (ред. от 30.12.2022) "Об особенностях регулирования земельных отношен...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F8CB26E7A1A533C809998749DFAE13D4C1B163D1BC4C26AEF6A066C3FB9DA5E7FB653E08F890E69DF637E599D3FC68CEEF8C437998254735q9H2L" TargetMode = "External"/>
	<Relationship Id="rId7" Type="http://schemas.openxmlformats.org/officeDocument/2006/relationships/hyperlink" Target="consultantplus://offline/ref=F8CB26E7A1A533C809998749DFAE13D4C1B161DFB94626AEF6A066C3FB9DA5E7FB653E08F890E698F237E599D3FC68CEEF8C437998254735q9H2L" TargetMode = "External"/>
	<Relationship Id="rId8" Type="http://schemas.openxmlformats.org/officeDocument/2006/relationships/hyperlink" Target="consultantplus://offline/ref=F8CB26E7A1A533C809998749DFAE13D4C1B163D1BC4C26AEF6A066C3FB9DA5E7FB653E08F890E69CF137E599D3FC68CEEF8C437998254735q9H2L" TargetMode = "External"/>
	<Relationship Id="rId9" Type="http://schemas.openxmlformats.org/officeDocument/2006/relationships/hyperlink" Target="consultantplus://offline/ref=F8CB26E7A1A533C809998749DFAE13D4C1B067D3B84F26AEF6A066C3FB9DA5E7E9656604F996F89DF222B3C895qAHAL" TargetMode = "External"/>
	<Relationship Id="rId10" Type="http://schemas.openxmlformats.org/officeDocument/2006/relationships/hyperlink" Target="consultantplus://offline/ref=F8CB26E7A1A533C809998749DFAE13D4C1B067D3B84F26AEF6A066C3FB9DA5E7FB653E00F897EDC9A278E4C596AF7BCFE88C417884q2H4L" TargetMode = "External"/>
	<Relationship Id="rId11" Type="http://schemas.openxmlformats.org/officeDocument/2006/relationships/hyperlink" Target="consultantplus://offline/ref=F8CB26E7A1A533C809998749DFAE13D4C1B067D3B84F26AEF6A066C3FB9DA5E7FB653E00F991EDC9A278E4C596AF7BCFE88C417884q2H4L" TargetMode = "External"/>
	<Relationship Id="rId12" Type="http://schemas.openxmlformats.org/officeDocument/2006/relationships/hyperlink" Target="consultantplus://offline/ref=F8CB26E7A1A533C809998749DFAE13D4C1B067D3B84F26AEF6A066C3FB9DA5E7FB653E0DFE99EDC9A278E4C596AF7BCFE88C417884q2H4L" TargetMode = "External"/>
	<Relationship Id="rId13" Type="http://schemas.openxmlformats.org/officeDocument/2006/relationships/hyperlink" Target="consultantplus://offline/ref=F8CB26E7A1A533C809998749DFAE13D4C1B067D3B84F26AEF6A066C3FB9DA5E7FB653E0DFF90EDC9A278E4C596AF7BCFE88C417884q2H4L" TargetMode = "External"/>
	<Relationship Id="rId14" Type="http://schemas.openxmlformats.org/officeDocument/2006/relationships/hyperlink" Target="consultantplus://offline/ref=F8CB26E7A1A533C809998749DFAE13D4C1B067D3B84F26AEF6A066C3FB9DA5E7FB653E00F991EDC9A278E4C596AF7BCFE88C417884q2H4L" TargetMode = "External"/>
	<Relationship Id="rId15" Type="http://schemas.openxmlformats.org/officeDocument/2006/relationships/hyperlink" Target="consultantplus://offline/ref=F8CB26E7A1A533C809998749DFAE13D4C1B163D1BC4C26AEF6A066C3FB9DA5E7FB653E08F890E69CF037E599D3FC68CEEF8C437998254735q9H2L" TargetMode = "External"/>
	<Relationship Id="rId16" Type="http://schemas.openxmlformats.org/officeDocument/2006/relationships/hyperlink" Target="consultantplus://offline/ref=F8CB26E7A1A533C809998749DFAE13D4C1B067D3B84F26AEF6A066C3FB9DA5E7E9656604F996F89DF222B3C895qAHAL" TargetMode = "External"/>
	<Relationship Id="rId17" Type="http://schemas.openxmlformats.org/officeDocument/2006/relationships/hyperlink" Target="consultantplus://offline/ref=F8CB26E7A1A533C809998749DFAE13D4C1B067D3B84F26AEF6A066C3FB9DA5E7FB653E0DFB91EDC9A278E4C596AF7BCFE88C417884q2H4L" TargetMode = "External"/>
	<Relationship Id="rId18" Type="http://schemas.openxmlformats.org/officeDocument/2006/relationships/hyperlink" Target="consultantplus://offline/ref=F8CB26E7A1A533C809998749DFAE13D4C1B163D1BC4C26AEF6A066C3FB9DA5E7FB653E08F890E69CF737E599D3FC68CEEF8C437998254735q9H2L" TargetMode = "External"/>
	<Relationship Id="rId19" Type="http://schemas.openxmlformats.org/officeDocument/2006/relationships/hyperlink" Target="consultantplus://offline/ref=F8CB26E7A1A533C809998749DFAE13D4C1B067D3B84F26AEF6A066C3FB9DA5E7E9656604F996F89DF222B3C895qAHAL" TargetMode = "External"/>
	<Relationship Id="rId20" Type="http://schemas.openxmlformats.org/officeDocument/2006/relationships/hyperlink" Target="consultantplus://offline/ref=F8CB26E7A1A533C809998749DFAE13D4C1B067D3B84F26AEF6A066C3FB9DA5E7FB653E0AFB98EDC9A278E4C596AF7BCFE88C417884q2H4L" TargetMode = "External"/>
	<Relationship Id="rId21" Type="http://schemas.openxmlformats.org/officeDocument/2006/relationships/hyperlink" Target="consultantplus://offline/ref=F8CB26E7A1A533C809998749DFAE13D4C1B067D3B84F26AEF6A066C3FB9DA5E7FB653E0FF898EDC9A278E4C596AF7BCFE88C417884q2H4L" TargetMode = "External"/>
	<Relationship Id="rId22" Type="http://schemas.openxmlformats.org/officeDocument/2006/relationships/hyperlink" Target="consultantplus://offline/ref=F8CB26E7A1A533C809998749DFAE13D4C1B067D3B84F26AEF6A066C3FB9DA5E7FB653E0EFF95EDC9A278E4C596AF7BCFE88C417884q2H4L" TargetMode = "External"/>
	<Relationship Id="rId23" Type="http://schemas.openxmlformats.org/officeDocument/2006/relationships/hyperlink" Target="consultantplus://offline/ref=F8CB26E7A1A533C809998749DFAE13D4C1B067D3B84F26AEF6A066C3FB9DA5E7FB653E01FD92EDC9A278E4C596AF7BCFE88C417884q2H4L" TargetMode = "External"/>
	<Relationship Id="rId24" Type="http://schemas.openxmlformats.org/officeDocument/2006/relationships/hyperlink" Target="consultantplus://offline/ref=F8CB26E7A1A533C809998749DFAE13D4C1B067D3B84F26AEF6A066C3FB9DA5E7FB653E08FF92E196A76DF59D9AA863D1E9935D7A8625q4H4L" TargetMode = "External"/>
	<Relationship Id="rId25" Type="http://schemas.openxmlformats.org/officeDocument/2006/relationships/hyperlink" Target="consultantplus://offline/ref=F8CB26E7A1A533C809998749DFAE13D4C1B067D3B84F26AEF6A066C3FB9DA5E7FB653E08FE97E196A76DF59D9AA863D1E9935D7A8625q4H4L" TargetMode = "External"/>
	<Relationship Id="rId26" Type="http://schemas.openxmlformats.org/officeDocument/2006/relationships/hyperlink" Target="consultantplus://offline/ref=F8CB26E7A1A533C809998749DFAE13D4C1B067D3B84F26AEF6A066C3FB9DA5E7FB653E08FE97EF96A76DF59D9AA863D1E9935D7A8625q4H4L" TargetMode = "External"/>
	<Relationship Id="rId27" Type="http://schemas.openxmlformats.org/officeDocument/2006/relationships/hyperlink" Target="consultantplus://offline/ref=F8CB26E7A1A533C809998749DFAE13D4C1B067D3B84F26AEF6A066C3FB9DA5E7FB653E01FF94EDC9A278E4C596AF7BCFE88C417884q2H4L" TargetMode = "External"/>
	<Relationship Id="rId28" Type="http://schemas.openxmlformats.org/officeDocument/2006/relationships/hyperlink" Target="consultantplus://offline/ref=F8CB26E7A1A533C809998749DFAE13D4C1B067D3B84F26AEF6A066C3FB9DA5E7E9656604F996F89DF222B3C895qAH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09.04.2022 N 629
(ред. от 30.12.2022)
"Об особенностях регулирования земельных отношений в Российской Федерации в 2022 и 2023 годах"</dc:title>
  <dcterms:created xsi:type="dcterms:W3CDTF">2023-01-16T11:07:42Z</dcterms:created>
</cp:coreProperties>
</file>