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5" w:rsidRPr="00FC0F85" w:rsidRDefault="00FC0F85" w:rsidP="00FC0F8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C0F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поведению в коррупционной ситуации</w:t>
      </w:r>
    </w:p>
    <w:p w:rsidR="00FC0F85" w:rsidRPr="00FC0F85" w:rsidRDefault="00FC0F85" w:rsidP="00FC0F85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0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C0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М Я Т К А</w:t>
      </w:r>
    </w:p>
    <w:p w:rsidR="00FC0F85" w:rsidRPr="00FC0F85" w:rsidRDefault="00FC0F85" w:rsidP="00FC0F85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государственному гражданскому (муниципальному) служащему по правилам поведения в ситуации коррупционной направленности</w:t>
      </w:r>
    </w:p>
    <w:tbl>
      <w:tblPr>
        <w:tblpPr w:leftFromText="180" w:rightFromText="180" w:vertAnchor="text" w:horzAnchor="page" w:tblpX="1581" w:tblpY="306"/>
        <w:tblW w:w="14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1974"/>
      </w:tblGrid>
      <w:tr w:rsidR="00FC0F85" w:rsidRPr="00FC0F85" w:rsidTr="00FC0F85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Возможные ситуации коррупционной направленности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Рекомендации по правилам поведения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1. Провокации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bookmarkStart w:id="0" w:name="_GoBack"/>
            <w:r>
              <w:rPr>
                <w:rFonts w:ascii="Tahoma" w:hAnsi="Tahoma" w:cs="Tahoma"/>
                <w:color w:val="000000"/>
              </w:rPr>
              <w:t>- не оставлять без присмотра служебные помещения, в которых находятся посетители и личные вещи (одежда, портфели, сумки и т. д.);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в случае обнаружения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</w:t>
            </w:r>
            <w:bookmarkEnd w:id="0"/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2. Если  Вам предлагают взятку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-вести себя крайне осторожно, вежливо, без заискивания, не допуская опрометчивых высказываний, которые могли бы трактоваться взяткодателем как готовность принять взятку;</w:t>
            </w:r>
          </w:p>
          <w:p w:rsidR="00FC0F85" w:rsidRDefault="00FC0F85" w:rsidP="00FC0F85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</w:p>
          <w:p w:rsidR="00FC0F85" w:rsidRDefault="00FC0F85" w:rsidP="00FC0F85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    при наличии у Вас диктофона постараться записать (скрытно) предложение о взятке;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    подготовить письменное сообщение по данному факту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3. Угроза жизни и здоровью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Если оказывается открытое давление или осуществляется угроза жизни и здоровью гражданского служащего или членам его семьи со стороны сотрудников проверяемой организации либо от других лиц рекомендуется: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    по возможности скрытно включить записывающее устройство;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 xml:space="preserve">-    </w:t>
            </w:r>
            <w:proofErr w:type="gramStart"/>
            <w:r>
              <w:rPr>
                <w:rFonts w:ascii="Tahoma" w:hAnsi="Tahoma" w:cs="Tahoma"/>
                <w:color w:val="000000"/>
              </w:rPr>
              <w:t>с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</w:rPr>
              <w:t>угрожающими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руководителю, вызвать руководителя проверяемой организации;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   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    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    в случае поступления угроз по телефону, по возможности определить номер телефона, с которого поступил звонок, и записать разговор на диктофон;</w:t>
            </w:r>
          </w:p>
          <w:p w:rsidR="00FC0F85" w:rsidRDefault="00FC0F85" w:rsidP="00FC0F85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4.Конфликты интересов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внимательно относиться к любой возможности возникновения конфликта интересов;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принимать меры по предотвращению конфликта интересов;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сообщать непосредственному руководителю о любом реальном или потенциальном конфликте интересов, как только Вам становится о нем известно;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подчиниться решению по предотвращению или преодолению конфликта интересов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 интересы вне гражданской службы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гражданский служащий не должен осуществлять деятельность, занимать (</w:t>
            </w:r>
            <w:proofErr w:type="spellStart"/>
            <w:r>
              <w:rPr>
                <w:rFonts w:ascii="Tahoma" w:hAnsi="Tahoma" w:cs="Tahoma"/>
                <w:color w:val="000000"/>
              </w:rPr>
              <w:t>возмездно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или безвозмездно) должность или негосударственный пост, не совместимые с гражданской службой, а </w:t>
            </w:r>
            <w:proofErr w:type="gramStart"/>
            <w:r>
              <w:rPr>
                <w:rFonts w:ascii="Tahoma" w:hAnsi="Tahoma" w:cs="Tahoma"/>
                <w:color w:val="000000"/>
              </w:rPr>
              <w:t>также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если они могут привести к конфликту интересов;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- гражданский служащий прежде чем соглашаться на </w:t>
            </w:r>
            <w:proofErr w:type="gramStart"/>
            <w:r>
              <w:rPr>
                <w:rFonts w:ascii="Tahoma" w:hAnsi="Tahoma" w:cs="Tahoma"/>
                <w:color w:val="000000"/>
              </w:rPr>
              <w:t>замещение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каких бы то ни было должностей или постов вне гражданской службы обязан согласовать этот вопрос со своим непосредственным руководителем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 участие в политической деятельности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с учетом соблюдения своих конституционных прав гражданский служащий обязан следить за тем, чтобы его участие в политической деятельности,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обязанности.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- подарки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- гражданский служащий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гражданский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обязанностям;</w:t>
            </w:r>
            <w:proofErr w:type="gramEnd"/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обычное гостеприимство и личные подарки в допускаемых   федеральными законами формах и размерах не должны создавать конфликт интересов или его видимость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 отношение к ненадлежащей выгоде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Если гражданскому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отказаться от ненадлежащей выгоды;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попытаться установить лицо, сделавшее такое предложение;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избегать длительных контактов, связанных с предложением ненадлежащей выгоды;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в случае</w:t>
            </w:r>
            <w:proofErr w:type="gramStart"/>
            <w:r>
              <w:rPr>
                <w:rFonts w:ascii="Tahoma" w:hAnsi="Tahoma" w:cs="Tahoma"/>
                <w:color w:val="000000"/>
              </w:rPr>
              <w:t>,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если ненадлежащую выгоду нельзя ни отклонить, ни возвратить отправителю, она должна быть передана соответствующим государственным органам;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продолжать работу в обычном порядке, в особенности с делом, в связи с которым была предложена ненадлежащая выгода.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(Ненадлежащей выгодой считается получение в результате коррупционных действий денежных средств, материальных или нематериальных благ, преимуществ, не предусмотренных действующим законодательством.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</w:rPr>
              <w:t>Основанием получения ненадлежащей выгоды выступает корыстная мотивация гражданского служащего, направленная на незаконное личное обогащение или создание условий для такового).</w:t>
            </w:r>
            <w:proofErr w:type="gramEnd"/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 уязвимость гражданского служащего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гражданский служащий в своем поведении не должен допускать возникновения или создания ситуаций или их видимости, которые могут вынудить его оказать услугу или предпочтение другому лицу или организации.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- злоупотребление служебным </w:t>
            </w: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положением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-гражданский служащий не должен предлагать никаких  услуг, оказания предпочтения или иных выгод, каким-либо образом связанных с его должностным положением, если у него нет на это законного основания;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- гражданский служащий не должен пытаться влиять в своих интересах на какое бы то ни было лицо или организацию, в том числе и на других гражданских служащих, пользуясь своим служебным положением </w:t>
            </w:r>
            <w:r>
              <w:rPr>
                <w:rFonts w:ascii="Tahoma" w:hAnsi="Tahoma" w:cs="Tahoma"/>
                <w:color w:val="000000"/>
              </w:rPr>
              <w:lastRenderedPageBreak/>
              <w:t>или предлагая им ненадлежащую выгоду.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- использование служебного положения и имущества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гражданский служащий должен принимать меры, чтобы управление вверенным ему имуществом, подчиненными службами и финансовыми средствами было компетентно, экономно и эффективно, учитывая, что непринятие указанных мер может быть оценено как конфликт интересов;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гражданский служащий обязан не допускать использования указанных средств и имущества во внеслужебных целях, если это не разрешено в установленном законом порядке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 использование информации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-гражданский служащий может сообщать и использовать служебную информацию только при соблюдении действующих в государственном органе норм и требований, принятых в соответствии с федеральными законами;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-гражданский служащий обязан принимать соответствующие меры для 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-гражданский служащий не должен стремиться получить доступ к служебной информации, не относящейся к его компетенции;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-гражданский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-служащий не должен задерживать официальную    информацию, которая может или должна быть предана гласности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 интересы после прекращения гражданской службы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    гражданский служащий не должен использовать свое нахождение на гражданской службе для получения предложений работы после ее завершения;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    гражданский служащий не должен допускать, чтобы  перспектива другой работы способствовала реальному или потенциальному конфликту интересов, и в этой связи обязан: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а) незамедлительно доложить непосредственному руководителю о любом конкретном предложении работы после завершения гражданской службы,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и принять согласованное решение о совместимости предложения с дальнейшим прохождением гражданской службы;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б)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-        бывший гражданский служащий не должен действовать от </w:t>
            </w:r>
            <w:proofErr w:type="gramStart"/>
            <w:r>
              <w:rPr>
                <w:rFonts w:ascii="Tahoma" w:hAnsi="Tahoma" w:cs="Tahoma"/>
                <w:color w:val="000000"/>
              </w:rPr>
              <w:t>имени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какого бы то ни было лица или </w:t>
            </w:r>
            <w:r>
              <w:rPr>
                <w:rFonts w:ascii="Tahoma" w:hAnsi="Tahoma" w:cs="Tahoma"/>
                <w:color w:val="000000"/>
              </w:rPr>
              <w:lastRenderedPageBreak/>
              <w:t>организации в деле, по которому он действовал или консультировал от имени гражданской службы, что дало бы дополнительные преимущества этому лицу или этой организации;</w:t>
            </w:r>
          </w:p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бывший гражданский служащий не должен использовать или распространять конфиденциальную информацию, полученную им в качестве гражданского служащего, кроме случаев специального разрешения на ее использование в соответствии с законодательством</w:t>
            </w:r>
          </w:p>
        </w:tc>
      </w:tr>
      <w:tr w:rsidR="00FC0F85" w:rsidRPr="00FC0F85" w:rsidTr="00FC0F85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- отношения с бывшими гражданскими служащими</w:t>
            </w:r>
          </w:p>
        </w:tc>
        <w:tc>
          <w:tcPr>
            <w:tcW w:w="1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F85" w:rsidRDefault="00FC0F85" w:rsidP="00FC0F8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    гражданский служащий не должен оказывать особое внимание бывшим гражданским служащим и предоставлять им доступ в государственный орган, если это может создать конфликт интересов</w:t>
            </w:r>
          </w:p>
        </w:tc>
      </w:tr>
    </w:tbl>
    <w:p w:rsidR="00FC0F85" w:rsidRPr="00FC0F85" w:rsidRDefault="00FC0F85" w:rsidP="00FC0F85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65353" w:rsidRDefault="00565353"/>
    <w:sectPr w:rsidR="00565353" w:rsidSect="00FC0F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2F64"/>
    <w:multiLevelType w:val="multilevel"/>
    <w:tmpl w:val="7436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2C"/>
    <w:rsid w:val="002E692C"/>
    <w:rsid w:val="00565353"/>
    <w:rsid w:val="00F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0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0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89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2018-05-15T05:39:00Z</dcterms:created>
  <dcterms:modified xsi:type="dcterms:W3CDTF">2018-05-15T05:45:00Z</dcterms:modified>
</cp:coreProperties>
</file>