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Правительством Российской Федерации  24.03.2022 принято постановление №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Федерации".</w:t>
      </w:r>
    </w:p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Данным постановлением установлено, что для IT-компаний, включенных в специальный реестр аккредитованных организаций </w:t>
      </w:r>
      <w:proofErr w:type="spellStart"/>
      <w:r>
        <w:rPr>
          <w:rFonts w:ascii="Segoe UI" w:hAnsi="Segoe UI" w:cs="Segoe UI"/>
          <w:color w:val="3A4256"/>
        </w:rPr>
        <w:t>Минцифры</w:t>
      </w:r>
      <w:proofErr w:type="spellEnd"/>
      <w:r>
        <w:rPr>
          <w:rFonts w:ascii="Segoe UI" w:hAnsi="Segoe UI" w:cs="Segoe UI"/>
          <w:color w:val="3A4256"/>
        </w:rPr>
        <w:t>, будет действовать трехлетний мораторий на проведение плановых государственных и муниципальных проверок.</w:t>
      </w:r>
    </w:p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Установлено, что в отношении контрольных (надзорных) мероприятий, проверок,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Проведение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8A1A3D" w:rsidRDefault="008A1A3D" w:rsidP="008A1A3D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Постановление вступило в силу 25.03.2022.</w:t>
      </w:r>
    </w:p>
    <w:p w:rsidR="00F3189D" w:rsidRDefault="00F3189D"/>
    <w:sectPr w:rsidR="00F3189D" w:rsidSect="00F3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3D"/>
    <w:rsid w:val="008A1A3D"/>
    <w:rsid w:val="00F3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2022-04-06T12:06:00Z</dcterms:created>
  <dcterms:modified xsi:type="dcterms:W3CDTF">2022-04-06T12:06:00Z</dcterms:modified>
</cp:coreProperties>
</file>