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contextualSpacing w:val="1"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2000000">
      <w:pPr>
        <w:ind w:firstLine="0" w:left="0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 w:firstLine="0" w:left="0"/>
        <w:contextualSpacing w:val="1"/>
        <w:jc w:val="center"/>
        <w:rPr>
          <w:sz w:val="28"/>
        </w:rPr>
      </w:pPr>
      <w:r>
        <w:rPr>
          <w:b w:val="1"/>
          <w:sz w:val="28"/>
        </w:rPr>
        <w:t>ХАНТЫ-МАНСИЙСКИЙ АВТОНОМНЫЙ ОКРУГ - ЮГРА</w:t>
      </w:r>
    </w:p>
    <w:p w14:paraId="04000000">
      <w:pPr>
        <w:ind w:firstLine="0" w:left="0"/>
        <w:contextualSpacing w:val="1"/>
        <w:jc w:val="center"/>
        <w:rPr>
          <w:sz w:val="28"/>
        </w:rPr>
      </w:pPr>
      <w:r>
        <w:rPr>
          <w:b w:val="1"/>
          <w:sz w:val="28"/>
        </w:rPr>
        <w:t>ХАНТЫ-МАНСИЙСКИЙ РАЙОН</w:t>
      </w:r>
    </w:p>
    <w:p w14:paraId="05000000">
      <w:pPr>
        <w:ind w:firstLine="0" w:left="0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СЕЛЬСКОЕ ПОСЕЛЕНИЕ </w:t>
      </w:r>
      <w:r>
        <w:rPr>
          <w:b w:val="1"/>
          <w:sz w:val="28"/>
        </w:rPr>
        <w:t>СЕЛИЯРОВО</w:t>
      </w:r>
    </w:p>
    <w:p w14:paraId="06000000">
      <w:pPr>
        <w:ind w:firstLine="0" w:left="0"/>
        <w:contextualSpacing w:val="1"/>
        <w:jc w:val="center"/>
        <w:rPr>
          <w:sz w:val="28"/>
        </w:rPr>
      </w:pPr>
      <w:bookmarkStart w:id="1" w:name="_GoBack"/>
      <w:bookmarkEnd w:id="1"/>
    </w:p>
    <w:p w14:paraId="07000000">
      <w:pPr>
        <w:spacing w:line="36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СОВЕТ ДЕПУТАТОВ</w:t>
      </w:r>
    </w:p>
    <w:p w14:paraId="08000000">
      <w:pPr>
        <w:spacing w:line="36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9000000">
      <w:pPr>
        <w:spacing w:line="360" w:lineRule="auto"/>
        <w:ind w:firstLine="0" w:left="0"/>
        <w:jc w:val="center"/>
        <w:rPr>
          <w:b w:val="1"/>
          <w:sz w:val="28"/>
        </w:rPr>
      </w:pPr>
    </w:p>
    <w:p w14:paraId="0A000000">
      <w:pPr>
        <w:spacing w:line="276" w:lineRule="auto"/>
        <w:ind w:firstLine="0" w:left="0"/>
        <w:jc w:val="left"/>
        <w:rPr>
          <w:sz w:val="28"/>
        </w:rPr>
      </w:pPr>
      <w:r>
        <w:rPr>
          <w:sz w:val="28"/>
        </w:rPr>
        <w:t>От 00.00.2024 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 00</w:t>
      </w:r>
    </w:p>
    <w:p w14:paraId="0B000000">
      <w:pPr>
        <w:ind w:firstLine="850" w:left="993"/>
        <w:jc w:val="left"/>
        <w:rPr>
          <w:sz w:val="28"/>
        </w:rPr>
      </w:pPr>
    </w:p>
    <w:p w14:paraId="0C000000">
      <w:pPr>
        <w:ind w:firstLine="0" w:left="0" w:right="4537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/>
          <w:sz w:val="28"/>
        </w:rPr>
        <w:t xml:space="preserve"> Селиярово</w:t>
      </w:r>
      <w:r>
        <w:rPr>
          <w:rFonts w:ascii="Times New Roman" w:hAnsi="Times New Roman"/>
          <w:sz w:val="28"/>
        </w:rPr>
        <w:t>»</w:t>
      </w:r>
    </w:p>
    <w:p w14:paraId="0D000000">
      <w:pPr>
        <w:ind w:firstLine="709" w:left="0"/>
        <w:jc w:val="left"/>
        <w:rPr>
          <w:sz w:val="28"/>
        </w:rPr>
      </w:pPr>
    </w:p>
    <w:p w14:paraId="0E000000">
      <w:pPr>
        <w:ind w:firstLine="709" w:left="0"/>
        <w:jc w:val="left"/>
        <w:rPr>
          <w:sz w:val="28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от 10</w:t>
      </w:r>
      <w:r>
        <w:rPr>
          <w:sz w:val="28"/>
        </w:rPr>
        <w:t xml:space="preserve">.07.2023 № 286-ФЗ «О внесении изменений в отдельные законодательные акты Российской Федерации», </w:t>
      </w:r>
      <w:r>
        <w:rPr>
          <w:sz w:val="28"/>
        </w:rPr>
        <w:t>от 02.11.2023 № 517-ФЗ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>
        <w:rPr>
          <w:sz w:val="28"/>
        </w:rPr>
        <w:t>Уставом сельского поселения Селиярово</w:t>
      </w:r>
      <w:r>
        <w:rPr>
          <w:sz w:val="28"/>
        </w:rPr>
        <w:t>, Совет депутатов сельского</w:t>
      </w:r>
      <w:r>
        <w:rPr>
          <w:sz w:val="28"/>
        </w:rPr>
        <w:t xml:space="preserve"> поселения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</w:p>
    <w:p w14:paraId="12000000">
      <w:pPr>
        <w:ind/>
        <w:contextualSpacing w:val="1"/>
        <w:jc w:val="center"/>
        <w:rPr>
          <w:sz w:val="28"/>
        </w:rPr>
      </w:pPr>
      <w:r>
        <w:rPr>
          <w:sz w:val="28"/>
        </w:rPr>
        <w:t>Совет депутатов</w:t>
      </w:r>
      <w:r>
        <w:rPr>
          <w:sz w:val="28"/>
        </w:rPr>
        <w:t xml:space="preserve"> сельского поселения Селиярово</w:t>
      </w:r>
    </w:p>
    <w:p w14:paraId="13000000">
      <w:pPr>
        <w:ind/>
        <w:contextualSpacing w:val="1"/>
        <w:jc w:val="center"/>
        <w:rPr>
          <w:sz w:val="28"/>
        </w:rPr>
      </w:pPr>
      <w:r>
        <w:rPr>
          <w:sz w:val="28"/>
        </w:rPr>
        <w:t>РЕШИЛ:</w:t>
      </w:r>
    </w:p>
    <w:p w14:paraId="14000000">
      <w:pPr>
        <w:ind w:firstLine="0" w:left="0"/>
        <w:jc w:val="left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</w:t>
      </w:r>
      <w:r>
        <w:rPr>
          <w:sz w:val="28"/>
        </w:rPr>
        <w:t xml:space="preserve">нести в </w:t>
      </w:r>
      <w:r>
        <w:rPr>
          <w:sz w:val="28"/>
        </w:rPr>
        <w:t>Устав сельского поселения Селиярово, принятого решением Совета депутатов сельского поселения Селиярово от 18.06.2008 №</w:t>
      </w:r>
      <w:r>
        <w:rPr>
          <w:sz w:val="28"/>
        </w:rPr>
        <w:t xml:space="preserve"> 72</w:t>
      </w:r>
      <w:r>
        <w:rPr>
          <w:sz w:val="28"/>
        </w:rPr>
        <w:t xml:space="preserve"> (с изменениями от </w:t>
      </w:r>
      <w:r>
        <w:rPr>
          <w:sz w:val="28"/>
        </w:rPr>
        <w:t>19.06.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следующие изменения и дополнения: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z w:val="28"/>
        </w:rPr>
        <w:t>пункт</w:t>
      </w:r>
      <w:r>
        <w:rPr>
          <w:sz w:val="28"/>
        </w:rPr>
        <w:t>е</w:t>
      </w:r>
      <w:r>
        <w:rPr>
          <w:sz w:val="28"/>
        </w:rPr>
        <w:t xml:space="preserve"> 1 статьи 3</w:t>
      </w:r>
      <w:r>
        <w:rPr>
          <w:sz w:val="28"/>
        </w:rPr>
        <w:t>:</w:t>
      </w:r>
    </w:p>
    <w:p w14:paraId="17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одпункт 27</w:t>
      </w:r>
      <w:r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14:paraId="18000000">
      <w:pPr>
        <w:ind w:firstLine="0" w:left="0"/>
        <w:jc w:val="both"/>
        <w:rPr>
          <w:sz w:val="28"/>
        </w:rPr>
      </w:pPr>
      <w:r>
        <w:rPr>
          <w:sz w:val="28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rPr>
          <w:sz w:val="28"/>
        </w:rPr>
        <w:t>;»</w:t>
      </w:r>
      <w:r>
        <w:rPr>
          <w:sz w:val="28"/>
        </w:rPr>
        <w:t>;</w:t>
      </w:r>
    </w:p>
    <w:p w14:paraId="19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Дополнить п</w:t>
      </w:r>
      <w:r>
        <w:rPr>
          <w:sz w:val="28"/>
        </w:rPr>
        <w:t>одп</w:t>
      </w:r>
      <w:r>
        <w:rPr>
          <w:sz w:val="28"/>
        </w:rPr>
        <w:t>унктом 39 следующего содержания:</w:t>
      </w:r>
    </w:p>
    <w:p w14:paraId="1A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«39</w:t>
      </w:r>
      <w:r>
        <w:rPr>
          <w:sz w:val="28"/>
        </w:rPr>
        <w:t>) осуществление выявления объектов накопленного вреда окружающей среде и организация</w:t>
      </w:r>
      <w:r>
        <w:rPr>
          <w:sz w:val="28"/>
        </w:rPr>
        <w:t xml:space="preserve">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>.</w:t>
      </w:r>
    </w:p>
    <w:p w14:paraId="1B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1.2. </w:t>
      </w:r>
      <w:r>
        <w:rPr>
          <w:sz w:val="28"/>
        </w:rPr>
        <w:fldChar w:fldCharType="begin"/>
      </w:r>
      <w:r>
        <w:rPr>
          <w:sz w:val="28"/>
        </w:rPr>
        <w:instrText>HYPERLINK "javascript:;"</w:instrText>
      </w:r>
      <w:r>
        <w:rPr>
          <w:sz w:val="28"/>
        </w:rPr>
        <w:fldChar w:fldCharType="separate"/>
      </w:r>
      <w:r>
        <w:rPr>
          <w:sz w:val="28"/>
        </w:rPr>
        <w:t>Статью</w:t>
      </w:r>
      <w:r>
        <w:rPr>
          <w:sz w:val="28"/>
        </w:rPr>
        <w:fldChar w:fldCharType="end"/>
      </w:r>
      <w:r>
        <w:rPr>
          <w:sz w:val="28"/>
        </w:rPr>
        <w:t xml:space="preserve"> 31 изложить в следующей редакции:</w:t>
      </w:r>
    </w:p>
    <w:p w14:paraId="1C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«Статья 31. Вступление в силу и обнародование муниципальных правовых актов</w:t>
      </w:r>
    </w:p>
    <w:p w14:paraId="1D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Совета поселения о налогах и сборах, которые вступают в силу в соответствии с </w:t>
      </w:r>
      <w:r>
        <w:rPr>
          <w:sz w:val="28"/>
        </w:rPr>
        <w:fldChar w:fldCharType="begin"/>
      </w:r>
      <w:r>
        <w:rPr>
          <w:sz w:val="28"/>
        </w:rPr>
        <w:instrText>HYPERLINK "javascript:;"</w:instrText>
      </w:r>
      <w:r>
        <w:rPr>
          <w:sz w:val="28"/>
        </w:rPr>
        <w:fldChar w:fldCharType="separate"/>
      </w:r>
      <w:r>
        <w:rPr>
          <w:sz w:val="28"/>
        </w:rPr>
        <w:t>Налоговым кодексом Российской Федерации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1E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1F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20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21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1) официальное опубликование муниципального правового акта;</w:t>
      </w:r>
    </w:p>
    <w:p w14:paraId="22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23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24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25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</w:p>
    <w:p w14:paraId="26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6. В случае</w:t>
      </w:r>
      <w:r>
        <w:rPr>
          <w:sz w:val="28"/>
        </w:rPr>
        <w:t>,</w:t>
      </w:r>
      <w:r>
        <w:rPr>
          <w:sz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</w:t>
      </w:r>
      <w:r>
        <w:rPr>
          <w:sz w:val="28"/>
        </w:rPr>
        <w:t>муниципальном образовании в соответствии с </w:t>
      </w:r>
      <w:r>
        <w:rPr>
          <w:sz w:val="28"/>
        </w:rPr>
        <w:fldChar w:fldCharType="begin"/>
      </w:r>
      <w:r>
        <w:rPr>
          <w:sz w:val="28"/>
        </w:rPr>
        <w:instrText>HYPERLINK "javascript:;"</w:instrText>
      </w:r>
      <w:r>
        <w:rPr>
          <w:sz w:val="28"/>
        </w:rPr>
        <w:fldChar w:fldCharType="separate"/>
      </w:r>
      <w:r>
        <w:rPr>
          <w:sz w:val="28"/>
        </w:rPr>
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</w:rPr>
        <w:fldChar w:fldCharType="end"/>
      </w:r>
      <w:r>
        <w:rPr>
          <w:sz w:val="28"/>
        </w:rPr>
        <w:t xml:space="preserve"> обеспечивается создание одного или нескольких пунктов подключения к информационно-телекоммуникационной сети "Интернет" в </w:t>
      </w:r>
      <w:r>
        <w:rPr>
          <w:sz w:val="28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27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</w:t>
      </w:r>
      <w:r>
        <w:rPr>
          <w:sz w:val="28"/>
        </w:rPr>
        <w:t xml:space="preserve">настоящем </w:t>
      </w:r>
      <w:r>
        <w:rPr>
          <w:sz w:val="28"/>
        </w:rPr>
        <w:t>уставе.</w:t>
      </w:r>
    </w:p>
    <w:p w14:paraId="28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</w:t>
      </w:r>
      <w:r>
        <w:rPr>
          <w:sz w:val="28"/>
        </w:rPr>
        <w:t>поселения</w:t>
      </w:r>
      <w:r>
        <w:rPr>
          <w:sz w:val="28"/>
        </w:rPr>
        <w:t>.».</w:t>
      </w:r>
    </w:p>
    <w:p w14:paraId="29000000">
      <w:pPr>
        <w:spacing w:after="24" w:before="24" w:line="330" w:lineRule="atLeast"/>
        <w:ind w:firstLine="709" w:left="0"/>
        <w:jc w:val="both"/>
        <w:rPr>
          <w:sz w:val="28"/>
        </w:rPr>
      </w:pPr>
      <w:r>
        <w:rPr>
          <w:sz w:val="28"/>
        </w:rPr>
        <w:t>2. Поручить Главе сельского поселения Селиярово:</w:t>
      </w:r>
    </w:p>
    <w:p w14:paraId="2A000000">
      <w:p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14:paraId="2C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</w:rPr>
        <w:t>о опубликования (обнародования)</w:t>
      </w:r>
      <w:r>
        <w:rPr>
          <w:rFonts w:ascii="Times New Roman" w:hAnsi="Times New Roman"/>
          <w:sz w:val="28"/>
        </w:rPr>
        <w:t>.</w:t>
      </w:r>
    </w:p>
    <w:p w14:paraId="2D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4. Контроль за выполнением решения возложить на главу сельского поселения Селиярово С.В.Маркову</w:t>
      </w:r>
    </w:p>
    <w:p w14:paraId="2E000000">
      <w:pPr>
        <w:ind w:firstLine="0" w:left="0"/>
        <w:jc w:val="both"/>
        <w:rPr>
          <w:sz w:val="28"/>
        </w:rPr>
      </w:pPr>
    </w:p>
    <w:p w14:paraId="2F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   </w:t>
      </w:r>
    </w:p>
    <w:p w14:paraId="3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1000000">
      <w:pPr>
        <w:ind w:firstLine="0" w:left="0"/>
        <w:contextualSpacing w:val="1"/>
        <w:jc w:val="right"/>
        <w:rPr>
          <w:sz w:val="28"/>
        </w:rPr>
      </w:pPr>
    </w:p>
    <w:p w14:paraId="32000000">
      <w:pPr>
        <w:ind w:firstLine="0" w:left="0"/>
        <w:contextualSpacing w:val="1"/>
        <w:jc w:val="left"/>
        <w:rPr>
          <w:sz w:val="28"/>
        </w:rPr>
      </w:pPr>
      <w:r>
        <w:rPr>
          <w:sz w:val="28"/>
        </w:rPr>
        <w:t>и.о.главы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                                              Н.Н.Сумкина</w:t>
      </w:r>
    </w:p>
    <w:p w14:paraId="33000000">
      <w:pPr>
        <w:ind w:firstLine="0" w:left="0"/>
        <w:contextualSpacing w:val="1"/>
        <w:jc w:val="left"/>
        <w:rPr>
          <w:sz w:val="28"/>
        </w:rPr>
      </w:pPr>
      <w:r>
        <w:rPr>
          <w:sz w:val="28"/>
        </w:rPr>
        <w:t xml:space="preserve"> </w:t>
      </w:r>
    </w:p>
    <w:p w14:paraId="34000000">
      <w:pPr>
        <w:ind w:firstLine="0" w:left="0"/>
      </w:pPr>
    </w:p>
    <w:sectPr>
      <w:pgSz w:h="16838" w:orient="portrait" w:w="11906"/>
      <w:pgMar w:bottom="1134" w:footer="709" w:gutter="0" w:header="709" w:left="1701" w:right="1416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 w:firstLine="284" w:left="0"/>
      <w:jc w:val="both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Book Title"/>
    <w:link w:val="Style_3_ch"/>
    <w:rPr>
      <w:b w:val="1"/>
      <w:smallCaps w:val="1"/>
      <w:spacing w:val="5"/>
    </w:rPr>
  </w:style>
  <w:style w:styleId="Style_3_ch" w:type="character">
    <w:name w:val="Book Title"/>
    <w:link w:val="Style_3"/>
    <w:rPr>
      <w:b w:val="1"/>
      <w:smallCaps w:val="1"/>
      <w:spacing w:val="5"/>
    </w:rPr>
  </w:style>
  <w:style w:styleId="Style_4" w:type="paragraph">
    <w:name w:val="Subtle Emphasis"/>
    <w:link w:val="Style_4_ch"/>
    <w:rPr>
      <w:i w:val="1"/>
      <w:color w:themeColor="text1" w:themeTint="7F" w:val="808080"/>
    </w:rPr>
  </w:style>
  <w:style w:styleId="Style_4_ch" w:type="character">
    <w:name w:val="Subtle Emphasis"/>
    <w:link w:val="Style_4"/>
    <w:rPr>
      <w:i w:val="1"/>
      <w:color w:themeColor="text1" w:themeTint="7F" w:val="808080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Intense Quote"/>
    <w:link w:val="Style_6_ch"/>
    <w:pPr>
      <w:spacing w:after="280" w:before="200"/>
      <w:ind w:firstLine="0" w:left="936" w:right="936"/>
    </w:pPr>
    <w:rPr>
      <w:b w:val="1"/>
      <w:i w:val="1"/>
      <w:color w:themeColor="accent1" w:val="4472C4"/>
    </w:rPr>
  </w:style>
  <w:style w:styleId="Style_6_ch" w:type="character">
    <w:name w:val="Intense Quote"/>
    <w:link w:val="Style_6"/>
    <w:rPr>
      <w:b w:val="1"/>
      <w:i w:val="1"/>
      <w:color w:themeColor="accent1" w:val="4472C4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link w:val="Style_8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8_ch" w:type="character">
    <w:name w:val="heading 7"/>
    <w:link w:val="Style_8"/>
    <w:rPr>
      <w:rFonts w:asciiTheme="majorAscii" w:hAnsiTheme="majorHAnsi"/>
      <w:i w:val="1"/>
      <w:color w:themeColor="text1" w:themeTint="BF" w:val="404040"/>
    </w:rPr>
  </w:style>
  <w:style w:styleId="Style_9" w:type="paragraph">
    <w:name w:val="Strong"/>
    <w:link w:val="Style_9_ch"/>
    <w:rPr>
      <w:b w:val="1"/>
    </w:rPr>
  </w:style>
  <w:style w:styleId="Style_9_ch" w:type="character">
    <w:name w:val="Strong"/>
    <w:link w:val="Style_9"/>
    <w:rPr>
      <w:b w:val="1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Subtle Reference"/>
    <w:link w:val="Style_12_ch"/>
    <w:rPr>
      <w:smallCaps w:val="1"/>
      <w:color w:themeColor="accent2" w:val="ED7D31"/>
      <w:u w:val="single"/>
    </w:rPr>
  </w:style>
  <w:style w:styleId="Style_12_ch" w:type="character">
    <w:name w:val="Subtle Reference"/>
    <w:link w:val="Style_12"/>
    <w:rPr>
      <w:smallCaps w:val="1"/>
      <w:color w:themeColor="accent2" w:val="ED7D31"/>
      <w:u w:val="single"/>
    </w:rPr>
  </w:style>
  <w:style w:styleId="Style_13" w:type="paragraph">
    <w:name w:val="heading 3"/>
    <w:link w:val="Style_13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472C4"/>
    </w:rPr>
  </w:style>
  <w:style w:styleId="Style_13_ch" w:type="character">
    <w:name w:val="heading 3"/>
    <w:link w:val="Style_13"/>
    <w:rPr>
      <w:rFonts w:asciiTheme="majorAscii" w:hAnsiTheme="majorHAnsi"/>
      <w:b w:val="1"/>
      <w:color w:themeColor="accent1" w:val="4472C4"/>
    </w:rPr>
  </w:style>
  <w:style w:styleId="Style_14" w:type="paragraph">
    <w:name w:val="Plain Text"/>
    <w:link w:val="Style_14_ch"/>
    <w:pPr>
      <w:spacing w:after="0" w:line="240" w:lineRule="auto"/>
      <w:ind/>
    </w:pPr>
    <w:rPr>
      <w:rFonts w:ascii="Courier New" w:hAnsi="Courier New"/>
      <w:sz w:val="21"/>
    </w:rPr>
  </w:style>
  <w:style w:styleId="Style_14_ch" w:type="character">
    <w:name w:val="Plain Text"/>
    <w:link w:val="Style_14"/>
    <w:rPr>
      <w:rFonts w:ascii="Courier New" w:hAnsi="Courier New"/>
      <w:sz w:val="21"/>
    </w:rPr>
  </w:style>
  <w:style w:styleId="Style_15" w:type="paragraph">
    <w:name w:val="Endnote text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 text"/>
    <w:link w:val="Style_15"/>
    <w:rPr>
      <w:sz w:val="20"/>
    </w:rPr>
  </w:style>
  <w:style w:styleId="Style_16" w:type="paragraph">
    <w:name w:val="Footer"/>
    <w:link w:val="Style_16_ch"/>
    <w:pPr>
      <w:spacing w:after="0" w:line="240" w:lineRule="auto"/>
      <w:ind/>
    </w:pPr>
  </w:style>
  <w:style w:styleId="Style_16_ch" w:type="character">
    <w:name w:val="Footer"/>
    <w:link w:val="Style_16"/>
  </w:style>
  <w:style w:styleId="Style_17" w:type="paragraph">
    <w:name w:val="Intense Reference"/>
    <w:link w:val="Style_17_ch"/>
    <w:rPr>
      <w:b w:val="1"/>
      <w:smallCaps w:val="1"/>
      <w:color w:themeColor="accent2" w:val="ED7D31"/>
      <w:spacing w:val="5"/>
      <w:u w:val="single"/>
    </w:rPr>
  </w:style>
  <w:style w:styleId="Style_17_ch" w:type="character">
    <w:name w:val="Intense Reference"/>
    <w:link w:val="Style_17"/>
    <w:rPr>
      <w:b w:val="1"/>
      <w:smallCaps w:val="1"/>
      <w:color w:themeColor="accent2" w:val="ED7D31"/>
      <w:spacing w:val="5"/>
      <w:u w:val="single"/>
    </w:rPr>
  </w:style>
  <w:style w:styleId="Style_18" w:type="paragraph">
    <w:name w:val="heading 9"/>
    <w:link w:val="Style_18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8_ch" w:type="character">
    <w:name w:val="heading 9"/>
    <w:link w:val="Style_18"/>
    <w:rPr>
      <w:rFonts w:asciiTheme="majorAscii" w:hAnsiTheme="majorHAnsi"/>
      <w:i w:val="1"/>
      <w:color w:themeColor="text1" w:themeTint="BF" w:val="404040"/>
      <w:sz w:val="20"/>
    </w:rPr>
  </w:style>
  <w:style w:styleId="Style_19" w:type="paragraph">
    <w:name w:val="toc 3"/>
    <w:next w:val="Style_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Emphasis"/>
    <w:link w:val="Style_20_ch"/>
    <w:rPr>
      <w:i w:val="1"/>
    </w:rPr>
  </w:style>
  <w:style w:styleId="Style_20_ch" w:type="character">
    <w:name w:val="Emphasis"/>
    <w:link w:val="Style_20"/>
    <w:rPr>
      <w:i w:val="1"/>
    </w:rPr>
  </w:style>
  <w:style w:styleId="Style_21" w:type="paragraph">
    <w:name w:val="heading 5"/>
    <w:link w:val="Style_21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3863"/>
    </w:rPr>
  </w:style>
  <w:style w:styleId="Style_21_ch" w:type="character">
    <w:name w:val="heading 5"/>
    <w:link w:val="Style_21"/>
    <w:rPr>
      <w:rFonts w:asciiTheme="majorAscii" w:hAnsiTheme="majorHAnsi"/>
      <w:color w:themeColor="accent1" w:themeShade="7F" w:val="1F3863"/>
    </w:rPr>
  </w:style>
  <w:style w:styleId="Style_22" w:type="paragraph">
    <w:name w:val="Quote"/>
    <w:link w:val="Style_22_ch"/>
    <w:rPr>
      <w:i w:val="1"/>
      <w:color w:themeColor="text1" w:val="000000"/>
    </w:rPr>
  </w:style>
  <w:style w:styleId="Style_22_ch" w:type="character">
    <w:name w:val="Quote"/>
    <w:link w:val="Style_22"/>
    <w:rPr>
      <w:i w:val="1"/>
      <w:color w:themeColor="text1" w:val="000000"/>
    </w:rPr>
  </w:style>
  <w:style w:styleId="Style_23" w:type="paragraph">
    <w:name w:val="heading 1"/>
    <w:link w:val="Style_2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23_ch" w:type="character">
    <w:name w:val="heading 1"/>
    <w:link w:val="Style_23"/>
    <w:rPr>
      <w:rFonts w:asciiTheme="majorAscii" w:hAnsiTheme="majorHAnsi"/>
      <w:b w:val="1"/>
      <w:color w:themeColor="accent1" w:themeShade="BF" w:val="2F5496"/>
      <w:sz w:val="28"/>
    </w:rPr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link w:val="Style_25_ch"/>
    <w:pPr>
      <w:spacing w:after="0" w:line="240" w:lineRule="auto"/>
      <w:ind/>
    </w:pPr>
    <w:rPr>
      <w:sz w:val="20"/>
    </w:rPr>
  </w:style>
  <w:style w:styleId="Style_25_ch" w:type="character">
    <w:name w:val="Footnote"/>
    <w:link w:val="Style_25"/>
    <w:rPr>
      <w:sz w:val="20"/>
    </w:rPr>
  </w:style>
  <w:style w:styleId="Style_26" w:type="paragraph">
    <w:name w:val="heading 8"/>
    <w:link w:val="Style_26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text1" w:themeTint="BF" w:val="404040"/>
      <w:sz w:val="20"/>
    </w:rPr>
  </w:style>
  <w:style w:styleId="Style_26_ch" w:type="character">
    <w:name w:val="heading 8"/>
    <w:link w:val="Style_26"/>
    <w:rPr>
      <w:rFonts w:asciiTheme="majorAscii" w:hAnsiTheme="majorHAnsi"/>
      <w:color w:themeColor="text1" w:themeTint="BF" w:val="404040"/>
      <w:sz w:val="20"/>
    </w:rPr>
  </w:style>
  <w:style w:styleId="Style_27" w:type="paragraph">
    <w:name w:val="toc 1"/>
    <w:next w:val="Style_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Endnote reference"/>
    <w:link w:val="Style_29_ch"/>
    <w:rPr>
      <w:vertAlign w:val="superscript"/>
    </w:rPr>
  </w:style>
  <w:style w:styleId="Style_29_ch" w:type="character">
    <w:name w:val="Endnote reference"/>
    <w:link w:val="Style_29"/>
    <w:rPr>
      <w:vertAlign w:val="superscript"/>
    </w:rPr>
  </w:style>
  <w:style w:styleId="Style_30" w:type="paragraph">
    <w:name w:val="toc 9"/>
    <w:next w:val="Style_2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Footnote reference"/>
    <w:link w:val="Style_33_ch"/>
    <w:rPr>
      <w:vertAlign w:val="superscript"/>
    </w:rPr>
  </w:style>
  <w:style w:styleId="Style_33_ch" w:type="character">
    <w:name w:val="Footnote reference"/>
    <w:link w:val="Style_33"/>
    <w:rPr>
      <w:vertAlign w:val="superscript"/>
    </w:rPr>
  </w:style>
  <w:style w:styleId="Style_34" w:type="paragraph">
    <w:name w:val="Header"/>
    <w:link w:val="Style_34_ch"/>
    <w:pPr>
      <w:spacing w:after="0" w:line="240" w:lineRule="auto"/>
      <w:ind/>
    </w:pPr>
  </w:style>
  <w:style w:styleId="Style_34_ch" w:type="character">
    <w:name w:val="Header"/>
    <w:link w:val="Style_34"/>
  </w:style>
  <w:style w:styleId="Style_35" w:type="paragraph">
    <w:name w:val="List Paragraph"/>
    <w:link w:val="Style_35_ch"/>
    <w:pPr>
      <w:ind w:firstLine="0" w:left="720"/>
      <w:contextualSpacing w:val="1"/>
    </w:pPr>
  </w:style>
  <w:style w:styleId="Style_35_ch" w:type="character">
    <w:name w:val="List Paragraph"/>
    <w:link w:val="Style_35"/>
  </w:style>
  <w:style w:styleId="Style_36" w:type="paragraph">
    <w:name w:val="toc 5"/>
    <w:next w:val="Style_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Caption"/>
    <w:link w:val="Style_37_ch"/>
    <w:pPr>
      <w:spacing w:after="200" w:line="240" w:lineRule="auto"/>
      <w:ind/>
    </w:pPr>
    <w:rPr>
      <w:i w:val="1"/>
      <w:color w:themeColor="text2" w:val="44546A"/>
      <w:sz w:val="18"/>
    </w:rPr>
  </w:style>
  <w:style w:styleId="Style_37_ch" w:type="character">
    <w:name w:val="Caption"/>
    <w:link w:val="Style_37"/>
    <w:rPr>
      <w:i w:val="1"/>
      <w:color w:themeColor="text2" w:val="44546A"/>
      <w:sz w:val="18"/>
    </w:rPr>
  </w:style>
  <w:style w:styleId="Style_38" w:type="paragraph">
    <w:name w:val="Subtitle"/>
    <w:link w:val="Style_38_ch"/>
    <w:uiPriority w:val="11"/>
    <w:qFormat/>
    <w:rPr>
      <w:rFonts w:asciiTheme="majorAscii" w:hAnsiTheme="majorHAnsi"/>
      <w:i w:val="1"/>
      <w:color w:themeColor="accent1" w:val="4472C4"/>
      <w:spacing w:val="15"/>
      <w:sz w:val="24"/>
    </w:rPr>
  </w:style>
  <w:style w:styleId="Style_38_ch" w:type="character">
    <w:name w:val="Subtitle"/>
    <w:link w:val="Style_38"/>
    <w:rPr>
      <w:rFonts w:asciiTheme="majorAscii" w:hAnsiTheme="majorHAnsi"/>
      <w:i w:val="1"/>
      <w:color w:themeColor="accent1" w:val="4472C4"/>
      <w:spacing w:val="15"/>
      <w:sz w:val="24"/>
    </w:rPr>
  </w:style>
  <w:style w:styleId="Style_39" w:type="paragraph">
    <w:name w:val="Title"/>
    <w:link w:val="Style_39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39_ch" w:type="character">
    <w:name w:val="Title"/>
    <w:link w:val="Style_39"/>
    <w:rPr>
      <w:rFonts w:asciiTheme="majorAscii" w:hAnsiTheme="majorHAnsi"/>
      <w:color w:themeColor="text2" w:themeShade="BF" w:val="323E4F"/>
      <w:spacing w:val="5"/>
      <w:sz w:val="52"/>
    </w:rPr>
  </w:style>
  <w:style w:styleId="Style_40" w:type="paragraph">
    <w:name w:val="heading 4"/>
    <w:link w:val="Style_40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40_ch" w:type="character">
    <w:name w:val="heading 4"/>
    <w:link w:val="Style_40"/>
    <w:rPr>
      <w:rFonts w:asciiTheme="majorAscii" w:hAnsiTheme="majorHAnsi"/>
      <w:b w:val="1"/>
      <w:i w:val="1"/>
      <w:color w:themeColor="accent1" w:val="4472C4"/>
    </w:rPr>
  </w:style>
  <w:style w:styleId="Style_41" w:type="paragraph">
    <w:name w:val="heading 2"/>
    <w:link w:val="Style_41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41_ch" w:type="character">
    <w:name w:val="heading 2"/>
    <w:link w:val="Style_41"/>
    <w:rPr>
      <w:rFonts w:asciiTheme="majorAscii" w:hAnsiTheme="majorHAnsi"/>
      <w:b w:val="1"/>
      <w:color w:themeColor="accent1" w:val="4472C4"/>
      <w:sz w:val="26"/>
    </w:rPr>
  </w:style>
  <w:style w:styleId="Style_42" w:type="paragraph">
    <w:name w:val="heading 6"/>
    <w:link w:val="Style_42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3863"/>
    </w:rPr>
  </w:style>
  <w:style w:styleId="Style_42_ch" w:type="character">
    <w:name w:val="heading 6"/>
    <w:link w:val="Style_42"/>
    <w:rPr>
      <w:rFonts w:asciiTheme="majorAscii" w:hAnsiTheme="majorHAnsi"/>
      <w:i w:val="1"/>
      <w:color w:themeColor="accent1" w:themeShade="7F" w:val="1F3863"/>
    </w:rPr>
  </w:style>
  <w:style w:styleId="Style_43" w:type="paragraph">
    <w:name w:val="Intense Emphasis"/>
    <w:link w:val="Style_43_ch"/>
    <w:rPr>
      <w:b w:val="1"/>
      <w:i w:val="1"/>
      <w:color w:themeColor="accent1" w:val="4472C4"/>
    </w:rPr>
  </w:style>
  <w:style w:styleId="Style_43_ch" w:type="character">
    <w:name w:val="Intense Emphasis"/>
    <w:link w:val="Style_43"/>
    <w:rPr>
      <w:b w:val="1"/>
      <w:i w:val="1"/>
      <w:color w:themeColor="accent1" w:val="4472C4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2024-03-18T06:12:02Z</dcterms:modified>
</cp:coreProperties>
</file>