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jc w:val="center"/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>ЗАКЛЮЧЕНИЕ о результатах</w:t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br w:type="textWrapping"/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>публичных слушаний</w:t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 xml:space="preserve"> по проекту </w:t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 xml:space="preserve">планировки </w:t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 xml:space="preserve">и межевания </w:t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>территории по объекту «Линейные коммуникации для кустовой площадки № 2059У Приобского месторождения»</w:t>
      </w:r>
      <w:r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  <w:t xml:space="preserve"> </w:t>
      </w:r>
    </w:p>
    <w:p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6"/>
          <w:szCs w:val="28"/>
          <w:lang w:eastAsia="ru-RU"/>
        </w:rPr>
      </w:pPr>
    </w:p>
    <w:p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8"/>
          <w:lang w:eastAsia="ru-RU"/>
        </w:rPr>
        <w:t xml:space="preserve">с.Селиярово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6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8"/>
          <w:lang w:eastAsia="ru-RU"/>
        </w:rPr>
        <w:t>09.12.2024 г.</w:t>
      </w:r>
    </w:p>
    <w:p w14:paraId="0000000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</w:pPr>
    </w:p>
    <w:p w14:paraId="0000000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Публичные слушания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по проекту планировки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и межевания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территории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по объекту «Линейные коммуникации для кустовой площадки № 2059У Приобского месторождения» (далее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соответственно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– публичные слушания, проект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, объект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проведены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в период с 25.11.2024 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по 09.12.2024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.</w:t>
      </w:r>
    </w:p>
    <w:p w14:paraId="0000000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0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6"/>
          <w:szCs w:val="24"/>
          <w:lang w:eastAsia="ru-RU"/>
        </w:rPr>
        <w:t>Время и место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проведения 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собрания участников 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публичных слушаний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(далее - собрание)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: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09.12.2024 г. с 18-00 до 19-30 часов в здании СКК по адресу с.Селиярово ул. Братьев Фирсовых 24а, малый актовый зал.</w:t>
      </w:r>
    </w:p>
    <w:p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b/>
          <w:bCs/>
          <w:sz w:val="26"/>
          <w:szCs w:val="24"/>
          <w:lang w:eastAsia="ru-RU"/>
        </w:rPr>
        <w:t>Присутствовали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(участники публичных слушаний</w:t>
      </w:r>
    </w:p>
    <w:p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– жители села 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Селиярово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19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чел.</w:t>
      </w:r>
    </w:p>
    <w:p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Приглашенные: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 xml:space="preserve"> 6 че</w:t>
      </w:r>
      <w:r>
        <w:rPr>
          <w:rFonts w:ascii="Times New Roman" w:cs="Times New Roman" w:eastAsia="Times New Roman" w:hAnsi="Times New Roman"/>
          <w:bCs/>
          <w:sz w:val="26"/>
          <w:szCs w:val="24"/>
          <w:lang w:eastAsia="ru-RU"/>
        </w:rPr>
        <w:t>л.</w:t>
      </w:r>
    </w:p>
    <w:p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Заключение подготовлено на основании п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ротокол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публичных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слушаний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от 09.12.2024.</w:t>
      </w:r>
    </w:p>
    <w:p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ab/>
      </w:r>
    </w:p>
    <w:p w14:paraId="0000001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В ходе проведения собрания от 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участников публичных слушаний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–жителей 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с.Селиярово 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поступили следующие вопросы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:</w:t>
      </w:r>
    </w:p>
    <w:p w14:paraId="00000014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1. Объект находится на расстоянии от образовательного учреждения 410 м., нарушена санитарная зона.</w:t>
      </w:r>
    </w:p>
    <w:p w14:paraId="00000015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Рекомендации организатора публичных слушаний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(о целесообразности или нецелесообразности учета внесенных предложений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и замечаний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:</w:t>
      </w:r>
    </w:p>
    <w:p w14:paraId="00000016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Участник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ами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публичных слушаний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получены развернутые ответы (разъяснения)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, обосновывающие отсутствие нарушений.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</w:t>
      </w:r>
    </w:p>
    <w:p w14:paraId="00000017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В связи с чем рекомендации отсутствуют.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</w:t>
      </w:r>
    </w:p>
    <w:p w14:paraId="00000018">
      <w:pPr>
        <w:spacing w:after="0" w:line="240" w:lineRule="auto"/>
        <w:ind w:left="705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19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2. При отсыпке будет слышно работу самосвалов, большая загазованность попутным газом, круглосуточный шум работающей техники.</w:t>
      </w:r>
    </w:p>
    <w:p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Рекомендации организатора публичных слушаний (о целесообразности или нецелесообразности учета внесенных предложений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и замечаний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):</w:t>
      </w:r>
    </w:p>
    <w:p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Рекомендовать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организации (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недропользователю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ри осуществлении работ учесть в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ремя тихого часа в дошкольном образовательном учреждении с 12:00 до 15:00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, в ночное время работы не осуществлять.</w:t>
      </w:r>
    </w:p>
    <w:p w14:paraId="0000001C">
      <w:pPr>
        <w:spacing w:after="0" w:line="240" w:lineRule="auto"/>
        <w:ind w:left="709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1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3. Качество воды в с.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Селиярово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в связи с дополнительной нагрузкой.</w:t>
      </w:r>
    </w:p>
    <w:p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Рекомендации организатора публичных слушаний (о целесообразности или нецелесообразности учета внесенных предложений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и замечаний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):</w:t>
      </w:r>
    </w:p>
    <w:p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Рекомендовать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МП «ЖЭК-3» Ханты-Мансийского района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осуществлять мероприятия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по контролю качества воды один раз в полугодие в соответствии с нормативами.</w:t>
      </w:r>
    </w:p>
    <w:p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2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4. Глубина бурения. Количество скважин. Установка автономных газоанализаторов.</w:t>
      </w:r>
    </w:p>
    <w:p w14:paraId="00000022">
      <w:pPr>
        <w:spacing w:after="0" w:line="240" w:lineRule="auto"/>
        <w:ind w:firstLine="723"/>
        <w:jc w:val="both"/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Рекомендации организатора публичных слушаний (о целесообразности или нецелесообразности учета внесенных предложений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 xml:space="preserve"> и замечаний</w:t>
      </w: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):</w:t>
      </w:r>
    </w:p>
    <w:p w14:paraId="00000023">
      <w:pPr>
        <w:spacing w:after="0" w:line="240" w:lineRule="auto"/>
        <w:ind w:firstLine="723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Рекомендовать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организации (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недропользователю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)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рассмотреть вопрос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об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установке автономных газоанализаторов. </w:t>
      </w:r>
    </w:p>
    <w:p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</w:pPr>
    </w:p>
    <w:p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</w:pPr>
    </w:p>
    <w:p w14:paraId="0000002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4"/>
          <w:lang w:eastAsia="ru-RU"/>
        </w:rPr>
        <w:t>Выводы по результатам публичных слушаний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:</w:t>
      </w:r>
    </w:p>
    <w:p w14:paraId="0000002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Рекомендовать принять решение об утверждении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проект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планировки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и межевания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территории по объекту.</w:t>
      </w:r>
    </w:p>
    <w:p w14:paraId="00000028">
      <w:pPr>
        <w:spacing w:after="0" w:line="240" w:lineRule="auto"/>
        <w:ind w:left="-13" w:firstLine="736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29">
      <w:pPr>
        <w:spacing w:after="0" w:line="240" w:lineRule="auto"/>
        <w:ind w:left="-13" w:firstLine="736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bookmarkStart w:id="0" w:name="_GoBack"/>
      <w:bookmarkEnd w:id="0"/>
    </w:p>
    <w:p w14:paraId="0000002A">
      <w:pPr>
        <w:spacing w:after="0" w:line="240" w:lineRule="auto"/>
        <w:ind w:left="-13" w:firstLine="736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2B">
      <w:pPr>
        <w:spacing w:after="0" w:line="240" w:lineRule="auto"/>
        <w:ind w:left="-13" w:firstLine="736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2C">
      <w:pPr>
        <w:spacing w:after="0" w:line="240" w:lineRule="auto"/>
        <w:ind w:left="-13" w:firstLine="736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Председатель                                                             </w:t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ab/>
      </w: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 С.В. Маркова</w:t>
      </w: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</w:p>
    <w:p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 xml:space="preserve">Секретарь отсутствует </w:t>
      </w:r>
    </w:p>
    <w:p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4"/>
          <w:lang w:eastAsia="ru-RU"/>
        </w:rPr>
        <w:t>(протокол составлен председателем)</w:t>
      </w:r>
    </w:p>
    <w:p w14:paraId="00000032">
      <w:pPr>
        <w:spacing w:after="0" w:line="240" w:lineRule="auto"/>
        <w:jc w:val="both"/>
        <w:rPr/>
      </w:pPr>
    </w:p>
    <w:sectPr>
      <w:footerReference w:type="default" r:id="rId10"/>
      <w:pgSz w:w="11906" w:h="16838"/>
      <w:pgMar w:top="1134" w:right="851" w:bottom="993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3">
    <w:pPr>
      <w:pStyle w:val="Footer"/>
      <w:jc w:val="right"/>
      <w:rPr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00000034"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  <w:pPr>
        <w:ind w:left="1443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1443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C3"/>
    <w:rsid w:val="000071E0"/>
    <w:rsid w:val="000510C3"/>
    <w:rsid w:val="00061BE9"/>
    <w:rsid w:val="00062BBB"/>
    <w:rsid w:val="000A0A57"/>
    <w:rsid w:val="000A141D"/>
    <w:rsid w:val="0010586C"/>
    <w:rsid w:val="001201D5"/>
    <w:rsid w:val="00137124"/>
    <w:rsid w:val="00147FCF"/>
    <w:rsid w:val="00154257"/>
    <w:rsid w:val="001909F0"/>
    <w:rsid w:val="00192B7C"/>
    <w:rsid w:val="001C65A3"/>
    <w:rsid w:val="002104BF"/>
    <w:rsid w:val="0023268D"/>
    <w:rsid w:val="00235F9D"/>
    <w:rsid w:val="00253E86"/>
    <w:rsid w:val="002552F5"/>
    <w:rsid w:val="00267168"/>
    <w:rsid w:val="002909B2"/>
    <w:rsid w:val="002A6C6D"/>
    <w:rsid w:val="002B1ED4"/>
    <w:rsid w:val="002D118B"/>
    <w:rsid w:val="002D7294"/>
    <w:rsid w:val="002F3E14"/>
    <w:rsid w:val="002F7993"/>
    <w:rsid w:val="0031331E"/>
    <w:rsid w:val="00331BCD"/>
    <w:rsid w:val="00335512"/>
    <w:rsid w:val="00336175"/>
    <w:rsid w:val="0035612B"/>
    <w:rsid w:val="0038014B"/>
    <w:rsid w:val="003A0815"/>
    <w:rsid w:val="003C1488"/>
    <w:rsid w:val="003E347D"/>
    <w:rsid w:val="003E3F3B"/>
    <w:rsid w:val="004300B9"/>
    <w:rsid w:val="004401E2"/>
    <w:rsid w:val="004769B1"/>
    <w:rsid w:val="004A1FB1"/>
    <w:rsid w:val="004B73E4"/>
    <w:rsid w:val="004B7D39"/>
    <w:rsid w:val="00514834"/>
    <w:rsid w:val="00537AF0"/>
    <w:rsid w:val="00550AF5"/>
    <w:rsid w:val="00564B8A"/>
    <w:rsid w:val="0058450A"/>
    <w:rsid w:val="00596336"/>
    <w:rsid w:val="005965DB"/>
    <w:rsid w:val="005A1BE2"/>
    <w:rsid w:val="005C7095"/>
    <w:rsid w:val="005E0B32"/>
    <w:rsid w:val="005F565C"/>
    <w:rsid w:val="005F6D20"/>
    <w:rsid w:val="0061193B"/>
    <w:rsid w:val="00670A68"/>
    <w:rsid w:val="00696AE7"/>
    <w:rsid w:val="007150F6"/>
    <w:rsid w:val="007177D0"/>
    <w:rsid w:val="007207DD"/>
    <w:rsid w:val="007C43BE"/>
    <w:rsid w:val="00811BB9"/>
    <w:rsid w:val="00857727"/>
    <w:rsid w:val="008657A4"/>
    <w:rsid w:val="008A5266"/>
    <w:rsid w:val="008B1A60"/>
    <w:rsid w:val="008C6324"/>
    <w:rsid w:val="008C6A7C"/>
    <w:rsid w:val="008E6CE5"/>
    <w:rsid w:val="008F7D21"/>
    <w:rsid w:val="00940633"/>
    <w:rsid w:val="00967B07"/>
    <w:rsid w:val="009E3AE9"/>
    <w:rsid w:val="009E432F"/>
    <w:rsid w:val="00A62931"/>
    <w:rsid w:val="00A95277"/>
    <w:rsid w:val="00A96A6B"/>
    <w:rsid w:val="00AF1E28"/>
    <w:rsid w:val="00AF3C5A"/>
    <w:rsid w:val="00B22F0A"/>
    <w:rsid w:val="00B559E4"/>
    <w:rsid w:val="00B82BD3"/>
    <w:rsid w:val="00BB0553"/>
    <w:rsid w:val="00BB569A"/>
    <w:rsid w:val="00BD6CD7"/>
    <w:rsid w:val="00BF5E69"/>
    <w:rsid w:val="00C40DDE"/>
    <w:rsid w:val="00C92631"/>
    <w:rsid w:val="00CD66DC"/>
    <w:rsid w:val="00CD6BBA"/>
    <w:rsid w:val="00D04EEB"/>
    <w:rsid w:val="00D46329"/>
    <w:rsid w:val="00D57029"/>
    <w:rsid w:val="00D7562A"/>
    <w:rsid w:val="00D86FC3"/>
    <w:rsid w:val="00DB3723"/>
    <w:rsid w:val="00DC16A8"/>
    <w:rsid w:val="00DC4DA6"/>
    <w:rsid w:val="00DE779C"/>
    <w:rsid w:val="00DF0E48"/>
    <w:rsid w:val="00DF6F9B"/>
    <w:rsid w:val="00E106C1"/>
    <w:rsid w:val="00E30DCC"/>
    <w:rsid w:val="00E54305"/>
    <w:rsid w:val="00E84869"/>
    <w:rsid w:val="00EC1589"/>
    <w:rsid w:val="00EE5911"/>
    <w:rsid w:val="00F34297"/>
    <w:rsid w:val="00F40AE0"/>
    <w:rsid w:val="00F62F65"/>
    <w:rsid w:val="00F7036B"/>
    <w:rsid w:val="00F901CF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C1E5-3036-4595-86F4-BD8E6F6FC4F2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 О.Ю.</dc:creator>
  <cp:lastModifiedBy>Slr</cp:lastModifiedBy>
</cp:coreProperties>
</file>