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webSettings.xml" ContentType="application/vnd.openxmlformats-officedocument.wordprocessingml.webSettings+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dgm="http://schemas.openxmlformats.org/drawingml/2006/diagram">
  <w:body>
    <w:p w14:paraId="00000001">
      <w:pPr>
        <w:pStyle w:val="ListParagraph"/>
        <w:jc w:val="center"/>
        <w:rPr>
          <w:rFonts w:ascii="Times New Roman" w:cs="Times New Roman" w:hAnsi="Times New Roman"/>
          <w:sz w:val="28"/>
          <w:szCs w:val="28"/>
          <w:lang w:eastAsia="ru-RU"/>
        </w:rPr>
      </w:pPr>
      <w:r>
        <w:rPr>
          <w:rFonts w:ascii="Times New Roman" w:cs="Times New Roman" w:hAnsi="Times New Roman"/>
          <w:sz w:val="28"/>
          <w:szCs w:val="28"/>
          <w:lang w:eastAsia="ru-RU"/>
        </w:rPr>
        <w:t>МУНИЦИПАЛЬНОЕ ОБРАЗОВАНИЕ</w:t>
      </w:r>
    </w:p>
    <w:p w14:paraId="00000002">
      <w:pPr>
        <w:pStyle w:val="ListParagraph"/>
        <w:jc w:val="center"/>
        <w:rPr>
          <w:rFonts w:ascii="Times New Roman" w:cs="Times New Roman" w:hAnsi="Times New Roman"/>
          <w:sz w:val="28"/>
          <w:szCs w:val="28"/>
          <w:lang w:eastAsia="ru-RU"/>
        </w:rPr>
      </w:pPr>
      <w:r>
        <w:rPr>
          <w:rFonts w:ascii="Times New Roman" w:cs="Times New Roman" w:hAnsi="Times New Roman"/>
          <w:sz w:val="28"/>
          <w:szCs w:val="28"/>
          <w:lang w:eastAsia="ru-RU"/>
        </w:rPr>
        <w:t>СЕЛЬСКОЕ ПОСЕЛЕНИЕ СЕЛИЯРОВО</w:t>
      </w:r>
    </w:p>
    <w:p w14:paraId="00000003">
      <w:pPr>
        <w:pStyle w:val="ListParagraph"/>
        <w:jc w:val="center"/>
        <w:rPr>
          <w:rFonts w:ascii="Times New Roman" w:cs="Times New Roman" w:hAnsi="Times New Roman"/>
          <w:sz w:val="28"/>
          <w:szCs w:val="28"/>
          <w:lang w:eastAsia="ru-RU"/>
        </w:rPr>
      </w:pPr>
      <w:r>
        <w:rPr>
          <w:rFonts w:ascii="Times New Roman" w:cs="Times New Roman" w:hAnsi="Times New Roman"/>
          <w:sz w:val="28"/>
          <w:szCs w:val="28"/>
          <w:lang w:eastAsia="ru-RU"/>
        </w:rPr>
        <w:t>Ханты-Мансийский автономный округ-Югра</w:t>
      </w:r>
    </w:p>
    <w:p w14:paraId="00000004">
      <w:pPr>
        <w:pStyle w:val="ListParagraph"/>
        <w:jc w:val="center"/>
        <w:rPr>
          <w:rFonts w:ascii="Times New Roman" w:cs="Times New Roman" w:hAnsi="Times New Roman"/>
          <w:sz w:val="28"/>
          <w:szCs w:val="28"/>
          <w:lang w:eastAsia="ru-RU"/>
        </w:rPr>
      </w:pPr>
    </w:p>
    <w:p w14:paraId="00000005">
      <w:pPr>
        <w:pStyle w:val="ListParagraph"/>
        <w:jc w:val="center"/>
        <w:rPr>
          <w:rFonts w:ascii="Times New Roman" w:cs="Times New Roman" w:hAnsi="Times New Roman"/>
          <w:sz w:val="28"/>
          <w:szCs w:val="28"/>
          <w:lang w:eastAsia="ru-RU"/>
        </w:rPr>
      </w:pPr>
      <w:r>
        <w:rPr>
          <w:rFonts w:ascii="Times New Roman" w:cs="Times New Roman" w:hAnsi="Times New Roman"/>
          <w:sz w:val="28"/>
          <w:szCs w:val="28"/>
          <w:lang w:eastAsia="ru-RU"/>
        </w:rPr>
        <w:t>АДМИНИСТРАЦИЯ СЕЛЬСКОГО   ПОСЕЛЕНИЯ СЕЛИЯРОВО</w:t>
      </w:r>
    </w:p>
    <w:p w14:paraId="00000006">
      <w:pPr>
        <w:pStyle w:val="ListParagraph"/>
        <w:jc w:val="center"/>
        <w:rPr>
          <w:rFonts w:ascii="Times New Roman" w:cs="Times New Roman" w:hAnsi="Times New Roman"/>
          <w:sz w:val="28"/>
          <w:szCs w:val="28"/>
          <w:lang w:eastAsia="ru-RU"/>
        </w:rPr>
      </w:pPr>
    </w:p>
    <w:p w14:paraId="00000007">
      <w:pPr>
        <w:pStyle w:val="ListParagraph"/>
        <w:jc w:val="center"/>
        <w:rPr>
          <w:rFonts w:ascii="Times New Roman" w:cs="Times New Roman" w:hAnsi="Times New Roman"/>
          <w:sz w:val="28"/>
          <w:szCs w:val="28"/>
          <w:lang w:eastAsia="ru-RU"/>
        </w:rPr>
      </w:pPr>
      <w:r>
        <w:rPr>
          <w:rFonts w:ascii="Times New Roman" w:cs="Times New Roman" w:hAnsi="Times New Roman"/>
          <w:sz w:val="28"/>
          <w:szCs w:val="28"/>
          <w:lang w:eastAsia="ru-RU"/>
        </w:rPr>
        <w:t>П О С Т А Н О В Л Е Н И Е</w:t>
      </w:r>
    </w:p>
    <w:p w14:paraId="00000008">
      <w:pPr>
        <w:pStyle w:val="ListParagraph"/>
        <w:jc w:val="center"/>
        <w:rPr>
          <w:rFonts w:ascii="Times New Roman" w:cs="Times New Roman" w:hAnsi="Times New Roman"/>
          <w:sz w:val="28"/>
          <w:szCs w:val="28"/>
          <w:lang w:eastAsia="ru-RU"/>
        </w:rPr>
      </w:pPr>
    </w:p>
    <w:p w14:paraId="00000009">
      <w:pPr>
        <w:pStyle w:val="ListParagraph"/>
        <w:ind w:left="-16" w:firstLine="0"/>
        <w:jc w:val="center"/>
        <w:rPr>
          <w:rFonts w:ascii="Times New Roman" w:cs="Times New Roman" w:hAnsi="Times New Roman"/>
          <w:sz w:val="28"/>
          <w:szCs w:val="28"/>
          <w:lang w:eastAsia="ru-RU"/>
        </w:rPr>
      </w:pPr>
      <w:r>
        <w:rPr>
          <w:rFonts w:ascii="Times New Roman" w:cs="Times New Roman" w:hAnsi="Times New Roman"/>
          <w:sz w:val="28"/>
          <w:szCs w:val="28"/>
          <w:lang w:eastAsia="ru-RU"/>
        </w:rPr>
        <w:t xml:space="preserve">  от </w:t>
      </w:r>
      <w:r>
        <w:rPr>
          <w:rFonts w:ascii="Times New Roman" w:cs="Times New Roman" w:hAnsi="Times New Roman"/>
          <w:sz w:val="28"/>
          <w:szCs w:val="28"/>
          <w:lang w:eastAsia="ru-RU"/>
        </w:rPr>
        <w:t>00</w:t>
      </w:r>
      <w:r>
        <w:rPr>
          <w:rFonts w:ascii="Times New Roman" w:cs="Times New Roman" w:hAnsi="Times New Roman"/>
          <w:sz w:val="28"/>
          <w:szCs w:val="28"/>
          <w:lang w:eastAsia="ru-RU"/>
        </w:rPr>
        <w:t>.0</w:t>
      </w:r>
      <w:r>
        <w:rPr>
          <w:rFonts w:ascii="Times New Roman" w:cs="Times New Roman" w:hAnsi="Times New Roman"/>
          <w:sz w:val="28"/>
          <w:szCs w:val="28"/>
          <w:lang w:eastAsia="ru-RU"/>
        </w:rPr>
        <w:t>0</w:t>
      </w:r>
      <w:r>
        <w:rPr>
          <w:rFonts w:ascii="Times New Roman" w:cs="Times New Roman" w:hAnsi="Times New Roman"/>
          <w:sz w:val="28"/>
          <w:szCs w:val="28"/>
          <w:lang w:eastAsia="ru-RU"/>
        </w:rPr>
        <w:t>.0000</w:t>
      </w:r>
      <w:r>
        <w:rPr>
          <w:rFonts w:ascii="Times New Roman" w:cs="Times New Roman" w:hAnsi="Times New Roman"/>
          <w:sz w:val="28"/>
          <w:szCs w:val="28"/>
          <w:lang w:eastAsia="ru-RU"/>
        </w:rPr>
        <w:t xml:space="preserve">                                                                                    </w:t>
      </w:r>
      <w:r>
        <w:rPr>
          <w:rFonts w:ascii="Times New Roman" w:cs="Times New Roman" w:hAnsi="Times New Roman"/>
          <w:sz w:val="28"/>
          <w:szCs w:val="28"/>
          <w:lang w:eastAsia="ru-RU"/>
        </w:rPr>
        <w:t>№ 00</w:t>
      </w:r>
      <w:r>
        <w:rPr>
          <w:rFonts w:ascii="Times New Roman" w:cs="Times New Roman" w:hAnsi="Times New Roman"/>
          <w:sz w:val="28"/>
          <w:szCs w:val="28"/>
          <w:lang w:eastAsia="ru-RU"/>
        </w:rPr>
        <w:t xml:space="preserve">                                                                                                                 </w:t>
      </w:r>
    </w:p>
    <w:p w14:paraId="0000000A">
      <w:pPr>
        <w:pStyle w:val="ListParagraph"/>
        <w:jc w:val="left"/>
        <w:rPr>
          <w:rFonts w:ascii="Times New Roman" w:cs="Times New Roman" w:hAnsi="Times New Roman"/>
          <w:sz w:val="28"/>
          <w:szCs w:val="28"/>
          <w:lang w:eastAsia="ru-RU"/>
        </w:rPr>
      </w:pPr>
      <w:r>
        <w:rPr>
          <w:rFonts w:ascii="Times New Roman" w:cs="Times New Roman" w:hAnsi="Times New Roman"/>
          <w:sz w:val="28"/>
          <w:szCs w:val="28"/>
          <w:lang w:eastAsia="ru-RU"/>
        </w:rPr>
        <w:t xml:space="preserve">с. Селиярово                                                                                              </w:t>
      </w:r>
    </w:p>
    <w:p w14:paraId="0000000B">
      <w:pPr>
        <w:pStyle w:val="Normal"/>
        <w:ind w:firstLine="723"/>
        <w:jc w:val="both"/>
        <w:rPr>
          <w:rFonts w:ascii="Times New Roman" w:cs="Times New Roman" w:hAnsi="Times New Roman"/>
          <w:sz w:val="28"/>
          <w:szCs w:val="28"/>
        </w:rPr>
      </w:pPr>
    </w:p>
    <w:p w14:paraId="0000000C">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Об утверждении </w:t>
      </w:r>
      <w:r>
        <w:rPr>
          <w:rFonts w:ascii="Times New Roman" w:cs="Times New Roman" w:hAnsi="Times New Roman"/>
          <w:sz w:val="28"/>
          <w:szCs w:val="28"/>
        </w:rPr>
        <w:t>документации по планировке</w:t>
      </w:r>
      <w:r>
        <w:rPr>
          <w:rFonts w:ascii="Times New Roman" w:cs="Times New Roman" w:hAnsi="Times New Roman"/>
          <w:sz w:val="28"/>
          <w:szCs w:val="28"/>
        </w:rPr>
        <w:t xml:space="preserve"> территории для ПАО “НК “Роснефть” по объекту</w:t>
      </w:r>
      <w:r>
        <w:rPr>
          <w:rFonts w:ascii="Times New Roman" w:cs="Times New Roman" w:hAnsi="Times New Roman"/>
          <w:sz w:val="28"/>
          <w:szCs w:val="28"/>
        </w:rPr>
        <w:t xml:space="preserve"> «Линейные коммуникации для кустовой площадки </w:t>
      </w:r>
      <w:r>
        <w:rPr>
          <w:rFonts w:ascii="Times New Roman" w:cs="Times New Roman" w:hAnsi="Times New Roman"/>
          <w:sz w:val="28"/>
          <w:szCs w:val="28"/>
        </w:rPr>
        <w:t>№</w:t>
      </w:r>
      <w:r>
        <w:rPr>
          <w:rFonts w:ascii="Times New Roman" w:cs="Times New Roman" w:hAnsi="Times New Roman"/>
          <w:sz w:val="28"/>
          <w:szCs w:val="28"/>
        </w:rPr>
        <w:t>2059</w:t>
      </w:r>
      <w:r>
        <w:rPr>
          <w:rFonts w:ascii="Times New Roman" w:cs="Times New Roman" w:hAnsi="Times New Roman"/>
          <w:sz w:val="28"/>
          <w:szCs w:val="28"/>
        </w:rPr>
        <w:t>У</w:t>
      </w:r>
      <w:r>
        <w:rPr>
          <w:rFonts w:ascii="Times New Roman" w:cs="Times New Roman" w:hAnsi="Times New Roman"/>
          <w:sz w:val="28"/>
          <w:szCs w:val="28"/>
        </w:rPr>
        <w:t xml:space="preserve"> </w:t>
      </w:r>
      <w:r>
        <w:rPr>
          <w:rFonts w:ascii="Times New Roman" w:cs="Times New Roman" w:hAnsi="Times New Roman"/>
          <w:sz w:val="28"/>
          <w:szCs w:val="28"/>
        </w:rPr>
        <w:t>П</w:t>
      </w:r>
      <w:r>
        <w:rPr>
          <w:rFonts w:ascii="Times New Roman" w:cs="Times New Roman" w:hAnsi="Times New Roman"/>
          <w:sz w:val="28"/>
          <w:szCs w:val="28"/>
        </w:rPr>
        <w:t xml:space="preserve">риобского месторождения» </w:t>
      </w:r>
    </w:p>
    <w:p w14:paraId="0000000D">
      <w:pPr>
        <w:pStyle w:val="Normal"/>
        <w:ind w:firstLine="723"/>
        <w:jc w:val="both"/>
        <w:rPr>
          <w:rFonts w:ascii="Times New Roman" w:cs="Times New Roman" w:hAnsi="Times New Roman"/>
          <w:sz w:val="28"/>
          <w:szCs w:val="28"/>
        </w:rPr>
      </w:pPr>
    </w:p>
    <w:p w14:paraId="0000000E">
      <w:pPr>
        <w:pStyle w:val="Normal"/>
        <w:ind w:firstLine="723"/>
        <w:jc w:val="both"/>
        <w:rPr>
          <w:rFonts w:ascii="Times New Roman" w:cs="Times New Roman" w:hAnsi="Times New Roman"/>
          <w:sz w:val="28"/>
          <w:szCs w:val="28"/>
          <w:lang w:eastAsia="ru-RU"/>
        </w:rPr>
      </w:pPr>
      <w:r>
        <w:rPr>
          <w:rFonts w:ascii="Times New Roman" w:cs="Times New Roman" w:hAnsi="Times New Roman"/>
          <w:sz w:val="28"/>
          <w:szCs w:val="28"/>
          <w:lang w:eastAsia="ru-RU"/>
        </w:rPr>
        <w:t xml:space="preserve">В целях создания условий для развития территории, эффективного землепользования и застройки, обеспечения прав и законных интересов граждан и юридических лиц, на основании </w:t>
      </w:r>
      <w:r>
        <w:rPr>
          <w:rFonts w:ascii="Times New Roman" w:cs="Times New Roman" w:hAnsi="Times New Roman"/>
          <w:sz w:val="28"/>
          <w:szCs w:val="28"/>
          <w:lang w:eastAsia="ru-RU"/>
        </w:rPr>
        <w:t>Градостроительного кодекса Российской Федерации, Федерального закона от 06.10.2003 № 131-ФЗ «</w:t>
      </w:r>
      <w:r>
        <w:rPr>
          <w:rFonts w:ascii="Times New Roman" w:cs="Times New Roman" w:hAnsi="Times New Roman"/>
          <w:sz w:val="28"/>
          <w:szCs w:val="28"/>
          <w:lang w:eastAsia="ru-RU"/>
        </w:rPr>
        <w:t>Об общих принципах организации местного самоуправления в Российской Федерации</w:t>
      </w:r>
      <w:r>
        <w:rPr>
          <w:rFonts w:ascii="Times New Roman" w:cs="Times New Roman" w:hAnsi="Times New Roman"/>
          <w:sz w:val="28"/>
          <w:szCs w:val="28"/>
          <w:lang w:eastAsia="ru-RU"/>
        </w:rPr>
        <w:t xml:space="preserve">», </w:t>
      </w:r>
      <w:bookmarkStart w:id="0" w:name="_Hlk117587601"/>
      <w:r>
        <w:rPr>
          <w:rFonts w:ascii="Times New Roman" w:cs="Times New Roman" w:hAnsi="Times New Roman"/>
          <w:sz w:val="28"/>
          <w:szCs w:val="28"/>
          <w:lang w:eastAsia="ru-RU"/>
        </w:rPr>
        <w:t xml:space="preserve">Закона Ханты-Мансийского автономного округа – Югры от 18.04.2007 № 39-оз «О градостроительной деятельности на территории Ханты-Мансийского автономного округа – Югры», </w:t>
      </w:r>
      <w:bookmarkEnd w:id="0"/>
      <w:r>
        <w:rPr>
          <w:rFonts w:ascii="Times New Roman" w:cs="Times New Roman" w:hAnsi="Times New Roman"/>
          <w:sz w:val="28"/>
          <w:szCs w:val="28"/>
          <w:lang w:eastAsia="ru-RU"/>
        </w:rPr>
        <w:t>руководствуясь Уставом сельского поселения Селиярово.</w:t>
      </w:r>
    </w:p>
    <w:p w14:paraId="0000000F">
      <w:pPr>
        <w:pStyle w:val="Normal"/>
        <w:ind w:firstLine="723"/>
        <w:jc w:val="both"/>
        <w:rPr>
          <w:rFonts w:ascii="Times New Roman" w:cs="Times New Roman" w:hAnsi="Times New Roman"/>
          <w:sz w:val="28"/>
          <w:szCs w:val="28"/>
          <w:lang w:eastAsia="ru-RU"/>
        </w:rPr>
      </w:pPr>
    </w:p>
    <w:p w14:paraId="00000010">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1. </w:t>
      </w:r>
      <w:r>
        <w:rPr>
          <w:rFonts w:ascii="Times New Roman" w:cs="Times New Roman" w:hAnsi="Times New Roman"/>
          <w:sz w:val="28"/>
          <w:szCs w:val="28"/>
        </w:rPr>
        <w:t xml:space="preserve">Утвердить </w:t>
      </w:r>
      <w:r>
        <w:rPr>
          <w:rFonts w:ascii="Times New Roman" w:cs="Times New Roman" w:hAnsi="Times New Roman"/>
          <w:sz w:val="28"/>
          <w:szCs w:val="28"/>
        </w:rPr>
        <w:t>проект</w:t>
      </w:r>
      <w:r>
        <w:rPr>
          <w:rFonts w:ascii="Times New Roman" w:cs="Times New Roman" w:hAnsi="Times New Roman"/>
          <w:sz w:val="28"/>
          <w:szCs w:val="28"/>
        </w:rPr>
        <w:t xml:space="preserve"> планировк</w:t>
      </w:r>
      <w:r>
        <w:rPr>
          <w:rFonts w:ascii="Times New Roman" w:cs="Times New Roman" w:hAnsi="Times New Roman"/>
          <w:sz w:val="28"/>
          <w:szCs w:val="28"/>
        </w:rPr>
        <w:t>и и проект межевания</w:t>
      </w:r>
      <w:r>
        <w:rPr>
          <w:rFonts w:ascii="Times New Roman" w:cs="Times New Roman" w:hAnsi="Times New Roman"/>
          <w:sz w:val="28"/>
          <w:szCs w:val="28"/>
        </w:rPr>
        <w:t xml:space="preserve"> территории по объекту</w:t>
      </w:r>
      <w:r>
        <w:rPr>
          <w:rFonts w:ascii="Times New Roman" w:cs="Times New Roman" w:hAnsi="Times New Roman"/>
          <w:sz w:val="28"/>
          <w:szCs w:val="28"/>
        </w:rPr>
        <w:t>:</w:t>
      </w:r>
      <w:r>
        <w:rPr>
          <w:rFonts w:ascii="Times New Roman" w:cs="Times New Roman" w:hAnsi="Times New Roman"/>
          <w:sz w:val="28"/>
          <w:szCs w:val="28"/>
        </w:rPr>
        <w:t xml:space="preserve"> «Линейные коммуникации для кустовой площадки №2</w:t>
      </w:r>
      <w:r>
        <w:rPr>
          <w:rFonts w:ascii="Times New Roman" w:cs="Times New Roman" w:hAnsi="Times New Roman"/>
          <w:sz w:val="28"/>
          <w:szCs w:val="28"/>
        </w:rPr>
        <w:t>059</w:t>
      </w:r>
      <w:r>
        <w:rPr>
          <w:rFonts w:ascii="Times New Roman" w:cs="Times New Roman" w:hAnsi="Times New Roman"/>
          <w:sz w:val="28"/>
          <w:szCs w:val="28"/>
        </w:rPr>
        <w:t>У Приобского месторождения», согласно приложениям 1, 2, 3 и 4 к настоящему постановлению.</w:t>
      </w:r>
    </w:p>
    <w:p w14:paraId="00000011">
      <w:pPr>
        <w:pStyle w:val="Normal"/>
        <w:ind w:firstLine="723"/>
        <w:jc w:val="both"/>
        <w:rPr>
          <w:rFonts w:ascii="Times New Roman" w:cs="Times New Roman" w:hAnsi="Times New Roman"/>
          <w:sz w:val="28"/>
          <w:szCs w:val="28"/>
          <w:lang w:eastAsia="zh-CN"/>
        </w:rPr>
      </w:pPr>
      <w:r>
        <w:rPr>
          <w:rFonts w:ascii="Times New Roman" w:cs="Times New Roman" w:hAnsi="Times New Roman"/>
          <w:sz w:val="28"/>
          <w:szCs w:val="28"/>
        </w:rPr>
        <w:t xml:space="preserve">2. </w:t>
      </w:r>
      <w:r>
        <w:rPr>
          <w:rFonts w:ascii="Times New Roman" w:cs="Times New Roman" w:hAnsi="Times New Roman"/>
          <w:sz w:val="28"/>
          <w:szCs w:val="28"/>
          <w:lang w:eastAsia="ru-RU"/>
        </w:rPr>
        <w:t>О</w:t>
      </w:r>
      <w:r>
        <w:rPr>
          <w:rFonts w:ascii="Times New Roman" w:cs="Times New Roman" w:hAnsi="Times New Roman"/>
          <w:sz w:val="28"/>
          <w:szCs w:val="28"/>
          <w:lang w:eastAsia="ru-RU"/>
        </w:rPr>
        <w:t xml:space="preserve">бнародовать настоящее постановление </w:t>
      </w:r>
      <w:r>
        <w:rPr>
          <w:rFonts w:ascii="Times New Roman" w:cs="Times New Roman" w:hAnsi="Times New Roman"/>
          <w:sz w:val="28"/>
          <w:szCs w:val="28"/>
        </w:rPr>
        <w:t>в установленном порядке.</w:t>
      </w:r>
    </w:p>
    <w:p w14:paraId="00000012">
      <w:pPr>
        <w:pStyle w:val="Normal"/>
        <w:ind w:firstLine="723"/>
        <w:jc w:val="both"/>
        <w:rPr>
          <w:rFonts w:ascii="Times New Roman" w:cs="Times New Roman" w:hAnsi="Times New Roman"/>
          <w:sz w:val="28"/>
          <w:szCs w:val="28"/>
          <w:lang w:eastAsia="ru-RU"/>
        </w:rPr>
      </w:pPr>
      <w:r>
        <w:rPr>
          <w:rFonts w:ascii="Times New Roman" w:cs="Times New Roman" w:hAnsi="Times New Roman"/>
          <w:sz w:val="28"/>
          <w:szCs w:val="28"/>
          <w:lang w:eastAsia="zh-CN"/>
        </w:rPr>
        <w:t xml:space="preserve">3. </w:t>
      </w:r>
      <w:r>
        <w:rPr>
          <w:rFonts w:ascii="Times New Roman" w:cs="Times New Roman" w:hAnsi="Times New Roman"/>
          <w:sz w:val="28"/>
          <w:szCs w:val="28"/>
          <w:lang w:eastAsia="zh-CN"/>
        </w:rPr>
        <w:t>П</w:t>
      </w:r>
      <w:r>
        <w:rPr>
          <w:rFonts w:ascii="Times New Roman" w:cs="Times New Roman" w:hAnsi="Times New Roman"/>
          <w:sz w:val="28"/>
          <w:szCs w:val="28"/>
          <w:lang w:eastAsia="zh-CN"/>
        </w:rPr>
        <w:t xml:space="preserve">остановление </w:t>
      </w:r>
      <w:r>
        <w:rPr>
          <w:rFonts w:ascii="Times New Roman" w:cs="Times New Roman" w:hAnsi="Times New Roman"/>
          <w:sz w:val="28"/>
          <w:szCs w:val="28"/>
        </w:rPr>
        <w:t>вступает в силу после его официального обнародования.</w:t>
      </w:r>
    </w:p>
    <w:p w14:paraId="00000013">
      <w:pPr>
        <w:pStyle w:val="Normal"/>
        <w:ind w:firstLine="723"/>
        <w:jc w:val="both"/>
        <w:rPr>
          <w:rFonts w:ascii="Times New Roman" w:cs="Times New Roman" w:hAnsi="Times New Roman"/>
          <w:sz w:val="28"/>
          <w:szCs w:val="28"/>
        </w:rPr>
      </w:pPr>
      <w:r>
        <w:rPr>
          <w:rFonts w:ascii="Times New Roman" w:cs="Times New Roman" w:hAnsi="Times New Roman"/>
          <w:sz w:val="28"/>
          <w:szCs w:val="28"/>
          <w:lang w:eastAsia="ru-RU"/>
        </w:rPr>
        <w:t xml:space="preserve">4. </w:t>
      </w:r>
      <w:r>
        <w:rPr>
          <w:rFonts w:ascii="Times New Roman" w:cs="Times New Roman" w:hAnsi="Times New Roman"/>
          <w:sz w:val="28"/>
          <w:szCs w:val="28"/>
          <w:lang w:eastAsia="ru-RU"/>
        </w:rPr>
        <w:t>Контроль за выполнением настоящего постановления оставляю за собой.</w:t>
      </w:r>
    </w:p>
    <w:p w14:paraId="00000014">
      <w:pPr>
        <w:pStyle w:val="Normal"/>
        <w:ind w:firstLine="723"/>
        <w:jc w:val="both"/>
        <w:rPr>
          <w:rFonts w:ascii="Times New Roman" w:cs="Times New Roman" w:hAnsi="Times New Roman"/>
          <w:sz w:val="28"/>
          <w:szCs w:val="28"/>
        </w:rPr>
      </w:pPr>
    </w:p>
    <w:p w14:paraId="00000015">
      <w:pPr>
        <w:pStyle w:val="Normal"/>
        <w:ind w:firstLine="723"/>
        <w:jc w:val="both"/>
        <w:rPr>
          <w:rFonts w:ascii="Times New Roman" w:cs="Times New Roman" w:hAnsi="Times New Roman"/>
          <w:sz w:val="28"/>
          <w:szCs w:val="28"/>
        </w:rPr>
      </w:pPr>
      <w:r>
        <w:rPr>
          <w:rFonts w:ascii="Times New Roman" w:cs="Times New Roman" w:hAnsi="Times New Roman"/>
          <w:sz w:val="28"/>
          <w:szCs w:val="28"/>
        </w:rPr>
        <w:t>Г</w:t>
      </w:r>
      <w:r>
        <w:rPr>
          <w:rFonts w:ascii="Times New Roman" w:cs="Times New Roman" w:hAnsi="Times New Roman"/>
          <w:sz w:val="28"/>
          <w:szCs w:val="28"/>
        </w:rPr>
        <w:t>лав</w:t>
      </w:r>
      <w:r>
        <w:rPr>
          <w:rFonts w:ascii="Times New Roman" w:cs="Times New Roman" w:hAnsi="Times New Roman"/>
          <w:sz w:val="28"/>
          <w:szCs w:val="28"/>
        </w:rPr>
        <w:t>ы</w:t>
      </w:r>
      <w:r>
        <w:rPr>
          <w:rFonts w:ascii="Times New Roman" w:cs="Times New Roman" w:hAnsi="Times New Roman"/>
          <w:sz w:val="28"/>
          <w:szCs w:val="28"/>
        </w:rPr>
        <w:t xml:space="preserve"> сельского поселения                                         </w:t>
      </w: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С.В.Маркова</w:t>
      </w:r>
    </w:p>
    <w:p w14:paraId="00000016">
      <w:pPr>
        <w:pStyle w:val="Normal"/>
        <w:ind w:firstLine="723"/>
        <w:jc w:val="both"/>
        <w:rPr>
          <w:rFonts w:ascii="Times New Roman" w:cs="Times New Roman" w:hAnsi="Times New Roman"/>
          <w:sz w:val="28"/>
          <w:szCs w:val="28"/>
        </w:rPr>
      </w:pPr>
      <w:r>
        <w:rPr>
          <w:rFonts w:ascii="Times New Roman" w:cs="Times New Roman" w:hAnsi="Times New Roman"/>
          <w:sz w:val="28"/>
          <w:szCs w:val="28"/>
        </w:rPr>
        <mc:AlternateContent>
          <mc:Choice Requires="wps">
            <w:drawing xmlns:mc="http://schemas.openxmlformats.org/markup-compatibility/2006">
              <wp:anchor allowOverlap="1" behindDoc="0" distT="0" distB="0" distL="118872" distR="118872" layoutInCell="1" locked="0" relativeHeight="1" simplePos="0">
                <wp:simplePos x="0" y="0"/>
                <wp:positionH relativeFrom="column">
                  <wp:posOffset>2853055</wp:posOffset>
                </wp:positionH>
                <wp:positionV relativeFrom="paragraph">
                  <wp:posOffset>5080</wp:posOffset>
                </wp:positionV>
                <wp:extent cx="2992120" cy="1276985"/>
                <wp:effectExtent l="0" t="0" r="0" b="0"/>
                <wp:wrapNone/>
                <wp:docPr id="14" name="Поле 26"/>
                <wp:cNvGraphicFramePr>
                  <a:graphicFrameLocks xmlns:a="http://schemas.openxmlformats.org/drawingml/2006/main"/>
                </wp:cNvGraphicFramePr>
                <a:graphic xmlns:a="http://schemas.openxmlformats.org/drawingml/2006/main">
                  <a:graphicData uri="http://schemas.microsoft.com/office/word/2010/wordprocessingShape">
                    <wps:wsp>
                      <wps:cNvPr id="1" name="Поле 26"/>
                      <wps:cNvSpPr txBox="1"/>
                      <wps:spPr>
                        <a:xfrm>
                          <a:off x="0" y="0"/>
                          <a:ext cx="2992120" cy="1276985"/>
                        </a:xfrm>
                        <a:prstGeom prst="rect">
                          <a:avLst/>
                        </a:prstGeom>
                        <a:noFill/>
                        <a:ln>
                          <a:noFill/>
                          <a:miter/>
                        </a:ln>
                      </wps:spPr>
                      <wps:txbx id="0">
                        <w:txbxContent>
                          <w:p w14:paraId="00000017">
                            <w:pPr>
                              <w:pStyle w:val="Normal"/>
                              <w:jc w:val="right"/>
                              <w:rPr>
                                <w:rFonts w:ascii="Times New Roman" w:cs="Times New Roman" w:hAnsi="Times New Roman"/>
                                <w:spacing w:val="-8"/>
                                <w:sz w:val="24"/>
                                <w:szCs w:val="24"/>
                              </w:rPr>
                            </w:pPr>
                            <w:r>
                              <w:rPr>
                                <w:rFonts w:ascii="Times New Roman" w:cs="Times New Roman" w:hAnsi="Times New Roman"/>
                                <w:spacing w:val="-8"/>
                                <w:sz w:val="24"/>
                                <w:szCs w:val="24"/>
                              </w:rPr>
                              <w:t>Приложение 1</w:t>
                            </w:r>
                          </w:p>
                          <w:p w14:paraId="00000018">
                            <w:pPr>
                              <w:pStyle w:val="Normal"/>
                              <w:jc w:val="right"/>
                              <w:rPr>
                                <w:rFonts w:ascii="Times New Roman" w:cs="Times New Roman" w:hAnsi="Times New Roman"/>
                                <w:spacing w:val="-8"/>
                                <w:sz w:val="24"/>
                                <w:szCs w:val="24"/>
                              </w:rPr>
                            </w:pPr>
                            <w:r>
                              <w:rPr>
                                <w:rFonts w:ascii="Times New Roman" w:cs="Times New Roman" w:hAnsi="Times New Roman"/>
                                <w:spacing w:val="-8"/>
                                <w:sz w:val="24"/>
                                <w:szCs w:val="24"/>
                              </w:rPr>
                              <w:t xml:space="preserve">к </w:t>
                            </w:r>
                            <w:r>
                              <w:rPr>
                                <w:rFonts w:ascii="Times New Roman" w:cs="Times New Roman" w:hAnsi="Times New Roman"/>
                                <w:spacing w:val="-8"/>
                                <w:sz w:val="24"/>
                                <w:szCs w:val="24"/>
                              </w:rPr>
                              <w:t xml:space="preserve">постановлению </w:t>
                            </w:r>
                            <w:r>
                              <w:rPr>
                                <w:rFonts w:ascii="Times New Roman" w:cs="Times New Roman" w:hAnsi="Times New Roman"/>
                                <w:spacing w:val="-8"/>
                                <w:sz w:val="24"/>
                                <w:szCs w:val="24"/>
                              </w:rPr>
                              <w:t xml:space="preserve">администрации </w:t>
                            </w:r>
                          </w:p>
                          <w:p w14:paraId="00000019">
                            <w:pPr>
                              <w:pStyle w:val="Normal"/>
                              <w:jc w:val="right"/>
                              <w:rPr>
                                <w:rFonts w:ascii="Times New Roman" w:cs="Times New Roman" w:hAnsi="Times New Roman"/>
                                <w:spacing w:val="-8"/>
                                <w:sz w:val="24"/>
                                <w:szCs w:val="24"/>
                              </w:rPr>
                            </w:pPr>
                            <w:r>
                              <w:rPr>
                                <w:rFonts w:ascii="Times New Roman" w:cs="Times New Roman" w:hAnsi="Times New Roman"/>
                                <w:spacing w:val="-8"/>
                                <w:sz w:val="24"/>
                                <w:szCs w:val="24"/>
                              </w:rPr>
                              <w:t>сельского поселения Селиярово</w:t>
                            </w:r>
                          </w:p>
                          <w:p w14:paraId="0000001A">
                            <w:pPr>
                              <w:pStyle w:val="Normal"/>
                              <w:jc w:val="right"/>
                              <w:rPr>
                                <w:rFonts w:ascii="Times New Roman" w:cs="Times New Roman" w:hAnsi="Times New Roman"/>
                                <w:spacing w:val="-8"/>
                                <w:sz w:val="24"/>
                                <w:szCs w:val="24"/>
                              </w:rPr>
                            </w:pPr>
                            <w:r>
                              <w:rPr>
                                <w:rFonts w:ascii="Times New Roman" w:cs="Times New Roman" w:hAnsi="Times New Roman"/>
                                <w:spacing w:val="-8"/>
                                <w:sz w:val="24"/>
                                <w:szCs w:val="24"/>
                              </w:rPr>
                              <w:t>от 00.00.0000 № 00</w:t>
                            </w:r>
                          </w:p>
                          <w:p w14:paraId="0000001B">
                            <w:pPr>
                              <w:pStyle w:val="Normal"/>
                              <w:jc w:val="right"/>
                              <w:rPr>
                                <w:spacing w:val="-8"/>
                                <w:sz w:val="26"/>
                                <w:szCs w:val="26"/>
                              </w:rPr>
                            </w:pPr>
                          </w:p>
                          <w:p w14:paraId="0000001C">
                            <w:pPr>
                              <w:pStyle w:val="Normal"/>
                              <w:jc w:val="right"/>
                              <w:rPr>
                                <w:spacing w:val="-8"/>
                                <w:sz w:val="26"/>
                                <w:szCs w:val="26"/>
                              </w:rPr>
                            </w:pPr>
                          </w:p>
                        </w:txbxContent>
                      </wps:txbx>
                      <wps:bodyPr lIns="91440" tIns="45720" rIns="91440" bIns="45720"/>
                    </wps:wsp>
                  </a:graphicData>
                </a:graphic>
              </wp:anchor>
            </w:drawing>
          </mc:Choice>
          <mc:Fallback>
            <w:pict>
              <v:shape id="3D0ECB43-429C-7117-84A06900261B" coordsize="21600,21600" style="position:absolute;width:235.6pt;height:100.55pt;margin-top:0.4pt;margin-left:224.65pt;mso-wrap-distance-left:9.36pt;mso-wrap-distance-right:9.36pt;mso-wrap-distance-top:0pt;mso-wrap-distance-bottom:0pt;rotation:0.000000;z-index:1;" stroked="f" o:spt="1" path="m0,0 l0,21600 r21600,0 l21600,0 x e">
                <w10:wrap side="both"/>
                <o:lock/>
              </v:shape>
            </w:pict>
          </mc:Fallback>
        </mc:AlternateContent>
      </w:r>
    </w:p>
    <w:p w14:paraId="0000001D">
      <w:pPr>
        <w:pStyle w:val="Normal"/>
        <w:ind w:firstLine="723"/>
        <w:jc w:val="both"/>
        <w:rPr>
          <w:rFonts w:ascii="Times New Roman" w:cs="Times New Roman" w:hAnsi="Times New Roman"/>
          <w:sz w:val="28"/>
          <w:szCs w:val="28"/>
        </w:rPr>
      </w:pPr>
    </w:p>
    <w:p w14:paraId="0000001E">
      <w:pPr>
        <w:pStyle w:val="Normal"/>
        <w:ind w:firstLine="723"/>
        <w:jc w:val="both"/>
        <w:rPr>
          <w:rFonts w:ascii="Times New Roman" w:cs="Times New Roman" w:hAnsi="Times New Roman"/>
          <w:sz w:val="28"/>
          <w:szCs w:val="28"/>
        </w:rPr>
      </w:pPr>
    </w:p>
    <w:p w14:paraId="0000001F">
      <w:pPr>
        <w:pStyle w:val="Normal"/>
        <w:ind w:firstLine="723"/>
        <w:jc w:val="both"/>
        <w:rPr>
          <w:rFonts w:ascii="Times New Roman" w:cs="Times New Roman" w:hAnsi="Times New Roman"/>
          <w:sz w:val="28"/>
          <w:szCs w:val="28"/>
        </w:rPr>
      </w:pPr>
    </w:p>
    <w:p w14:paraId="00000020">
      <w:pPr>
        <w:pStyle w:val="Normal"/>
        <w:ind w:firstLine="723"/>
        <w:jc w:val="both"/>
        <w:rPr>
          <w:rFonts w:ascii="Times New Roman" w:cs="Times New Roman" w:hAnsi="Times New Roman"/>
          <w:sz w:val="28"/>
          <w:szCs w:val="28"/>
        </w:rPr>
      </w:pPr>
      <w:r>
        <w:rPr>
          <w:rFonts w:ascii="Times New Roman" w:cs="Times New Roman" w:hAnsi="Times New Roman"/>
          <w:sz w:val="28"/>
          <w:szCs w:val="28"/>
        </w:rPr>
        <mc:AlternateContent>
          <mc:Choice Requires="wps">
            <w:drawing xmlns:mc="http://schemas.openxmlformats.org/markup-compatibility/2006">
              <wp:anchor allowOverlap="1" behindDoc="0" distT="0" distB="0" distL="118872" distR="118872" layoutInCell="1" locked="0" relativeHeight="2" simplePos="0">
                <wp:simplePos x="0" y="0"/>
                <wp:positionH relativeFrom="column">
                  <wp:posOffset>450215</wp:posOffset>
                </wp:positionH>
                <wp:positionV relativeFrom="paragraph">
                  <wp:posOffset>29845</wp:posOffset>
                </wp:positionV>
                <wp:extent cx="5662930" cy="1838325"/>
                <wp:effectExtent l="0" t="0" r="0" b="0"/>
                <wp:wrapNone/>
                <wp:docPr id="15" name="Поле 4"/>
                <wp:cNvGraphicFramePr>
                  <a:graphicFrameLocks xmlns:a="http://schemas.openxmlformats.org/drawingml/2006/main"/>
                </wp:cNvGraphicFramePr>
                <a:graphic xmlns:a="http://schemas.openxmlformats.org/drawingml/2006/main">
                  <a:graphicData uri="http://schemas.microsoft.com/office/word/2010/wordprocessingShape">
                    <wps:wsp>
                      <wps:cNvPr id="2" name="Поле 4"/>
                      <wps:cNvSpPr txBox="1"/>
                      <wps:spPr>
                        <a:xfrm>
                          <a:off x="0" y="0"/>
                          <a:ext cx="5662930" cy="1838960"/>
                        </a:xfrm>
                        <a:prstGeom prst="rect">
                          <a:avLst/>
                        </a:prstGeom>
                        <a:noFill/>
                        <a:ln>
                          <a:noFill/>
                          <a:miter/>
                        </a:ln>
                      </wps:spPr>
                      <wps:txbx id="1">
                        <w:txbxContent>
                          <w:p w14:paraId="00000021">
                            <w:pPr>
                              <w:pStyle w:val="NoSpacing"/>
                              <w:rPr/>
                            </w:pPr>
                          </w:p>
                          <w:p w14:paraId="00000022">
                            <w:pPr>
                              <w:pStyle w:val="Normal"/>
                              <w:shd w:val="clear" w:color="auto" w:fill="ffffff"/>
                              <w:spacing w:line="216" w:lineRule="auto"/>
                              <w:jc w:val="center"/>
                              <w:rPr>
                                <w:rFonts w:ascii="Times New Roman" w:cs="Times New Roman" w:hAnsi="Times New Roman"/>
                                <w:spacing w:val="-8"/>
                                <w:sz w:val="28"/>
                                <w:szCs w:val="28"/>
                              </w:rPr>
                            </w:pPr>
                            <w:r>
                              <w:rPr>
                                <w:rFonts w:ascii="Times New Roman" w:cs="Times New Roman" w:hAnsi="Times New Roman"/>
                                <w:spacing w:val="-8"/>
                                <w:sz w:val="28"/>
                                <w:szCs w:val="28"/>
                              </w:rPr>
                              <w:t>П</w:t>
                            </w:r>
                            <w:r>
                              <w:rPr>
                                <w:rFonts w:ascii="Times New Roman" w:cs="Times New Roman" w:hAnsi="Times New Roman"/>
                                <w:spacing w:val="-8"/>
                                <w:sz w:val="28"/>
                                <w:szCs w:val="28"/>
                              </w:rPr>
                              <w:t>роект планировки территории</w:t>
                            </w:r>
                          </w:p>
                          <w:p w14:paraId="00000023">
                            <w:pPr>
                              <w:pStyle w:val="Normal"/>
                              <w:shd w:val="clear" w:color="auto" w:fill="ffffff"/>
                              <w:spacing w:line="216" w:lineRule="auto"/>
                              <w:jc w:val="center"/>
                              <w:rPr>
                                <w:rFonts w:ascii="Times New Roman" w:cs="Times New Roman" w:hAnsi="Times New Roman"/>
                                <w:spacing w:val="-8"/>
                                <w:sz w:val="28"/>
                                <w:szCs w:val="28"/>
                              </w:rPr>
                            </w:pPr>
                            <w:r>
                              <w:rPr>
                                <w:rFonts w:ascii="Times New Roman" w:cs="Times New Roman" w:hAnsi="Times New Roman"/>
                                <w:spacing w:val="-8"/>
                                <w:sz w:val="28"/>
                                <w:szCs w:val="28"/>
                              </w:rPr>
                              <w:t>для размещения объекта</w:t>
                            </w:r>
                            <w:r>
                              <w:rPr>
                                <w:rFonts w:ascii="Times New Roman" w:cs="Times New Roman" w:hAnsi="Times New Roman"/>
                                <w:spacing w:val="-8"/>
                                <w:sz w:val="28"/>
                                <w:szCs w:val="28"/>
                              </w:rPr>
                              <w:t xml:space="preserve">, расположенного на территории сельского поселения Селиярово </w:t>
                            </w:r>
                            <w:r>
                              <w:rPr>
                                <w:rFonts w:ascii="Times New Roman" w:cs="Times New Roman" w:hAnsi="Times New Roman"/>
                                <w:spacing w:val="-8"/>
                                <w:sz w:val="28"/>
                                <w:szCs w:val="28"/>
                              </w:rPr>
                              <w:t>Ханты-Мансийского</w:t>
                            </w:r>
                            <w:r>
                              <w:rPr>
                                <w:rFonts w:ascii="Times New Roman" w:cs="Times New Roman" w:hAnsi="Times New Roman"/>
                                <w:spacing w:val="-8"/>
                                <w:sz w:val="28"/>
                                <w:szCs w:val="28"/>
                              </w:rPr>
                              <w:t xml:space="preserve"> </w:t>
                            </w:r>
                            <w:r>
                              <w:rPr>
                                <w:rFonts w:ascii="Times New Roman" w:cs="Times New Roman" w:hAnsi="Times New Roman"/>
                                <w:spacing w:val="-8"/>
                                <w:sz w:val="28"/>
                                <w:szCs w:val="28"/>
                              </w:rPr>
                              <w:t>района</w:t>
                            </w:r>
                          </w:p>
                          <w:p w14:paraId="00000024">
                            <w:pPr>
                              <w:pStyle w:val="Normal"/>
                              <w:jc w:val="center"/>
                              <w:rPr>
                                <w:rFonts w:ascii="Times New Roman" w:cs="Times New Roman" w:hAnsi="Times New Roman"/>
                                <w:b/>
                                <w:spacing w:val="-8"/>
                                <w:sz w:val="28"/>
                                <w:szCs w:val="28"/>
                              </w:rPr>
                            </w:pPr>
                            <w:r>
                              <w:rPr>
                                <w:rFonts w:ascii="Times New Roman" w:cs="Times New Roman" w:hAnsi="Times New Roman"/>
                                <w:color w:val="000000"/>
                                <w:sz w:val="28"/>
                                <w:szCs w:val="28"/>
                              </w:rPr>
                              <w:t>«</w:t>
                            </w:r>
                            <w:r>
                              <w:rPr>
                                <w:rFonts w:ascii="Times New Roman" w:cs="Times New Roman" w:hAnsi="Times New Roman"/>
                                <w:b/>
                                <w:spacing w:val="-8"/>
                                <w:sz w:val="28"/>
                                <w:szCs w:val="28"/>
                              </w:rPr>
                              <w:t>Линейные коммуникации для кустовой площадки № 2059У Приобского месторождения</w:t>
                            </w:r>
                            <w:r>
                              <w:rPr>
                                <w:rFonts w:ascii="Times New Roman" w:cs="Times New Roman" w:hAnsi="Times New Roman"/>
                                <w:b/>
                                <w:spacing w:val="-8"/>
                                <w:sz w:val="28"/>
                                <w:szCs w:val="28"/>
                              </w:rPr>
                              <w:t>»</w:t>
                            </w:r>
                          </w:p>
                          <w:p w14:paraId="00000025">
                            <w:pPr>
                              <w:pStyle w:val="Normal"/>
                              <w:jc w:val="center"/>
                              <w:rPr>
                                <w:rFonts w:ascii="Times New Roman" w:cs="Times New Roman" w:hAnsi="Times New Roman"/>
                                <w:spacing w:val="-8"/>
                                <w:sz w:val="28"/>
                                <w:szCs w:val="28"/>
                              </w:rPr>
                            </w:pPr>
                            <w:r>
                              <w:rPr>
                                <w:rFonts w:ascii="Times New Roman" w:cs="Times New Roman" w:hAnsi="Times New Roman"/>
                                <w:spacing w:val="-8"/>
                                <w:sz w:val="28"/>
                                <w:szCs w:val="28"/>
                              </w:rPr>
                              <w:t>Основная часть</w:t>
                            </w:r>
                          </w:p>
                          <w:p w14:paraId="00000026">
                            <w:pPr>
                              <w:pStyle w:val="Normal"/>
                              <w:spacing w:line="360" w:lineRule="auto"/>
                              <w:jc w:val="center"/>
                              <w:rPr>
                                <w:spacing w:val="-8"/>
                                <w:sz w:val="22"/>
                                <w:szCs w:val="22"/>
                              </w:rPr>
                            </w:pPr>
                          </w:p>
                          <w:p w14:paraId="00000027">
                            <w:pPr>
                              <w:pStyle w:val="Normal"/>
                              <w:rPr>
                                <w:spacing w:val="-8"/>
                                <w:sz w:val="22"/>
                                <w:szCs w:val="22"/>
                              </w:rPr>
                            </w:pPr>
                          </w:p>
                        </w:txbxContent>
                      </wps:txbx>
                      <wps:bodyPr lIns="91440" tIns="45720" rIns="91440" bIns="45720"/>
                    </wps:wsp>
                  </a:graphicData>
                </a:graphic>
              </wp:anchor>
            </w:drawing>
          </mc:Choice>
          <mc:Fallback>
            <w:pict>
              <v:shape id="C5E2C76E-33E7-6C96-87D31D4BD28D" coordsize="21600,21600" style="position:absolute;width:445.9pt;height:144.8pt;margin-top:2.35pt;margin-left:35.45pt;mso-wrap-distance-left:9.36pt;mso-wrap-distance-right:9.36pt;mso-wrap-distance-top:0pt;mso-wrap-distance-bottom:0pt;rotation:0.000000;z-index:2;" stroked="f" o:spt="1" path="m0,0 l0,21600 r21600,0 l21600,0 x e">
                <w10:wrap side="both"/>
                <o:lock/>
              </v:shape>
            </w:pict>
          </mc:Fallback>
        </mc:AlternateContent>
      </w:r>
      <w:r>
        <w:rPr>
          <w:rFonts w:ascii="Times New Roman" w:cs="Times New Roman" w:hAnsi="Times New Roman"/>
          <w:sz w:val="28"/>
          <w:szCs w:val="28"/>
        </w:rPr>
        <w:t>;</w:t>
      </w:r>
    </w:p>
    <w:p w14:paraId="00000028">
      <w:pPr>
        <w:pStyle w:val="Normal"/>
        <w:ind w:firstLine="723"/>
        <w:jc w:val="both"/>
        <w:rPr>
          <w:rFonts w:ascii="Times New Roman" w:cs="Times New Roman" w:hAnsi="Times New Roman"/>
          <w:sz w:val="28"/>
          <w:szCs w:val="28"/>
        </w:rPr>
      </w:pPr>
    </w:p>
    <w:p w14:paraId="00000029">
      <w:pPr>
        <w:pStyle w:val="Normal"/>
        <w:ind w:firstLine="723"/>
        <w:jc w:val="both"/>
        <w:rPr>
          <w:rFonts w:ascii="Times New Roman" w:cs="Times New Roman" w:hAnsi="Times New Roman"/>
          <w:sz w:val="28"/>
          <w:szCs w:val="28"/>
        </w:rPr>
      </w:pPr>
    </w:p>
    <w:p w14:paraId="0000002A">
      <w:pPr>
        <w:pStyle w:val="Normal"/>
        <w:ind w:firstLine="723"/>
        <w:jc w:val="both"/>
        <w:rPr>
          <w:rFonts w:ascii="Times New Roman" w:cs="Times New Roman" w:hAnsi="Times New Roman"/>
          <w:sz w:val="28"/>
          <w:szCs w:val="28"/>
        </w:rPr>
      </w:pPr>
    </w:p>
    <w:p w14:paraId="0000002B">
      <w:pPr>
        <w:pStyle w:val="Normal"/>
        <w:ind w:firstLine="723"/>
        <w:jc w:val="both"/>
        <w:rPr>
          <w:rFonts w:ascii="Times New Roman" w:cs="Times New Roman" w:hAnsi="Times New Roman"/>
          <w:sz w:val="28"/>
          <w:szCs w:val="28"/>
        </w:rPr>
      </w:pPr>
    </w:p>
    <w:p w14:paraId="0000002C">
      <w:pPr>
        <w:pStyle w:val="Normal"/>
        <w:ind w:firstLine="723"/>
        <w:jc w:val="both"/>
        <w:rPr>
          <w:rFonts w:ascii="Times New Roman" w:cs="Times New Roman" w:hAnsi="Times New Roman"/>
          <w:sz w:val="28"/>
          <w:szCs w:val="28"/>
        </w:rPr>
      </w:pPr>
      <w:r>
        <w:rPr>
          <w:rFonts w:ascii="Times New Roman" w:cs="Times New Roman" w:hAnsi="Times New Roman"/>
          <w:sz w:val="28"/>
          <w:szCs w:val="28"/>
        </w:rPr>
        <w:drawing xmlns:mc="http://schemas.openxmlformats.org/markup-compatibility/2006">
          <wp:inline distT="0" distB="0" distL="118872" distR="118872">
            <wp:extent cx="5170805" cy="6097905"/>
            <wp:effectExtent l="0" t="0" r="0" b="0"/>
            <wp:docPr id="1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pic:cNvPicPr>
                      <a:picLocks noGrp="0" noSelect="0" noChangeAspect="0" noMove="0"/>
                    </pic:cNvPicPr>
                  </pic:nvPicPr>
                  <pic:blipFill>
                    <a:blip r:embed="rId16"/>
                    <a:srcRect/>
                    <a:stretch>
                      <a:fillRect/>
                    </a:stretch>
                  </pic:blipFill>
                  <pic:spPr>
                    <a:xfrm>
                      <a:off x="0" y="0"/>
                      <a:ext cx="5170599" cy="6098159"/>
                    </a:xfrm>
                    <a:prstGeom prst="rect">
                      <a:avLst/>
                    </a:prstGeom>
                  </pic:spPr>
                </pic:pic>
              </a:graphicData>
            </a:graphic>
          </wp:inline>
        </w:drawing>
      </w:r>
    </w:p>
    <w:p w14:paraId="0000002D">
      <w:pPr>
        <w:pStyle w:val="Normal"/>
        <w:ind w:firstLine="723"/>
        <w:jc w:val="both"/>
        <w:rPr>
          <w:rFonts w:ascii="Times New Roman" w:cs="Times New Roman" w:hAnsi="Times New Roman"/>
          <w:sz w:val="28"/>
          <w:szCs w:val="28"/>
        </w:rPr>
      </w:pPr>
      <w:r>
        <w:rPr>
          <w:rFonts w:ascii="Times New Roman" w:cs="Times New Roman" w:hAnsi="Times New Roman"/>
          <w:sz w:val="28"/>
          <w:szCs w:val="28"/>
        </w:rPr>
        <w:drawing xmlns:mc="http://schemas.openxmlformats.org/markup-compatibility/2006">
          <wp:inline distT="0" distB="0" distL="118872" distR="118872">
            <wp:extent cx="5568315" cy="9104630"/>
            <wp:effectExtent l="0" t="0" r="0" b="0"/>
            <wp:docPr id="1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a:picLocks noGrp="0" noSelect="0" noChangeAspect="0" noMove="0"/>
                    </pic:cNvPicPr>
                  </pic:nvPicPr>
                  <pic:blipFill>
                    <a:blip r:embed="rId17"/>
                    <a:srcRect/>
                    <a:stretch>
                      <a:fillRect/>
                    </a:stretch>
                  </pic:blipFill>
                  <pic:spPr>
                    <a:xfrm>
                      <a:off x="0" y="0"/>
                      <a:ext cx="5568612" cy="9104826"/>
                    </a:xfrm>
                    <a:prstGeom prst="rect">
                      <a:avLst/>
                    </a:prstGeom>
                  </pic:spPr>
                </pic:pic>
              </a:graphicData>
            </a:graphic>
          </wp:inline>
        </w:drawing>
      </w:r>
    </w:p>
    <w:p w14:paraId="0000002E">
      <w:pPr>
        <w:pStyle w:val="Normal"/>
        <w:ind w:firstLine="723"/>
        <w:jc w:val="both"/>
        <w:rPr>
          <w:rFonts w:ascii="Times New Roman" w:cs="Times New Roman" w:hAnsi="Times New Roman"/>
          <w:sz w:val="28"/>
          <w:szCs w:val="28"/>
        </w:rPr>
      </w:pPr>
      <w:r>
        <w:rPr>
          <w:rFonts w:ascii="Times New Roman" w:cs="Times New Roman" w:hAnsi="Times New Roman"/>
          <w:sz w:val="28"/>
          <w:szCs w:val="28"/>
        </w:rPr>
        <w:drawing xmlns:mc="http://schemas.openxmlformats.org/markup-compatibility/2006">
          <wp:inline distT="0" distB="0" distL="118872" distR="118872">
            <wp:extent cx="5487670" cy="9393555"/>
            <wp:effectExtent l="0" t="0" r="0" b="0"/>
            <wp:docPr id="1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pic:cNvPicPr>
                      <a:picLocks noGrp="0" noSelect="0" noChangeAspect="0" noMove="0"/>
                    </pic:cNvPicPr>
                  </pic:nvPicPr>
                  <pic:blipFill>
                    <a:blip r:embed="rId18"/>
                    <a:srcRect/>
                    <a:stretch>
                      <a:fillRect/>
                    </a:stretch>
                  </pic:blipFill>
                  <pic:spPr>
                    <a:xfrm>
                      <a:off x="0" y="0"/>
                      <a:ext cx="5487677" cy="9393359"/>
                    </a:xfrm>
                    <a:prstGeom prst="rect">
                      <a:avLst/>
                    </a:prstGeom>
                  </pic:spPr>
                </pic:pic>
              </a:graphicData>
            </a:graphic>
          </wp:inline>
        </w:drawing>
      </w:r>
    </w:p>
    <w:p w14:paraId="0000002F">
      <w:pPr>
        <w:pStyle w:val="ListParagraph"/>
        <w:jc w:val="right"/>
        <w:rPr>
          <w:rFonts w:ascii="Times New Roman" w:cs="Times New Roman" w:hAnsi="Times New Roman"/>
          <w:sz w:val="24"/>
          <w:szCs w:val="24"/>
        </w:rPr>
      </w:pPr>
      <w:r>
        <w:rPr>
          <w:rFonts w:ascii="Times New Roman" w:cs="Times New Roman" w:hAnsi="Times New Roman"/>
          <w:sz w:val="24"/>
          <w:szCs w:val="24"/>
        </w:rPr>
        <w:t xml:space="preserve">Приложение </w:t>
      </w:r>
      <w:r>
        <w:rPr>
          <w:rFonts w:ascii="Times New Roman" w:cs="Times New Roman" w:hAnsi="Times New Roman"/>
          <w:sz w:val="24"/>
          <w:szCs w:val="24"/>
        </w:rPr>
        <w:t>2</w:t>
      </w:r>
    </w:p>
    <w:p w14:paraId="00000030">
      <w:pPr>
        <w:pStyle w:val="ListParagraph"/>
        <w:jc w:val="right"/>
        <w:rPr>
          <w:rFonts w:ascii="Times New Roman" w:cs="Times New Roman" w:hAnsi="Times New Roman"/>
          <w:sz w:val="24"/>
          <w:szCs w:val="24"/>
        </w:rPr>
      </w:pPr>
      <w:r>
        <w:rPr>
          <w:rFonts w:ascii="Times New Roman" w:cs="Times New Roman" w:hAnsi="Times New Roman"/>
          <w:sz w:val="24"/>
          <w:szCs w:val="24"/>
        </w:rPr>
        <w:t xml:space="preserve">к постановлению администрации </w:t>
      </w:r>
    </w:p>
    <w:p w14:paraId="00000031">
      <w:pPr>
        <w:pStyle w:val="ListParagraph"/>
        <w:jc w:val="right"/>
        <w:rPr>
          <w:rFonts w:ascii="Times New Roman" w:cs="Times New Roman" w:hAnsi="Times New Roman"/>
          <w:sz w:val="24"/>
          <w:szCs w:val="24"/>
        </w:rPr>
      </w:pPr>
      <w:r>
        <w:rPr>
          <w:rFonts w:ascii="Times New Roman" w:cs="Times New Roman" w:hAnsi="Times New Roman"/>
          <w:sz w:val="24"/>
          <w:szCs w:val="24"/>
        </w:rPr>
        <w:t>сельского поселения Селиярово</w:t>
      </w:r>
    </w:p>
    <w:p w14:paraId="00000032">
      <w:pPr>
        <w:pStyle w:val="ListParagraph"/>
        <w:jc w:val="right"/>
        <w:rPr>
          <w:rFonts w:ascii="Times New Roman" w:cs="Times New Roman" w:hAnsi="Times New Roman"/>
          <w:sz w:val="24"/>
          <w:szCs w:val="24"/>
        </w:rPr>
      </w:pPr>
      <w:r>
        <w:rPr>
          <w:rFonts w:ascii="Times New Roman" w:cs="Times New Roman" w:hAnsi="Times New Roman"/>
          <w:sz w:val="24"/>
          <w:szCs w:val="24"/>
        </w:rPr>
        <w:t>от 00.00.0000 № 00</w:t>
      </w:r>
    </w:p>
    <w:p w14:paraId="00000033">
      <w:pPr>
        <w:pStyle w:val="Normal"/>
        <w:ind w:firstLine="723"/>
        <w:jc w:val="center"/>
        <w:rPr>
          <w:rFonts w:ascii="Times New Roman" w:cs="Times New Roman" w:hAnsi="Times New Roman"/>
          <w:sz w:val="28"/>
          <w:szCs w:val="28"/>
        </w:rPr>
      </w:pPr>
      <w:r>
        <w:rPr>
          <w:rFonts w:ascii="Times New Roman" w:cs="Times New Roman" w:hAnsi="Times New Roman"/>
          <w:sz w:val="28"/>
          <w:szCs w:val="28"/>
        </w:rPr>
        <w:t xml:space="preserve">Положение о </w:t>
      </w:r>
      <w:r>
        <w:rPr>
          <w:rFonts w:ascii="Times New Roman" w:cs="Times New Roman" w:hAnsi="Times New Roman"/>
          <w:sz w:val="28"/>
          <w:szCs w:val="28"/>
        </w:rPr>
        <w:t>размещени</w:t>
      </w:r>
      <w:r>
        <w:rPr>
          <w:rFonts w:ascii="Times New Roman" w:cs="Times New Roman" w:hAnsi="Times New Roman"/>
          <w:sz w:val="28"/>
          <w:szCs w:val="28"/>
        </w:rPr>
        <w:t>и</w:t>
      </w:r>
      <w:r>
        <w:rPr>
          <w:rFonts w:ascii="Times New Roman" w:cs="Times New Roman" w:hAnsi="Times New Roman"/>
          <w:sz w:val="28"/>
          <w:szCs w:val="28"/>
        </w:rPr>
        <w:t xml:space="preserve"> </w:t>
      </w:r>
      <w:r>
        <w:rPr>
          <w:rFonts w:ascii="Times New Roman" w:cs="Times New Roman" w:hAnsi="Times New Roman"/>
          <w:sz w:val="28"/>
          <w:szCs w:val="28"/>
        </w:rPr>
        <w:t>линейного объекта</w:t>
      </w:r>
    </w:p>
    <w:p w14:paraId="00000034">
      <w:pPr>
        <w:pStyle w:val="Normal"/>
        <w:ind w:firstLine="723"/>
        <w:jc w:val="center"/>
        <w:rPr>
          <w:rFonts w:ascii="Times New Roman" w:cs="Times New Roman" w:hAnsi="Times New Roman"/>
          <w:sz w:val="28"/>
          <w:szCs w:val="28"/>
        </w:rPr>
      </w:pPr>
      <w:r>
        <w:rPr>
          <w:rFonts w:ascii="Times New Roman" w:cs="Times New Roman" w:hAnsi="Times New Roman"/>
          <w:sz w:val="28"/>
          <w:szCs w:val="28"/>
        </w:rPr>
        <w:t>«</w:t>
      </w:r>
      <w:r>
        <w:rPr>
          <w:rFonts w:ascii="Times New Roman" w:cs="Times New Roman" w:hAnsi="Times New Roman"/>
          <w:sz w:val="28"/>
          <w:szCs w:val="28"/>
        </w:rPr>
        <w:t xml:space="preserve">Линейные коммуникации для кустовой площадки № 2059У </w:t>
      </w:r>
    </w:p>
    <w:p w14:paraId="00000035">
      <w:pPr>
        <w:pStyle w:val="Normal"/>
        <w:ind w:firstLine="723"/>
        <w:jc w:val="center"/>
        <w:rPr>
          <w:rFonts w:ascii="Times New Roman" w:cs="Times New Roman" w:hAnsi="Times New Roman"/>
          <w:sz w:val="28"/>
          <w:szCs w:val="28"/>
        </w:rPr>
      </w:pPr>
      <w:r>
        <w:rPr>
          <w:rFonts w:ascii="Times New Roman" w:cs="Times New Roman" w:hAnsi="Times New Roman"/>
          <w:sz w:val="28"/>
          <w:szCs w:val="28"/>
        </w:rPr>
        <w:t>Приобского месторождения</w:t>
      </w:r>
      <w:r>
        <w:rPr>
          <w:rFonts w:ascii="Times New Roman" w:cs="Times New Roman" w:hAnsi="Times New Roman"/>
          <w:sz w:val="28"/>
          <w:szCs w:val="28"/>
        </w:rPr>
        <w:t>»</w:t>
      </w:r>
    </w:p>
    <w:p w14:paraId="00000036">
      <w:pPr>
        <w:pStyle w:val="Normal"/>
        <w:ind w:firstLine="723"/>
        <w:jc w:val="center"/>
        <w:rPr>
          <w:rFonts w:ascii="Times New Roman" w:cs="Times New Roman" w:hAnsi="Times New Roman"/>
          <w:sz w:val="28"/>
          <w:szCs w:val="28"/>
        </w:rPr>
      </w:pPr>
      <w:r>
        <w:rPr>
          <w:rFonts w:ascii="Times New Roman" w:cs="Times New Roman" w:hAnsi="Times New Roman"/>
          <w:sz w:val="28"/>
          <w:szCs w:val="28"/>
        </w:rPr>
        <w:t>Проект планировки</w:t>
      </w:r>
    </w:p>
    <w:p w14:paraId="00000037">
      <w:pPr>
        <w:pStyle w:val="Normal"/>
        <w:ind w:firstLine="723"/>
        <w:jc w:val="both"/>
        <w:rPr>
          <w:rFonts w:ascii="Times New Roman" w:cs="Times New Roman" w:hAnsi="Times New Roman"/>
          <w:sz w:val="28"/>
          <w:szCs w:val="28"/>
        </w:rPr>
      </w:pPr>
      <w:r>
        <w:rPr>
          <w:rFonts w:ascii="Times New Roman" w:cs="Times New Roman" w:hAnsi="Times New Roman"/>
          <w:sz w:val="28"/>
          <w:szCs w:val="28"/>
        </w:rPr>
        <w:t>Наименование, основные характеристики (категория, протяженность, проектная мо</w:t>
      </w:r>
      <w:r>
        <w:rPr>
          <w:rFonts w:ascii="Times New Roman" w:cs="Times New Roman" w:hAnsi="Times New Roman"/>
          <w:sz w:val="28"/>
          <w:szCs w:val="28"/>
        </w:rPr>
        <w:t>щ</w:t>
      </w:r>
      <w:r>
        <w:rPr>
          <w:rFonts w:ascii="Times New Roman" w:cs="Times New Roman" w:hAnsi="Times New Roman"/>
          <w:sz w:val="28"/>
          <w:szCs w:val="28"/>
        </w:rPr>
        <w:t>ность, пропускная способность, грузонапряженность, интенсивность движения) и назначение планируемых для размещения линейных</w:t>
      </w:r>
      <w:r>
        <w:rPr>
          <w:rFonts w:ascii="Times New Roman" w:cs="Times New Roman" w:hAnsi="Times New Roman"/>
          <w:sz w:val="28"/>
          <w:szCs w:val="28"/>
        </w:rPr>
        <w:t xml:space="preserve"> объектов</w:t>
      </w:r>
    </w:p>
    <w:p w14:paraId="0000003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Документацией по планировке территории объекта: «Линейные коммуникации для кустовой площадки № 2097У Приобского (Монастырский остров) месторождения»   (далее проектируемый объект) предусматривается строительство следующих объектов:</w:t>
      </w:r>
    </w:p>
    <w:p w14:paraId="0000003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1. Кустовая площадка №2059У.</w:t>
      </w:r>
    </w:p>
    <w:p w14:paraId="0000003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Параметры кустовой площадке на период строительс</w:t>
      </w:r>
      <w:r>
        <w:rPr>
          <w:rFonts w:ascii="Times New Roman" w:cs="Times New Roman" w:hAnsi="Times New Roman"/>
          <w:sz w:val="28"/>
          <w:szCs w:val="28"/>
          <w:lang w:eastAsia="en-US"/>
        </w:rPr>
        <w:t>тва кустового основания опреде</w:t>
      </w:r>
      <w:r>
        <w:rPr>
          <w:rFonts w:ascii="Times New Roman" w:cs="Times New Roman" w:hAnsi="Times New Roman"/>
          <w:sz w:val="28"/>
          <w:szCs w:val="28"/>
          <w:lang w:eastAsia="en-US"/>
        </w:rPr>
        <w:t>лены в зависимости от количества проектируемых скважи</w:t>
      </w:r>
      <w:r>
        <w:rPr>
          <w:rFonts w:ascii="Times New Roman" w:cs="Times New Roman" w:hAnsi="Times New Roman"/>
          <w:sz w:val="28"/>
          <w:szCs w:val="28"/>
          <w:lang w:eastAsia="en-US"/>
        </w:rPr>
        <w:t xml:space="preserve">н, исходя из условия размещения </w:t>
      </w:r>
      <w:r>
        <w:rPr>
          <w:rFonts w:ascii="Times New Roman" w:cs="Times New Roman" w:hAnsi="Times New Roman"/>
          <w:sz w:val="28"/>
          <w:szCs w:val="28"/>
          <w:lang w:eastAsia="en-US"/>
        </w:rPr>
        <w:t>бурового и эксплуатационного оборудования.</w:t>
      </w:r>
    </w:p>
    <w:p w14:paraId="0000003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2. Автомобильная дорога к кустовой площадке №2059У.</w:t>
      </w:r>
    </w:p>
    <w:p w14:paraId="0000003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Протяженность трассы 1008,13 м. Трасса отмыкает от бровки существующей</w:t>
      </w:r>
    </w:p>
    <w:p w14:paraId="0000003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автомобильной дороги к кусту скважин №241у, собствен</w:t>
      </w:r>
      <w:r>
        <w:rPr>
          <w:rFonts w:ascii="Times New Roman" w:cs="Times New Roman" w:hAnsi="Times New Roman"/>
          <w:sz w:val="28"/>
          <w:szCs w:val="28"/>
          <w:lang w:eastAsia="en-US"/>
        </w:rPr>
        <w:t>ником которой является ООО «РН-</w:t>
      </w:r>
      <w:r>
        <w:rPr>
          <w:rFonts w:ascii="Times New Roman" w:cs="Times New Roman" w:hAnsi="Times New Roman"/>
          <w:sz w:val="28"/>
          <w:szCs w:val="28"/>
          <w:lang w:eastAsia="en-US"/>
        </w:rPr>
        <w:t>Юганскнефтегаз». Конец автодороги – ПК10+08,13 соответствует второму съезду на кустову</w:t>
      </w:r>
      <w:r>
        <w:rPr>
          <w:rFonts w:ascii="Times New Roman" w:cs="Times New Roman" w:hAnsi="Times New Roman"/>
          <w:sz w:val="28"/>
          <w:szCs w:val="28"/>
          <w:lang w:eastAsia="en-US"/>
        </w:rPr>
        <w:t xml:space="preserve">ю </w:t>
      </w:r>
      <w:r>
        <w:rPr>
          <w:rFonts w:ascii="Times New Roman" w:cs="Times New Roman" w:hAnsi="Times New Roman"/>
          <w:sz w:val="28"/>
          <w:szCs w:val="28"/>
          <w:lang w:eastAsia="en-US"/>
        </w:rPr>
        <w:t>площадке №2059У.</w:t>
      </w:r>
    </w:p>
    <w:p w14:paraId="0000003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3. Нефтегазосборные сети куст №2059У– уз.511</w:t>
      </w:r>
    </w:p>
    <w:p w14:paraId="0000003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Назначение - нефтегазосборные сети для транспорта нефтегазоводяной смеси от проектируемой кустовой площадки №2059У (проект 2320</w:t>
      </w:r>
      <w:r>
        <w:rPr>
          <w:rFonts w:ascii="Times New Roman" w:cs="Times New Roman" w:hAnsi="Times New Roman"/>
          <w:sz w:val="28"/>
          <w:szCs w:val="28"/>
          <w:lang w:eastAsia="en-US"/>
        </w:rPr>
        <w:t xml:space="preserve">60_2) до подключения к задвижке </w:t>
      </w:r>
      <w:r>
        <w:rPr>
          <w:rFonts w:ascii="Times New Roman" w:cs="Times New Roman" w:hAnsi="Times New Roman"/>
          <w:sz w:val="28"/>
          <w:szCs w:val="28"/>
          <w:lang w:eastAsia="en-US"/>
        </w:rPr>
        <w:t>511/2 DN300.</w:t>
      </w:r>
    </w:p>
    <w:p w14:paraId="0000004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4. ВЛ 6 кВ:</w:t>
      </w:r>
    </w:p>
    <w:p w14:paraId="0000004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ВЛ 6 кВ на кустовую площадку № 2059У. Назначение – электроснабжение потребителей кустовой площадки №2059У.</w:t>
      </w:r>
    </w:p>
    <w:p w14:paraId="0000004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Начало трассы – ответвительные опоры установленные в трассе существующей ВЛ 6 кВ на куст №241у ф.5041-09, ф.5041-19, конец трассы – концевые опоры около кустовой площадки №2059У.</w:t>
      </w:r>
    </w:p>
    <w:p w14:paraId="00000043">
      <w:pPr>
        <w:pStyle w:val="Normal"/>
        <w:ind w:firstLine="723"/>
        <w:jc w:val="both"/>
        <w:rPr>
          <w:rFonts w:ascii="Times New Roman" w:cs="Times New Roman" w:hAnsi="Times New Roman"/>
          <w:sz w:val="28"/>
          <w:szCs w:val="28"/>
        </w:rPr>
      </w:pPr>
    </w:p>
    <w:p w14:paraId="00000044">
      <w:pPr>
        <w:pStyle w:val="Normal"/>
        <w:ind w:firstLine="723"/>
        <w:jc w:val="both"/>
        <w:rPr>
          <w:rFonts w:ascii="Times New Roman" w:cs="Times New Roman" w:hAnsi="Times New Roman"/>
          <w:sz w:val="28"/>
          <w:szCs w:val="28"/>
        </w:rPr>
      </w:pPr>
      <w:r>
        <w:rPr>
          <w:rFonts w:ascii="Times New Roman" w:cs="Times New Roman" w:hAnsi="Times New Roman"/>
          <w:sz w:val="28"/>
          <w:szCs w:val="28"/>
        </w:rPr>
        <w:t>Характеристика проектируемых линейных объектов</w:t>
      </w:r>
    </w:p>
    <w:p w14:paraId="00000045">
      <w:pPr>
        <w:pStyle w:val="Normal"/>
        <w:ind w:firstLine="723"/>
        <w:jc w:val="both"/>
        <w:rPr>
          <w:rFonts w:ascii="Times New Roman" w:cs="Times New Roman" w:hAnsi="Times New Roman"/>
          <w:sz w:val="28"/>
          <w:szCs w:val="28"/>
        </w:rPr>
      </w:pPr>
      <w:r>
        <w:rPr>
          <w:rFonts w:ascii="Times New Roman" w:cs="Times New Roman" w:hAnsi="Times New Roman"/>
          <w:sz w:val="28"/>
          <w:szCs w:val="28"/>
        </w:rPr>
        <w:drawing xmlns:mc="http://schemas.openxmlformats.org/markup-compatibility/2006">
          <wp:inline distT="0" distB="0" distL="0" distR="0">
            <wp:extent cx="5245100" cy="513905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Grp="0" noSelect="0" noChangeAspect="1" noMove="0"/>
                    </pic:cNvPicPr>
                  </pic:nvPicPr>
                  <pic:blipFill>
                    <a:blip r:embed="rId19"/>
                    <a:srcRect/>
                    <a:stretch>
                      <a:fillRect/>
                    </a:stretch>
                  </pic:blipFill>
                  <pic:spPr>
                    <a:xfrm>
                      <a:off x="0" y="0"/>
                      <a:ext cx="5245291" cy="5138871"/>
                    </a:xfrm>
                    <a:prstGeom prst="rect">
                      <a:avLst/>
                    </a:prstGeom>
                  </pic:spPr>
                </pic:pic>
              </a:graphicData>
            </a:graphic>
          </wp:inline>
        </w:drawing>
      </w:r>
    </w:p>
    <w:p w14:paraId="00000046">
      <w:pPr>
        <w:pStyle w:val="Normal"/>
        <w:ind w:firstLine="723"/>
        <w:jc w:val="both"/>
        <w:rPr>
          <w:rFonts w:ascii="Times New Roman" w:cs="Times New Roman" w:hAnsi="Times New Roman"/>
          <w:sz w:val="28"/>
          <w:szCs w:val="28"/>
        </w:rPr>
      </w:pPr>
      <w:r>
        <w:rPr>
          <w:rFonts w:ascii="Times New Roman" w:cs="Times New Roman" w:hAnsi="Times New Roman"/>
          <w:sz w:val="28"/>
          <w:szCs w:val="28"/>
        </w:rPr>
        <w:drawing xmlns:mc="http://schemas.openxmlformats.org/markup-compatibility/2006">
          <wp:inline distT="0" distB="0" distL="0" distR="0">
            <wp:extent cx="5172075" cy="252857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Grp="0" noSelect="0" noChangeAspect="1" noMove="0"/>
                    </pic:cNvPicPr>
                  </pic:nvPicPr>
                  <pic:blipFill>
                    <a:blip r:embed="rId20"/>
                    <a:srcRect/>
                    <a:stretch>
                      <a:fillRect/>
                    </a:stretch>
                  </pic:blipFill>
                  <pic:spPr>
                    <a:xfrm>
                      <a:off x="0" y="0"/>
                      <a:ext cx="5171802" cy="2528849"/>
                    </a:xfrm>
                    <a:prstGeom prst="rect">
                      <a:avLst/>
                    </a:prstGeom>
                  </pic:spPr>
                </pic:pic>
              </a:graphicData>
            </a:graphic>
          </wp:inline>
        </w:drawing>
      </w:r>
    </w:p>
    <w:p w14:paraId="00000047">
      <w:pPr>
        <w:pStyle w:val="Normal"/>
        <w:ind w:firstLine="723"/>
        <w:jc w:val="both"/>
        <w:rPr>
          <w:rFonts w:ascii="Times New Roman" w:cs="Times New Roman" w:hAnsi="Times New Roman"/>
          <w:sz w:val="28"/>
          <w:szCs w:val="28"/>
        </w:rPr>
      </w:pPr>
    </w:p>
    <w:p w14:paraId="00000048">
      <w:pPr>
        <w:pStyle w:val="Normal"/>
        <w:ind w:firstLine="723"/>
        <w:jc w:val="both"/>
        <w:rPr>
          <w:rFonts w:ascii="Times New Roman" w:cs="Times New Roman" w:hAnsi="Times New Roman"/>
          <w:sz w:val="28"/>
          <w:szCs w:val="28"/>
        </w:rPr>
      </w:pPr>
    </w:p>
    <w:p w14:paraId="00000049">
      <w:pPr>
        <w:pStyle w:val="Normal"/>
        <w:ind w:firstLine="723"/>
        <w:jc w:val="both"/>
        <w:rPr>
          <w:rFonts w:ascii="Times New Roman" w:cs="Times New Roman" w:hAnsi="Times New Roman"/>
          <w:sz w:val="28"/>
          <w:szCs w:val="28"/>
        </w:rPr>
      </w:pPr>
      <w:r>
        <w:rPr>
          <w:rFonts w:ascii="Times New Roman" w:cs="Times New Roman" w:hAnsi="Times New Roman"/>
          <w:sz w:val="28"/>
          <w:szCs w:val="28"/>
        </w:rPr>
        <w:drawing xmlns:mc="http://schemas.openxmlformats.org/markup-compatibility/2006">
          <wp:inline distT="0" distB="0" distL="0" distR="0">
            <wp:extent cx="5175885" cy="3476625"/>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Grp="0" noSelect="0" noChangeAspect="1" noMove="0"/>
                    </pic:cNvPicPr>
                  </pic:nvPicPr>
                  <pic:blipFill>
                    <a:blip r:embed="rId21"/>
                    <a:srcRect/>
                    <a:stretch>
                      <a:fillRect/>
                    </a:stretch>
                  </pic:blipFill>
                  <pic:spPr>
                    <a:xfrm>
                      <a:off x="0" y="0"/>
                      <a:ext cx="5176726" cy="3476911"/>
                    </a:xfrm>
                    <a:prstGeom prst="rect">
                      <a:avLst/>
                    </a:prstGeom>
                  </pic:spPr>
                </pic:pic>
              </a:graphicData>
            </a:graphic>
          </wp:inline>
        </w:drawing>
      </w:r>
    </w:p>
    <w:p w14:paraId="0000004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Функциональное назначение объекта капитального строительства - сбор и транспорт продукции скважин с проектируемого куста скважин №20</w:t>
      </w:r>
      <w:r>
        <w:rPr>
          <w:rFonts w:ascii="Times New Roman" w:cs="Times New Roman" w:hAnsi="Times New Roman"/>
          <w:sz w:val="28"/>
          <w:szCs w:val="28"/>
          <w:lang w:eastAsia="en-US"/>
        </w:rPr>
        <w:t xml:space="preserve">59У по герметизированной </w:t>
      </w:r>
      <w:r>
        <w:rPr>
          <w:rFonts w:ascii="Times New Roman" w:cs="Times New Roman" w:hAnsi="Times New Roman"/>
          <w:sz w:val="28"/>
          <w:szCs w:val="28"/>
          <w:lang w:eastAsia="en-US"/>
        </w:rPr>
        <w:t>однотрубной системе до подключения к существующей</w:t>
      </w:r>
      <w:r>
        <w:rPr>
          <w:rFonts w:ascii="Times New Roman" w:cs="Times New Roman" w:hAnsi="Times New Roman"/>
          <w:sz w:val="28"/>
          <w:szCs w:val="28"/>
          <w:lang w:eastAsia="en-US"/>
        </w:rPr>
        <w:t xml:space="preserve"> системе нефтегазосборных сетей </w:t>
      </w:r>
      <w:r>
        <w:rPr>
          <w:rFonts w:ascii="Times New Roman" w:cs="Times New Roman" w:hAnsi="Times New Roman"/>
          <w:sz w:val="28"/>
          <w:szCs w:val="28"/>
          <w:lang w:eastAsia="en-US"/>
        </w:rPr>
        <w:t>через проектируемый узел задвижек №2.</w:t>
      </w:r>
    </w:p>
    <w:p w14:paraId="0000004B">
      <w:pPr>
        <w:pStyle w:val="Normal"/>
        <w:ind w:firstLine="723"/>
        <w:jc w:val="both"/>
        <w:rPr>
          <w:rFonts w:ascii="Times New Roman" w:cs="Times New Roman" w:hAnsi="Times New Roman"/>
          <w:sz w:val="28"/>
          <w:szCs w:val="28"/>
        </w:rPr>
      </w:pPr>
    </w:p>
    <w:p w14:paraId="0000004C">
      <w:pPr>
        <w:pStyle w:val="Normal"/>
        <w:ind w:firstLine="723"/>
        <w:jc w:val="both"/>
        <w:rPr>
          <w:rFonts w:ascii="Times New Roman" w:cs="Times New Roman" w:hAnsi="Times New Roman"/>
          <w:sz w:val="28"/>
          <w:szCs w:val="28"/>
        </w:rPr>
      </w:pPr>
    </w:p>
    <w:p w14:paraId="0000004D">
      <w:pPr>
        <w:pStyle w:val="Normal"/>
        <w:ind w:firstLine="723"/>
        <w:jc w:val="both"/>
        <w:rPr>
          <w:rFonts w:ascii="Times New Roman" w:cs="Times New Roman" w:hAnsi="Times New Roman"/>
          <w:sz w:val="28"/>
          <w:szCs w:val="28"/>
        </w:rPr>
      </w:pPr>
    </w:p>
    <w:p w14:paraId="0000004E">
      <w:pPr>
        <w:pStyle w:val="Normal"/>
        <w:ind w:firstLine="723"/>
        <w:jc w:val="both"/>
        <w:rPr>
          <w:rFonts w:ascii="Times New Roman" w:cs="Times New Roman" w:hAnsi="Times New Roman"/>
          <w:sz w:val="28"/>
          <w:szCs w:val="28"/>
        </w:rPr>
      </w:pPr>
      <w:r>
        <w:rPr>
          <w:rFonts w:ascii="Times New Roman" w:cs="Times New Roman" w:hAnsi="Times New Roman"/>
          <w:sz w:val="28"/>
          <w:szCs w:val="28"/>
        </w:rPr>
        <w:t>2.2</w:t>
        <w:tab/>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14:paraId="0000004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В административном отношении район работ</w:t>
      </w:r>
      <w:r>
        <w:rPr>
          <w:rFonts w:ascii="Times New Roman" w:cs="Times New Roman" w:hAnsi="Times New Roman"/>
          <w:sz w:val="28"/>
          <w:szCs w:val="28"/>
          <w:lang w:eastAsia="en-US"/>
        </w:rPr>
        <w:t xml:space="preserve"> находится в Ханты – Мансийском </w:t>
      </w:r>
      <w:r>
        <w:rPr>
          <w:rFonts w:ascii="Times New Roman" w:cs="Times New Roman" w:hAnsi="Times New Roman"/>
          <w:sz w:val="28"/>
          <w:szCs w:val="28"/>
          <w:lang w:eastAsia="en-US"/>
        </w:rPr>
        <w:t>автономном округе, Ханты-Мансийском районе, на Приобском месторождении.</w:t>
      </w:r>
    </w:p>
    <w:p w14:paraId="0000005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В хозяйственном отношении объект расположен </w:t>
      </w:r>
      <w:r>
        <w:rPr>
          <w:rFonts w:ascii="Times New Roman" w:cs="Times New Roman" w:hAnsi="Times New Roman"/>
          <w:sz w:val="28"/>
          <w:szCs w:val="28"/>
          <w:lang w:eastAsia="en-US"/>
        </w:rPr>
        <w:t xml:space="preserve">на землях сельскохозяйственного </w:t>
      </w:r>
      <w:r>
        <w:rPr>
          <w:rFonts w:ascii="Times New Roman" w:cs="Times New Roman" w:hAnsi="Times New Roman"/>
          <w:sz w:val="28"/>
          <w:szCs w:val="28"/>
          <w:lang w:eastAsia="en-US"/>
        </w:rPr>
        <w:t>назначения в границах МО Селиярово и на землях промышленности в границах МО Селиярово.</w:t>
      </w:r>
    </w:p>
    <w:p w14:paraId="0000005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Дорожная сеть представлена федеральными а</w:t>
      </w:r>
      <w:r>
        <w:rPr>
          <w:rFonts w:ascii="Times New Roman" w:cs="Times New Roman" w:hAnsi="Times New Roman"/>
          <w:sz w:val="28"/>
          <w:szCs w:val="28"/>
          <w:lang w:eastAsia="en-US"/>
        </w:rPr>
        <w:t xml:space="preserve">втодорогами, внутрипромысловыми </w:t>
      </w:r>
      <w:r>
        <w:rPr>
          <w:rFonts w:ascii="Times New Roman" w:cs="Times New Roman" w:hAnsi="Times New Roman"/>
          <w:sz w:val="28"/>
          <w:szCs w:val="28"/>
          <w:lang w:eastAsia="en-US"/>
        </w:rPr>
        <w:t>автодорогами, эксплуатируемыми круглогодично, авто</w:t>
      </w:r>
      <w:r>
        <w:rPr>
          <w:rFonts w:ascii="Times New Roman" w:cs="Times New Roman" w:hAnsi="Times New Roman"/>
          <w:sz w:val="28"/>
          <w:szCs w:val="28"/>
          <w:lang w:eastAsia="en-US"/>
        </w:rPr>
        <w:t xml:space="preserve">зимниками и развивается по мере </w:t>
      </w:r>
      <w:r>
        <w:rPr>
          <w:rFonts w:ascii="Times New Roman" w:cs="Times New Roman" w:hAnsi="Times New Roman"/>
          <w:sz w:val="28"/>
          <w:szCs w:val="28"/>
          <w:lang w:eastAsia="en-US"/>
        </w:rPr>
        <w:t>обустройства месторождения.</w:t>
      </w:r>
    </w:p>
    <w:p w14:paraId="0000005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Расстояние до проектируемых объектов от административного центра г. Нефтеюганск, где расположена база изысканий, около 200 км на северо-запад.</w:t>
      </w:r>
    </w:p>
    <w:p w14:paraId="0000005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Ближайшим населенным пунктом к проектируемым </w:t>
      </w:r>
      <w:r>
        <w:rPr>
          <w:rFonts w:ascii="Times New Roman" w:cs="Times New Roman" w:hAnsi="Times New Roman"/>
          <w:sz w:val="28"/>
          <w:szCs w:val="28"/>
          <w:lang w:eastAsia="en-US"/>
        </w:rPr>
        <w:t xml:space="preserve">объектам является с. Селиярово, </w:t>
      </w:r>
      <w:r>
        <w:rPr>
          <w:rFonts w:ascii="Times New Roman" w:cs="Times New Roman" w:hAnsi="Times New Roman"/>
          <w:sz w:val="28"/>
          <w:szCs w:val="28"/>
          <w:lang w:eastAsia="en-US"/>
        </w:rPr>
        <w:t>расположенное в 1 км южнее участка изысканий.</w:t>
      </w:r>
    </w:p>
    <w:p w14:paraId="0000005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Проезд к району изысканий осуществляется от съе</w:t>
      </w:r>
      <w:r>
        <w:rPr>
          <w:rFonts w:ascii="Times New Roman" w:cs="Times New Roman" w:hAnsi="Times New Roman"/>
          <w:sz w:val="28"/>
          <w:szCs w:val="28"/>
          <w:lang w:eastAsia="en-US"/>
        </w:rPr>
        <w:t>зда с федеральной автодороги Р-</w:t>
      </w:r>
      <w:r>
        <w:rPr>
          <w:rFonts w:ascii="Times New Roman" w:cs="Times New Roman" w:hAnsi="Times New Roman"/>
          <w:sz w:val="28"/>
          <w:szCs w:val="28"/>
          <w:lang w:eastAsia="en-US"/>
        </w:rPr>
        <w:t xml:space="preserve">404 «Тюмень - Тобольск - Ханты-Мансийск» (885км), съезд </w:t>
      </w:r>
      <w:r>
        <w:rPr>
          <w:rFonts w:ascii="Times New Roman" w:cs="Times New Roman" w:hAnsi="Times New Roman"/>
          <w:sz w:val="28"/>
          <w:szCs w:val="28"/>
          <w:lang w:eastAsia="en-US"/>
        </w:rPr>
        <w:t xml:space="preserve">с которой расположен в 42 км на </w:t>
      </w:r>
      <w:r>
        <w:rPr>
          <w:rFonts w:ascii="Times New Roman" w:cs="Times New Roman" w:hAnsi="Times New Roman"/>
          <w:sz w:val="28"/>
          <w:szCs w:val="28"/>
          <w:lang w:eastAsia="en-US"/>
        </w:rPr>
        <w:t>юг от участка изысканий.</w:t>
      </w:r>
    </w:p>
    <w:p w14:paraId="0000005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Расстояние измерено по внутрипромысловым дорогам, дорогам общего пользования.</w:t>
      </w:r>
    </w:p>
    <w:p w14:paraId="0000005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Участки проектируемого строительства нах</w:t>
      </w:r>
      <w:r>
        <w:rPr>
          <w:rFonts w:ascii="Times New Roman" w:cs="Times New Roman" w:hAnsi="Times New Roman"/>
          <w:sz w:val="28"/>
          <w:szCs w:val="28"/>
          <w:lang w:eastAsia="en-US"/>
        </w:rPr>
        <w:t xml:space="preserve">одятся на территории Приобского </w:t>
      </w:r>
      <w:r>
        <w:rPr>
          <w:rFonts w:ascii="Times New Roman" w:cs="Times New Roman" w:hAnsi="Times New Roman"/>
          <w:sz w:val="28"/>
          <w:szCs w:val="28"/>
          <w:lang w:eastAsia="en-US"/>
        </w:rPr>
        <w:t>месторождения нефти, которое расположено в цент</w:t>
      </w:r>
      <w:r>
        <w:rPr>
          <w:rFonts w:ascii="Times New Roman" w:cs="Times New Roman" w:hAnsi="Times New Roman"/>
          <w:sz w:val="28"/>
          <w:szCs w:val="28"/>
          <w:lang w:eastAsia="en-US"/>
        </w:rPr>
        <w:t xml:space="preserve">ральной части Западно-Сибирской </w:t>
      </w:r>
      <w:r>
        <w:rPr>
          <w:rFonts w:ascii="Times New Roman" w:cs="Times New Roman" w:hAnsi="Times New Roman"/>
          <w:sz w:val="28"/>
          <w:szCs w:val="28"/>
          <w:lang w:eastAsia="en-US"/>
        </w:rPr>
        <w:t>равнины.</w:t>
      </w:r>
    </w:p>
    <w:p w14:paraId="0000005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На реке Обь возможны наводнения, активное проявление русловых процессов, заторы и зажоры, ледоход, ледостав, шугоход, карчеход.</w:t>
      </w:r>
    </w:p>
    <w:p w14:paraId="0000005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Согласно, Приложению «Б, В» СП 11-103-97, других опасных гидрометеорологических процессов и явлений при проектировании на рассматриваемой территории не наблюдается.</w:t>
      </w:r>
    </w:p>
    <w:p w14:paraId="0000005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В геоморфологическом отношении участок р</w:t>
      </w:r>
      <w:r>
        <w:rPr>
          <w:rFonts w:ascii="Times New Roman" w:cs="Times New Roman" w:hAnsi="Times New Roman"/>
          <w:sz w:val="28"/>
          <w:szCs w:val="28"/>
          <w:lang w:eastAsia="en-US"/>
        </w:rPr>
        <w:t xml:space="preserve">абот приурочен к пойме и первой </w:t>
      </w:r>
      <w:r>
        <w:rPr>
          <w:rFonts w:ascii="Times New Roman" w:cs="Times New Roman" w:hAnsi="Times New Roman"/>
          <w:sz w:val="28"/>
          <w:szCs w:val="28"/>
          <w:lang w:eastAsia="en-US"/>
        </w:rPr>
        <w:t>надпойменной террасе р.Обь, осложненными многочисленными протоками. Рель</w:t>
      </w:r>
      <w:r>
        <w:rPr>
          <w:rFonts w:ascii="Times New Roman" w:cs="Times New Roman" w:hAnsi="Times New Roman"/>
          <w:sz w:val="28"/>
          <w:szCs w:val="28"/>
          <w:lang w:eastAsia="en-US"/>
        </w:rPr>
        <w:t xml:space="preserve">еф </w:t>
      </w:r>
      <w:r>
        <w:rPr>
          <w:rFonts w:ascii="Times New Roman" w:cs="Times New Roman" w:hAnsi="Times New Roman"/>
          <w:sz w:val="28"/>
          <w:szCs w:val="28"/>
          <w:lang w:eastAsia="en-US"/>
        </w:rPr>
        <w:t>слаборасчлененный, абсолютные отметки изменяются (сп</w:t>
      </w:r>
      <w:r>
        <w:rPr>
          <w:rFonts w:ascii="Times New Roman" w:cs="Times New Roman" w:hAnsi="Times New Roman"/>
          <w:sz w:val="28"/>
          <w:szCs w:val="28"/>
          <w:lang w:eastAsia="en-US"/>
        </w:rPr>
        <w:t xml:space="preserve">ланирован насыпными грунтами до </w:t>
      </w:r>
      <w:r>
        <w:rPr>
          <w:rFonts w:ascii="Times New Roman" w:cs="Times New Roman" w:hAnsi="Times New Roman"/>
          <w:sz w:val="28"/>
          <w:szCs w:val="28"/>
          <w:lang w:eastAsia="en-US"/>
        </w:rPr>
        <w:t>абсолютных отметок):</w:t>
      </w:r>
    </w:p>
    <w:p w14:paraId="0000005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ВЛ 6 кВ на кустовую площадку № 2059У (1 линия) от 25,74 до 27,18 м БС;</w:t>
      </w:r>
    </w:p>
    <w:p w14:paraId="0000005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ВЛ 6 кВ на кустовую площадку № 2059У (2 линия) от 25,6 до 27,19 м БС;</w:t>
      </w:r>
    </w:p>
    <w:p w14:paraId="0000005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Нефтегазосборные сети куст № 2059У – уз. 511 от 25,94 до 29,88 м БС.</w:t>
      </w:r>
    </w:p>
    <w:p w14:paraId="0000005D">
      <w:pPr>
        <w:pStyle w:val="Normal"/>
        <w:ind w:firstLine="723"/>
        <w:jc w:val="both"/>
        <w:rPr>
          <w:rFonts w:ascii="Times New Roman" w:cs="Times New Roman" w:hAnsi="Times New Roman"/>
          <w:sz w:val="28"/>
          <w:szCs w:val="28"/>
        </w:rPr>
      </w:pPr>
    </w:p>
    <w:p w14:paraId="0000005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2.3 Перечень координат характерных точек границ зон планируемого размещения линейного объекта</w:t>
      </w:r>
    </w:p>
    <w:p w14:paraId="0000005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Координаты границ земельных участков, необходимых для размещения проектируемого объекта, в графических материалах определены в местной системе координат Ханты-Мансийского автономного округа  Югры МСК-86.</w:t>
      </w:r>
    </w:p>
    <w:p w14:paraId="00000060">
      <w:pPr>
        <w:pStyle w:val="Normal"/>
        <w:ind w:firstLine="723"/>
        <w:jc w:val="both"/>
        <w:rPr>
          <w:rFonts w:ascii="Times New Roman" w:cs="Times New Roman" w:hAnsi="Times New Roman"/>
          <w:sz w:val="28"/>
          <w:szCs w:val="28"/>
          <w:lang w:val="en-US" w:eastAsia="en-US"/>
        </w:rPr>
      </w:pPr>
    </w:p>
    <w:p w14:paraId="0000006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Перечень координат характерных точек границ зоны </w:t>
      </w:r>
    </w:p>
    <w:p w14:paraId="0000006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планируемого размещения</w:t>
      </w:r>
    </w:p>
    <w:tbl>
      <w:tblPr>
        <w:tblW w:w="0" w:type="auto"/>
        <w:tblInd w:w="18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813"/>
        <w:gridCol w:w="3069"/>
        <w:gridCol w:w="2370"/>
      </w:tblGrid>
      <w:tr>
        <w:trPr>
          <w:wAfter w:w="0" w:type="dxa"/>
          <w:trHeight w:val="300" w:hRule="atLeast"/>
        </w:trPr>
        <w:tc>
          <w:tcPr>
            <w:cnfStyle w:val="101000000000"/>
            <w:tcW w:w="1843" w:type="dxa"/>
            <w:noWrap w:val="on"/>
            <w:shd w:val="clear" w:color="auto" w:fill="auto"/>
          </w:tcPr>
          <w:p w14:paraId="0000006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Точка</w:t>
            </w:r>
          </w:p>
        </w:tc>
        <w:tc>
          <w:tcPr>
            <w:cnfStyle w:val="100000000000"/>
            <w:tcW w:w="3119" w:type="dxa"/>
            <w:noWrap w:val="on"/>
            <w:shd w:val="clear" w:color="auto" w:fill="auto"/>
          </w:tcPr>
          <w:p w14:paraId="0000006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X</w:t>
            </w:r>
          </w:p>
        </w:tc>
        <w:tc>
          <w:tcPr>
            <w:cnfStyle w:val="100000000000"/>
            <w:tcW w:w="2409" w:type="dxa"/>
            <w:noWrap w:val="on"/>
            <w:shd w:val="clear" w:color="auto" w:fill="auto"/>
          </w:tcPr>
          <w:p w14:paraId="0000006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Y</w:t>
            </w:r>
          </w:p>
        </w:tc>
      </w:tr>
      <w:tr>
        <w:trPr>
          <w:wAfter w:w="0" w:type="dxa"/>
          <w:trHeight w:val="300" w:hRule="atLeast"/>
        </w:trPr>
        <w:tc>
          <w:tcPr>
            <w:cnfStyle w:val="001000100000"/>
            <w:tcW w:w="1843" w:type="dxa"/>
            <w:noWrap w:val="on"/>
            <w:shd w:val="clear" w:color="auto" w:fill="auto"/>
          </w:tcPr>
          <w:p w14:paraId="0000006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w:t>
            </w:r>
          </w:p>
        </w:tc>
        <w:tc>
          <w:tcPr>
            <w:cnfStyle w:val="000000100000"/>
            <w:tcW w:w="3119" w:type="dxa"/>
            <w:noWrap w:val="on"/>
            <w:shd w:val="clear" w:color="auto" w:fill="auto"/>
          </w:tcPr>
          <w:p w14:paraId="0000006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995961.12</w:t>
            </w:r>
          </w:p>
        </w:tc>
        <w:tc>
          <w:tcPr>
            <w:cnfStyle w:val="000000100000"/>
            <w:tcW w:w="2409" w:type="dxa"/>
            <w:noWrap w:val="on"/>
            <w:shd w:val="clear" w:color="auto" w:fill="auto"/>
          </w:tcPr>
          <w:p w14:paraId="0000006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2732098.81</w:t>
            </w:r>
          </w:p>
        </w:tc>
      </w:tr>
      <w:tr>
        <w:trPr>
          <w:wAfter w:w="0" w:type="dxa"/>
          <w:trHeight w:val="300" w:hRule="atLeast"/>
        </w:trPr>
        <w:tc>
          <w:tcPr>
            <w:cnfStyle w:val="001000010000"/>
            <w:tcW w:w="1843" w:type="dxa"/>
            <w:noWrap w:val="on"/>
            <w:shd w:val="clear" w:color="auto" w:fill="auto"/>
          </w:tcPr>
          <w:p w14:paraId="0000006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w:t>
            </w:r>
          </w:p>
        </w:tc>
        <w:tc>
          <w:tcPr>
            <w:cnfStyle w:val="000000010000"/>
            <w:tcW w:w="3119" w:type="dxa"/>
            <w:noWrap w:val="on"/>
            <w:shd w:val="clear" w:color="auto" w:fill="auto"/>
          </w:tcPr>
          <w:p w14:paraId="0000006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995956.38</w:t>
            </w:r>
          </w:p>
        </w:tc>
        <w:tc>
          <w:tcPr>
            <w:cnfStyle w:val="000000010000"/>
            <w:tcW w:w="2409" w:type="dxa"/>
            <w:noWrap w:val="on"/>
            <w:shd w:val="clear" w:color="auto" w:fill="auto"/>
          </w:tcPr>
          <w:p w14:paraId="0000006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2732095.13</w:t>
            </w:r>
          </w:p>
        </w:tc>
      </w:tr>
      <w:tr>
        <w:trPr>
          <w:wAfter w:w="0" w:type="dxa"/>
          <w:trHeight w:val="300" w:hRule="atLeast"/>
        </w:trPr>
        <w:tc>
          <w:tcPr>
            <w:cnfStyle w:val="001000100000"/>
            <w:tcW w:w="1843" w:type="dxa"/>
            <w:noWrap w:val="on"/>
            <w:shd w:val="clear" w:color="auto" w:fill="auto"/>
          </w:tcPr>
          <w:p w14:paraId="0000006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w:t>
            </w:r>
          </w:p>
        </w:tc>
        <w:tc>
          <w:tcPr>
            <w:cnfStyle w:val="000000100000"/>
            <w:tcW w:w="3119" w:type="dxa"/>
            <w:noWrap w:val="on"/>
            <w:shd w:val="clear" w:color="auto" w:fill="auto"/>
          </w:tcPr>
          <w:p w14:paraId="0000006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995961.38</w:t>
            </w:r>
          </w:p>
        </w:tc>
        <w:tc>
          <w:tcPr>
            <w:cnfStyle w:val="000000100000"/>
            <w:tcW w:w="2409" w:type="dxa"/>
            <w:noWrap w:val="on"/>
            <w:shd w:val="clear" w:color="auto" w:fill="auto"/>
          </w:tcPr>
          <w:p w14:paraId="0000006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2732088.68</w:t>
            </w:r>
          </w:p>
        </w:tc>
      </w:tr>
      <w:tr>
        <w:trPr>
          <w:wAfter w:w="0" w:type="dxa"/>
          <w:trHeight w:val="300" w:hRule="atLeast"/>
        </w:trPr>
        <w:tc>
          <w:tcPr>
            <w:cnfStyle w:val="001000010000"/>
            <w:tcW w:w="1843" w:type="dxa"/>
            <w:noWrap w:val="on"/>
            <w:shd w:val="clear" w:color="auto" w:fill="auto"/>
          </w:tcPr>
          <w:p w14:paraId="0000006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w:t>
            </w:r>
          </w:p>
        </w:tc>
        <w:tc>
          <w:tcPr>
            <w:cnfStyle w:val="000000010000"/>
            <w:tcW w:w="3119" w:type="dxa"/>
            <w:noWrap w:val="on"/>
            <w:shd w:val="clear" w:color="auto" w:fill="auto"/>
          </w:tcPr>
          <w:p w14:paraId="0000007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995992.70</w:t>
            </w:r>
          </w:p>
        </w:tc>
        <w:tc>
          <w:tcPr>
            <w:cnfStyle w:val="000000010000"/>
            <w:tcW w:w="2409" w:type="dxa"/>
            <w:noWrap w:val="on"/>
            <w:shd w:val="clear" w:color="auto" w:fill="auto"/>
          </w:tcPr>
          <w:p w14:paraId="0000007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2732086.16</w:t>
            </w:r>
          </w:p>
        </w:tc>
      </w:tr>
      <w:tr>
        <w:trPr>
          <w:wAfter w:w="0" w:type="dxa"/>
          <w:trHeight w:val="300" w:hRule="atLeast"/>
        </w:trPr>
        <w:tc>
          <w:tcPr>
            <w:cnfStyle w:val="001000100000"/>
            <w:tcW w:w="1843" w:type="dxa"/>
            <w:noWrap w:val="on"/>
            <w:shd w:val="clear" w:color="auto" w:fill="auto"/>
          </w:tcPr>
          <w:p w14:paraId="0000007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w:t>
            </w:r>
          </w:p>
        </w:tc>
        <w:tc>
          <w:tcPr>
            <w:cnfStyle w:val="000000100000"/>
            <w:tcW w:w="3119" w:type="dxa"/>
            <w:noWrap w:val="on"/>
            <w:shd w:val="clear" w:color="auto" w:fill="auto"/>
          </w:tcPr>
          <w:p w14:paraId="0000007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996021.38</w:t>
            </w:r>
          </w:p>
        </w:tc>
        <w:tc>
          <w:tcPr>
            <w:cnfStyle w:val="000000100000"/>
            <w:tcW w:w="2409" w:type="dxa"/>
            <w:noWrap w:val="on"/>
            <w:shd w:val="clear" w:color="auto" w:fill="auto"/>
          </w:tcPr>
          <w:p w14:paraId="0000007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2732083.67</w:t>
            </w:r>
          </w:p>
        </w:tc>
      </w:tr>
      <w:tr>
        <w:trPr>
          <w:wAfter w:w="0" w:type="dxa"/>
          <w:trHeight w:val="300" w:hRule="atLeast"/>
        </w:trPr>
        <w:tc>
          <w:tcPr>
            <w:cnfStyle w:val="001000010000"/>
            <w:tcW w:w="1843" w:type="dxa"/>
            <w:noWrap w:val="on"/>
            <w:shd w:val="clear" w:color="auto" w:fill="auto"/>
          </w:tcPr>
          <w:p w14:paraId="0000007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w:t>
            </w:r>
          </w:p>
        </w:tc>
        <w:tc>
          <w:tcPr>
            <w:cnfStyle w:val="000000010000"/>
            <w:tcW w:w="3119" w:type="dxa"/>
            <w:noWrap w:val="on"/>
            <w:shd w:val="clear" w:color="auto" w:fill="auto"/>
          </w:tcPr>
          <w:p w14:paraId="0000007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996028.74</w:t>
            </w:r>
          </w:p>
        </w:tc>
        <w:tc>
          <w:tcPr>
            <w:cnfStyle w:val="000000010000"/>
            <w:tcW w:w="2409" w:type="dxa"/>
            <w:noWrap w:val="on"/>
            <w:shd w:val="clear" w:color="auto" w:fill="auto"/>
          </w:tcPr>
          <w:p w14:paraId="0000007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2732050.16</w:t>
            </w:r>
          </w:p>
        </w:tc>
      </w:tr>
      <w:tr>
        <w:trPr>
          <w:wAfter w:w="0" w:type="dxa"/>
          <w:trHeight w:val="300" w:hRule="atLeast"/>
        </w:trPr>
        <w:tc>
          <w:tcPr>
            <w:cnfStyle w:val="001000100000"/>
            <w:tcW w:w="1843" w:type="dxa"/>
            <w:noWrap w:val="on"/>
            <w:shd w:val="clear" w:color="auto" w:fill="auto"/>
          </w:tcPr>
          <w:p w14:paraId="0000007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w:t>
            </w:r>
          </w:p>
        </w:tc>
        <w:tc>
          <w:tcPr>
            <w:cnfStyle w:val="000000100000"/>
            <w:tcW w:w="3119" w:type="dxa"/>
            <w:noWrap w:val="on"/>
            <w:shd w:val="clear" w:color="auto" w:fill="auto"/>
          </w:tcPr>
          <w:p w14:paraId="0000007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996031.34</w:t>
            </w:r>
          </w:p>
        </w:tc>
        <w:tc>
          <w:tcPr>
            <w:cnfStyle w:val="000000100000"/>
            <w:tcW w:w="2409" w:type="dxa"/>
            <w:noWrap w:val="on"/>
            <w:shd w:val="clear" w:color="auto" w:fill="auto"/>
          </w:tcPr>
          <w:p w14:paraId="0000007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2732038.40</w:t>
            </w:r>
          </w:p>
        </w:tc>
      </w:tr>
      <w:tr>
        <w:trPr>
          <w:wAfter w:w="0" w:type="dxa"/>
          <w:trHeight w:val="300" w:hRule="atLeast"/>
        </w:trPr>
        <w:tc>
          <w:tcPr>
            <w:cnfStyle w:val="001000010000"/>
            <w:tcW w:w="1843" w:type="dxa"/>
            <w:noWrap w:val="on"/>
            <w:shd w:val="clear" w:color="auto" w:fill="auto"/>
          </w:tcPr>
          <w:p w14:paraId="0000007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w:t>
            </w:r>
          </w:p>
        </w:tc>
        <w:tc>
          <w:tcPr>
            <w:cnfStyle w:val="000000010000"/>
            <w:tcW w:w="3119" w:type="dxa"/>
            <w:noWrap w:val="on"/>
            <w:shd w:val="clear" w:color="auto" w:fill="auto"/>
          </w:tcPr>
          <w:p w14:paraId="0000007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996019.57</w:t>
            </w:r>
          </w:p>
        </w:tc>
        <w:tc>
          <w:tcPr>
            <w:cnfStyle w:val="000000010000"/>
            <w:tcW w:w="2409" w:type="dxa"/>
            <w:noWrap w:val="on"/>
            <w:shd w:val="clear" w:color="auto" w:fill="auto"/>
          </w:tcPr>
          <w:p w14:paraId="0000007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2732016.33</w:t>
            </w:r>
          </w:p>
        </w:tc>
      </w:tr>
      <w:tr>
        <w:trPr>
          <w:wAfter w:w="0" w:type="dxa"/>
          <w:trHeight w:val="300" w:hRule="atLeast"/>
        </w:trPr>
        <w:tc>
          <w:tcPr>
            <w:cnfStyle w:val="001000100000"/>
            <w:tcW w:w="1843" w:type="dxa"/>
            <w:noWrap w:val="on"/>
            <w:shd w:val="clear" w:color="auto" w:fill="auto"/>
          </w:tcPr>
          <w:p w14:paraId="0000007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w:t>
            </w:r>
          </w:p>
        </w:tc>
        <w:tc>
          <w:tcPr>
            <w:cnfStyle w:val="000000100000"/>
            <w:tcW w:w="3119" w:type="dxa"/>
            <w:noWrap w:val="on"/>
            <w:shd w:val="clear" w:color="auto" w:fill="auto"/>
          </w:tcPr>
          <w:p w14:paraId="0000007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995952.36</w:t>
            </w:r>
          </w:p>
        </w:tc>
        <w:tc>
          <w:tcPr>
            <w:cnfStyle w:val="000000100000"/>
            <w:tcW w:w="2409" w:type="dxa"/>
            <w:noWrap w:val="on"/>
            <w:shd w:val="clear" w:color="auto" w:fill="auto"/>
          </w:tcPr>
          <w:p w14:paraId="0000008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2731890.29</w:t>
            </w:r>
          </w:p>
        </w:tc>
      </w:tr>
      <w:tr>
        <w:trPr>
          <w:wAfter w:w="0" w:type="dxa"/>
          <w:trHeight w:val="300" w:hRule="atLeast"/>
        </w:trPr>
        <w:tc>
          <w:tcPr>
            <w:cnfStyle w:val="001000010000"/>
            <w:tcW w:w="1843" w:type="dxa"/>
            <w:noWrap w:val="on"/>
            <w:shd w:val="clear" w:color="auto" w:fill="auto"/>
          </w:tcPr>
          <w:p w14:paraId="0000008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w:t>
            </w:r>
          </w:p>
        </w:tc>
        <w:tc>
          <w:tcPr>
            <w:cnfStyle w:val="000000010000"/>
            <w:tcW w:w="3119" w:type="dxa"/>
            <w:noWrap w:val="on"/>
            <w:shd w:val="clear" w:color="auto" w:fill="auto"/>
          </w:tcPr>
          <w:p w14:paraId="0000008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995942.95</w:t>
            </w:r>
          </w:p>
        </w:tc>
        <w:tc>
          <w:tcPr>
            <w:cnfStyle w:val="000000010000"/>
            <w:tcW w:w="2409" w:type="dxa"/>
            <w:noWrap w:val="on"/>
            <w:shd w:val="clear" w:color="auto" w:fill="auto"/>
          </w:tcPr>
          <w:p w14:paraId="0000008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2731872.65</w:t>
            </w:r>
          </w:p>
        </w:tc>
      </w:tr>
      <w:tr>
        <w:trPr>
          <w:wAfter w:w="0" w:type="dxa"/>
          <w:trHeight w:val="300" w:hRule="atLeast"/>
        </w:trPr>
        <w:tc>
          <w:tcPr>
            <w:cnfStyle w:val="001000100000"/>
            <w:tcW w:w="1843" w:type="dxa"/>
            <w:noWrap w:val="on"/>
            <w:shd w:val="clear" w:color="auto" w:fill="auto"/>
          </w:tcPr>
          <w:p w14:paraId="0000008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w:t>
            </w:r>
          </w:p>
        </w:tc>
        <w:tc>
          <w:tcPr>
            <w:cnfStyle w:val="000000100000"/>
            <w:tcW w:w="3119" w:type="dxa"/>
            <w:noWrap w:val="on"/>
            <w:shd w:val="clear" w:color="auto" w:fill="auto"/>
          </w:tcPr>
          <w:p w14:paraId="0000008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995922.10</w:t>
            </w:r>
          </w:p>
        </w:tc>
        <w:tc>
          <w:tcPr>
            <w:cnfStyle w:val="000000100000"/>
            <w:tcW w:w="2409" w:type="dxa"/>
            <w:noWrap w:val="on"/>
            <w:shd w:val="clear" w:color="auto" w:fill="auto"/>
          </w:tcPr>
          <w:p w14:paraId="0000008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2731833.55</w:t>
            </w:r>
          </w:p>
        </w:tc>
      </w:tr>
      <w:tr>
        <w:trPr>
          <w:wAfter w:w="0" w:type="dxa"/>
          <w:trHeight w:val="300" w:hRule="atLeast"/>
        </w:trPr>
        <w:tc>
          <w:tcPr>
            <w:cnfStyle w:val="001000010000"/>
            <w:tcW w:w="1843" w:type="dxa"/>
            <w:noWrap w:val="on"/>
            <w:shd w:val="clear" w:color="auto" w:fill="auto"/>
          </w:tcPr>
          <w:p w14:paraId="0000008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12</w:t>
            </w:r>
          </w:p>
        </w:tc>
        <w:tc>
          <w:tcPr>
            <w:cnfStyle w:val="000000010000"/>
            <w:tcW w:w="3119" w:type="dxa"/>
            <w:noWrap w:val="on"/>
            <w:shd w:val="clear" w:color="auto" w:fill="auto"/>
          </w:tcPr>
          <w:p w14:paraId="0000008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995892.47</w:t>
            </w:r>
          </w:p>
        </w:tc>
        <w:tc>
          <w:tcPr>
            <w:cnfStyle w:val="000000010000"/>
            <w:tcW w:w="2409" w:type="dxa"/>
            <w:noWrap w:val="on"/>
            <w:shd w:val="clear" w:color="auto" w:fill="auto"/>
          </w:tcPr>
          <w:p w14:paraId="0000008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2731830.63</w:t>
            </w:r>
          </w:p>
        </w:tc>
      </w:tr>
      <w:tr>
        <w:trPr>
          <w:wAfter w:w="0" w:type="dxa"/>
          <w:trHeight w:val="300" w:hRule="atLeast"/>
        </w:trPr>
        <w:tc>
          <w:tcPr>
            <w:cnfStyle w:val="001000100000"/>
            <w:tcW w:w="1843" w:type="dxa"/>
            <w:noWrap w:val="on"/>
            <w:shd w:val="clear" w:color="auto" w:fill="auto"/>
          </w:tcPr>
          <w:p w14:paraId="0000008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13</w:t>
            </w:r>
          </w:p>
        </w:tc>
        <w:tc>
          <w:tcPr>
            <w:cnfStyle w:val="000000100000"/>
            <w:tcW w:w="3119" w:type="dxa"/>
            <w:noWrap w:val="on"/>
            <w:shd w:val="clear" w:color="auto" w:fill="auto"/>
          </w:tcPr>
          <w:p w14:paraId="0000008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995855.81</w:t>
            </w:r>
          </w:p>
        </w:tc>
        <w:tc>
          <w:tcPr>
            <w:cnfStyle w:val="000000100000"/>
            <w:tcW w:w="2409" w:type="dxa"/>
            <w:noWrap w:val="on"/>
            <w:shd w:val="clear" w:color="auto" w:fill="auto"/>
          </w:tcPr>
          <w:p w14:paraId="0000008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2731827.01</w:t>
            </w:r>
          </w:p>
        </w:tc>
      </w:tr>
      <w:tr>
        <w:trPr>
          <w:wAfter w:w="0" w:type="dxa"/>
          <w:trHeight w:val="300" w:hRule="atLeast"/>
        </w:trPr>
        <w:tc>
          <w:tcPr>
            <w:cnfStyle w:val="001000010000"/>
            <w:tcW w:w="1843" w:type="dxa"/>
            <w:noWrap w:val="on"/>
            <w:shd w:val="clear" w:color="auto" w:fill="auto"/>
          </w:tcPr>
          <w:p w14:paraId="0000008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14</w:t>
            </w:r>
          </w:p>
        </w:tc>
        <w:tc>
          <w:tcPr>
            <w:cnfStyle w:val="000000010000"/>
            <w:tcW w:w="3119" w:type="dxa"/>
            <w:noWrap w:val="on"/>
            <w:shd w:val="clear" w:color="auto" w:fill="auto"/>
          </w:tcPr>
          <w:p w14:paraId="0000008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995841.66</w:t>
            </w:r>
          </w:p>
        </w:tc>
        <w:tc>
          <w:tcPr>
            <w:cnfStyle w:val="000000010000"/>
            <w:tcW w:w="2409" w:type="dxa"/>
            <w:noWrap w:val="on"/>
            <w:shd w:val="clear" w:color="auto" w:fill="auto"/>
          </w:tcPr>
          <w:p w14:paraId="0000008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2731825.61</w:t>
            </w:r>
          </w:p>
        </w:tc>
      </w:tr>
      <w:tr>
        <w:trPr>
          <w:wAfter w:w="0" w:type="dxa"/>
          <w:trHeight w:val="300" w:hRule="atLeast"/>
        </w:trPr>
        <w:tc>
          <w:tcPr>
            <w:cnfStyle w:val="001000100000"/>
            <w:tcW w:w="1843" w:type="dxa"/>
            <w:noWrap w:val="on"/>
            <w:shd w:val="clear" w:color="auto" w:fill="auto"/>
          </w:tcPr>
          <w:p w14:paraId="0000009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15</w:t>
            </w:r>
          </w:p>
        </w:tc>
        <w:tc>
          <w:tcPr>
            <w:cnfStyle w:val="000000100000"/>
            <w:tcW w:w="3119" w:type="dxa"/>
            <w:noWrap w:val="on"/>
            <w:shd w:val="clear" w:color="auto" w:fill="auto"/>
          </w:tcPr>
          <w:p w14:paraId="0000009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995841.55</w:t>
            </w:r>
          </w:p>
        </w:tc>
        <w:tc>
          <w:tcPr>
            <w:cnfStyle w:val="000000100000"/>
            <w:tcW w:w="2409" w:type="dxa"/>
            <w:noWrap w:val="on"/>
            <w:shd w:val="clear" w:color="auto" w:fill="auto"/>
          </w:tcPr>
          <w:p w14:paraId="0000009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2731826.61</w:t>
            </w:r>
          </w:p>
        </w:tc>
      </w:tr>
      <w:tr>
        <w:trPr>
          <w:wAfter w:w="0" w:type="dxa"/>
          <w:trHeight w:val="300" w:hRule="atLeast"/>
        </w:trPr>
        <w:tc>
          <w:tcPr>
            <w:cnfStyle w:val="001000010000"/>
            <w:tcW w:w="1843" w:type="dxa"/>
            <w:noWrap w:val="on"/>
            <w:shd w:val="clear" w:color="auto" w:fill="auto"/>
          </w:tcPr>
          <w:p w14:paraId="0000009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16</w:t>
            </w:r>
          </w:p>
        </w:tc>
        <w:tc>
          <w:tcPr>
            <w:cnfStyle w:val="000000010000"/>
            <w:tcW w:w="3119" w:type="dxa"/>
            <w:noWrap w:val="on"/>
            <w:shd w:val="clear" w:color="auto" w:fill="auto"/>
          </w:tcPr>
          <w:p w14:paraId="0000009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995836.41</w:t>
            </w:r>
          </w:p>
        </w:tc>
        <w:tc>
          <w:tcPr>
            <w:cnfStyle w:val="000000010000"/>
            <w:tcW w:w="2409" w:type="dxa"/>
            <w:noWrap w:val="on"/>
            <w:shd w:val="clear" w:color="auto" w:fill="auto"/>
          </w:tcPr>
          <w:p w14:paraId="0000009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2731828.61</w:t>
            </w:r>
          </w:p>
        </w:tc>
      </w:tr>
      <w:tr>
        <w:trPr>
          <w:wAfter w:w="0" w:type="dxa"/>
          <w:trHeight w:val="300" w:hRule="atLeast"/>
        </w:trPr>
        <w:tc>
          <w:tcPr>
            <w:cnfStyle w:val="001000100000"/>
            <w:tcW w:w="1843" w:type="dxa"/>
            <w:noWrap w:val="on"/>
            <w:shd w:val="clear" w:color="auto" w:fill="auto"/>
          </w:tcPr>
          <w:p w14:paraId="0000009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17</w:t>
            </w:r>
          </w:p>
        </w:tc>
        <w:tc>
          <w:tcPr>
            <w:cnfStyle w:val="000000100000"/>
            <w:tcW w:w="3119" w:type="dxa"/>
            <w:noWrap w:val="on"/>
            <w:shd w:val="clear" w:color="auto" w:fill="auto"/>
          </w:tcPr>
          <w:p w14:paraId="0000009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995801.58</w:t>
            </w:r>
          </w:p>
        </w:tc>
        <w:tc>
          <w:tcPr>
            <w:cnfStyle w:val="000000100000"/>
            <w:tcW w:w="2409" w:type="dxa"/>
            <w:noWrap w:val="on"/>
            <w:shd w:val="clear" w:color="auto" w:fill="auto"/>
          </w:tcPr>
          <w:p w14:paraId="0000009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2731825.03</w:t>
            </w:r>
          </w:p>
        </w:tc>
      </w:tr>
      <w:tr>
        <w:trPr>
          <w:wAfter w:w="0" w:type="dxa"/>
          <w:trHeight w:val="300" w:hRule="atLeast"/>
        </w:trPr>
        <w:tc>
          <w:tcPr>
            <w:cnfStyle w:val="001000010000"/>
            <w:tcW w:w="1843" w:type="dxa"/>
            <w:noWrap w:val="on"/>
            <w:shd w:val="clear" w:color="auto" w:fill="auto"/>
          </w:tcPr>
          <w:p w14:paraId="0000009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18</w:t>
            </w:r>
          </w:p>
        </w:tc>
        <w:tc>
          <w:tcPr>
            <w:cnfStyle w:val="000000010000"/>
            <w:tcW w:w="3119" w:type="dxa"/>
            <w:noWrap w:val="on"/>
            <w:shd w:val="clear" w:color="auto" w:fill="auto"/>
          </w:tcPr>
          <w:p w14:paraId="0000009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995783.97</w:t>
            </w:r>
          </w:p>
        </w:tc>
        <w:tc>
          <w:tcPr>
            <w:cnfStyle w:val="000000010000"/>
            <w:tcW w:w="2409" w:type="dxa"/>
            <w:noWrap w:val="on"/>
            <w:shd w:val="clear" w:color="auto" w:fill="auto"/>
          </w:tcPr>
          <w:p w14:paraId="0000009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2731823.22</w:t>
            </w:r>
          </w:p>
        </w:tc>
      </w:tr>
      <w:tr>
        <w:trPr>
          <w:wAfter w:w="0" w:type="dxa"/>
          <w:trHeight w:val="300" w:hRule="atLeast"/>
        </w:trPr>
        <w:tc>
          <w:tcPr>
            <w:cnfStyle w:val="001000100000"/>
            <w:tcW w:w="1843" w:type="dxa"/>
            <w:noWrap w:val="on"/>
            <w:shd w:val="clear" w:color="auto" w:fill="auto"/>
          </w:tcPr>
          <w:p w14:paraId="0000009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19</w:t>
            </w:r>
          </w:p>
        </w:tc>
        <w:tc>
          <w:tcPr>
            <w:cnfStyle w:val="000000100000"/>
            <w:tcW w:w="3119" w:type="dxa"/>
            <w:noWrap w:val="on"/>
            <w:shd w:val="clear" w:color="auto" w:fill="auto"/>
          </w:tcPr>
          <w:p w14:paraId="0000009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995783.89</w:t>
            </w:r>
          </w:p>
        </w:tc>
        <w:tc>
          <w:tcPr>
            <w:cnfStyle w:val="000000100000"/>
            <w:tcW w:w="2409" w:type="dxa"/>
            <w:noWrap w:val="on"/>
            <w:shd w:val="clear" w:color="auto" w:fill="auto"/>
          </w:tcPr>
          <w:p w14:paraId="0000009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2731843.46</w:t>
            </w:r>
          </w:p>
        </w:tc>
      </w:tr>
      <w:tr>
        <w:trPr>
          <w:wAfter w:w="0" w:type="dxa"/>
          <w:trHeight w:val="300" w:hRule="atLeast"/>
        </w:trPr>
        <w:tc>
          <w:tcPr>
            <w:cnfStyle w:val="001000010000"/>
            <w:tcW w:w="1843" w:type="dxa"/>
            <w:noWrap w:val="on"/>
            <w:shd w:val="clear" w:color="auto" w:fill="auto"/>
          </w:tcPr>
          <w:p w14:paraId="0000009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20</w:t>
            </w:r>
          </w:p>
        </w:tc>
        <w:tc>
          <w:tcPr>
            <w:cnfStyle w:val="000000010000"/>
            <w:tcW w:w="3119" w:type="dxa"/>
            <w:noWrap w:val="on"/>
            <w:shd w:val="clear" w:color="auto" w:fill="auto"/>
          </w:tcPr>
          <w:p w14:paraId="000000A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995783.81</w:t>
            </w:r>
          </w:p>
        </w:tc>
        <w:tc>
          <w:tcPr>
            <w:cnfStyle w:val="000000010000"/>
            <w:tcW w:w="2409" w:type="dxa"/>
            <w:noWrap w:val="on"/>
            <w:shd w:val="clear" w:color="auto" w:fill="auto"/>
          </w:tcPr>
          <w:p w14:paraId="000000A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2731862.64</w:t>
            </w:r>
          </w:p>
        </w:tc>
      </w:tr>
      <w:tr>
        <w:trPr>
          <w:wAfter w:w="0" w:type="dxa"/>
          <w:trHeight w:val="300" w:hRule="atLeast"/>
        </w:trPr>
        <w:tc>
          <w:tcPr>
            <w:cnfStyle w:val="001000100000"/>
            <w:tcW w:w="1843" w:type="dxa"/>
            <w:noWrap w:val="on"/>
            <w:shd w:val="clear" w:color="auto" w:fill="auto"/>
          </w:tcPr>
          <w:p w14:paraId="000000A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21</w:t>
            </w:r>
          </w:p>
        </w:tc>
        <w:tc>
          <w:tcPr>
            <w:cnfStyle w:val="000000100000"/>
            <w:tcW w:w="3119" w:type="dxa"/>
            <w:noWrap w:val="on"/>
            <w:shd w:val="clear" w:color="auto" w:fill="auto"/>
          </w:tcPr>
          <w:p w14:paraId="000000A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995783.80</w:t>
            </w:r>
          </w:p>
        </w:tc>
        <w:tc>
          <w:tcPr>
            <w:cnfStyle w:val="000000100000"/>
            <w:tcW w:w="2409" w:type="dxa"/>
            <w:noWrap w:val="on"/>
            <w:shd w:val="clear" w:color="auto" w:fill="auto"/>
          </w:tcPr>
          <w:p w14:paraId="000000A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2731863.82</w:t>
            </w:r>
          </w:p>
        </w:tc>
      </w:tr>
      <w:tr>
        <w:trPr>
          <w:wAfter w:w="0" w:type="dxa"/>
          <w:trHeight w:val="300" w:hRule="atLeast"/>
        </w:trPr>
        <w:tc>
          <w:tcPr>
            <w:cnfStyle w:val="001000010000"/>
            <w:tcW w:w="1843" w:type="dxa"/>
            <w:noWrap w:val="on"/>
            <w:shd w:val="clear" w:color="auto" w:fill="auto"/>
          </w:tcPr>
          <w:p w14:paraId="000000A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22</w:t>
            </w:r>
          </w:p>
        </w:tc>
        <w:tc>
          <w:tcPr>
            <w:cnfStyle w:val="000000010000"/>
            <w:tcW w:w="3119" w:type="dxa"/>
            <w:noWrap w:val="on"/>
            <w:shd w:val="clear" w:color="auto" w:fill="auto"/>
          </w:tcPr>
          <w:p w14:paraId="000000A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995783.69</w:t>
            </w:r>
          </w:p>
        </w:tc>
        <w:tc>
          <w:tcPr>
            <w:cnfStyle w:val="000000010000"/>
            <w:tcW w:w="2409" w:type="dxa"/>
            <w:noWrap w:val="on"/>
            <w:shd w:val="clear" w:color="auto" w:fill="auto"/>
          </w:tcPr>
          <w:p w14:paraId="000000A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2731890.37</w:t>
            </w:r>
          </w:p>
        </w:tc>
      </w:tr>
      <w:tr>
        <w:trPr>
          <w:wAfter w:w="0" w:type="dxa"/>
          <w:trHeight w:val="300" w:hRule="atLeast"/>
        </w:trPr>
        <w:tc>
          <w:tcPr>
            <w:cnfStyle w:val="001000100000"/>
            <w:tcW w:w="1843" w:type="dxa"/>
            <w:noWrap w:val="on"/>
            <w:shd w:val="clear" w:color="auto" w:fill="auto"/>
          </w:tcPr>
          <w:p w14:paraId="000000A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23</w:t>
            </w:r>
          </w:p>
        </w:tc>
        <w:tc>
          <w:tcPr>
            <w:cnfStyle w:val="000000100000"/>
            <w:tcW w:w="3119" w:type="dxa"/>
            <w:noWrap w:val="on"/>
            <w:shd w:val="clear" w:color="auto" w:fill="auto"/>
          </w:tcPr>
          <w:p w14:paraId="000000A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995775.33</w:t>
            </w:r>
          </w:p>
        </w:tc>
        <w:tc>
          <w:tcPr>
            <w:cnfStyle w:val="000000100000"/>
            <w:tcW w:w="2409" w:type="dxa"/>
            <w:noWrap w:val="on"/>
            <w:shd w:val="clear" w:color="auto" w:fill="auto"/>
          </w:tcPr>
          <w:p w14:paraId="000000A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2731895.14</w:t>
            </w:r>
          </w:p>
        </w:tc>
      </w:tr>
      <w:tr>
        <w:trPr>
          <w:wAfter w:w="0" w:type="dxa"/>
          <w:trHeight w:val="300" w:hRule="atLeast"/>
        </w:trPr>
        <w:tc>
          <w:tcPr>
            <w:cnfStyle w:val="001000010000"/>
            <w:tcW w:w="1843" w:type="dxa"/>
            <w:noWrap w:val="on"/>
            <w:shd w:val="clear" w:color="auto" w:fill="auto"/>
          </w:tcPr>
          <w:p w14:paraId="000000A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24</w:t>
            </w:r>
          </w:p>
        </w:tc>
        <w:tc>
          <w:tcPr>
            <w:cnfStyle w:val="000000010000"/>
            <w:tcW w:w="3119" w:type="dxa"/>
            <w:noWrap w:val="on"/>
            <w:shd w:val="clear" w:color="auto" w:fill="auto"/>
          </w:tcPr>
          <w:p w14:paraId="000000A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995681.36</w:t>
            </w:r>
          </w:p>
        </w:tc>
        <w:tc>
          <w:tcPr>
            <w:cnfStyle w:val="000000010000"/>
            <w:tcW w:w="2409" w:type="dxa"/>
            <w:noWrap w:val="on"/>
            <w:shd w:val="clear" w:color="auto" w:fill="auto"/>
          </w:tcPr>
          <w:p w14:paraId="000000A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2731948.76</w:t>
            </w:r>
          </w:p>
        </w:tc>
      </w:tr>
      <w:tr>
        <w:trPr>
          <w:wAfter w:w="0" w:type="dxa"/>
          <w:trHeight w:val="300" w:hRule="atLeast"/>
        </w:trPr>
        <w:tc>
          <w:tcPr>
            <w:cnfStyle w:val="001000100000"/>
            <w:tcW w:w="1843" w:type="dxa"/>
            <w:noWrap w:val="on"/>
            <w:shd w:val="clear" w:color="auto" w:fill="auto"/>
          </w:tcPr>
          <w:p w14:paraId="000000A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25</w:t>
            </w:r>
          </w:p>
        </w:tc>
        <w:tc>
          <w:tcPr>
            <w:cnfStyle w:val="000000100000"/>
            <w:tcW w:w="3119" w:type="dxa"/>
            <w:noWrap w:val="on"/>
            <w:shd w:val="clear" w:color="auto" w:fill="auto"/>
          </w:tcPr>
          <w:p w14:paraId="000000A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995665.19</w:t>
            </w:r>
          </w:p>
        </w:tc>
        <w:tc>
          <w:tcPr>
            <w:cnfStyle w:val="000000100000"/>
            <w:tcW w:w="2409" w:type="dxa"/>
            <w:noWrap w:val="on"/>
            <w:shd w:val="clear" w:color="auto" w:fill="auto"/>
          </w:tcPr>
          <w:p w14:paraId="000000B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2731957.99</w:t>
            </w:r>
          </w:p>
        </w:tc>
      </w:tr>
      <w:tr>
        <w:trPr>
          <w:wAfter w:w="0" w:type="dxa"/>
          <w:trHeight w:val="300" w:hRule="atLeast"/>
        </w:trPr>
        <w:tc>
          <w:tcPr>
            <w:cnfStyle w:val="001000010000"/>
            <w:tcW w:w="1843" w:type="dxa"/>
            <w:noWrap w:val="on"/>
            <w:shd w:val="clear" w:color="auto" w:fill="auto"/>
          </w:tcPr>
          <w:p w14:paraId="000000B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26</w:t>
            </w:r>
          </w:p>
        </w:tc>
        <w:tc>
          <w:tcPr>
            <w:cnfStyle w:val="000000010000"/>
            <w:tcW w:w="3119" w:type="dxa"/>
            <w:noWrap w:val="on"/>
            <w:shd w:val="clear" w:color="auto" w:fill="auto"/>
          </w:tcPr>
          <w:p w14:paraId="000000B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995591.36</w:t>
            </w:r>
          </w:p>
        </w:tc>
        <w:tc>
          <w:tcPr>
            <w:cnfStyle w:val="000000010000"/>
            <w:tcW w:w="2409" w:type="dxa"/>
            <w:noWrap w:val="on"/>
            <w:shd w:val="clear" w:color="auto" w:fill="auto"/>
          </w:tcPr>
          <w:p w14:paraId="000000B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2732002.83</w:t>
            </w:r>
          </w:p>
        </w:tc>
      </w:tr>
      <w:tr>
        <w:trPr>
          <w:wAfter w:w="0" w:type="dxa"/>
          <w:trHeight w:val="300" w:hRule="atLeast"/>
        </w:trPr>
        <w:tc>
          <w:tcPr>
            <w:cnfStyle w:val="001000100000"/>
            <w:tcW w:w="1843" w:type="dxa"/>
            <w:noWrap w:val="on"/>
            <w:shd w:val="clear" w:color="auto" w:fill="auto"/>
          </w:tcPr>
          <w:p w14:paraId="000000B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w:t>
            </w:r>
          </w:p>
        </w:tc>
        <w:tc>
          <w:tcPr>
            <w:cnfStyle w:val="000000100000"/>
            <w:tcW w:w="3119" w:type="dxa"/>
            <w:noWrap w:val="on"/>
            <w:shd w:val="clear" w:color="auto" w:fill="auto"/>
          </w:tcPr>
          <w:p w14:paraId="000000B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995559.82</w:t>
            </w:r>
          </w:p>
        </w:tc>
        <w:tc>
          <w:tcPr>
            <w:cnfStyle w:val="000000100000"/>
            <w:tcW w:w="2409" w:type="dxa"/>
            <w:noWrap w:val="on"/>
            <w:shd w:val="clear" w:color="auto" w:fill="auto"/>
          </w:tcPr>
          <w:p w14:paraId="000000B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2732019.61</w:t>
            </w:r>
          </w:p>
        </w:tc>
      </w:tr>
      <w:tr>
        <w:trPr>
          <w:wAfter w:w="0" w:type="dxa"/>
          <w:trHeight w:val="300" w:hRule="atLeast"/>
        </w:trPr>
        <w:tc>
          <w:tcPr>
            <w:cnfStyle w:val="001000010000"/>
            <w:tcW w:w="1843" w:type="dxa"/>
            <w:noWrap w:val="on"/>
            <w:shd w:val="clear" w:color="auto" w:fill="auto"/>
          </w:tcPr>
          <w:p w14:paraId="000000B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28</w:t>
            </w:r>
          </w:p>
        </w:tc>
        <w:tc>
          <w:tcPr>
            <w:cnfStyle w:val="000000010000"/>
            <w:tcW w:w="3119" w:type="dxa"/>
            <w:noWrap w:val="on"/>
            <w:shd w:val="clear" w:color="auto" w:fill="auto"/>
          </w:tcPr>
          <w:p w14:paraId="000000B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995556.56</w:t>
            </w:r>
          </w:p>
        </w:tc>
        <w:tc>
          <w:tcPr>
            <w:cnfStyle w:val="000000010000"/>
            <w:tcW w:w="2409" w:type="dxa"/>
            <w:noWrap w:val="on"/>
            <w:shd w:val="clear" w:color="auto" w:fill="auto"/>
          </w:tcPr>
          <w:p w14:paraId="000000B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2732021.34</w:t>
            </w:r>
          </w:p>
        </w:tc>
      </w:tr>
      <w:tr>
        <w:trPr>
          <w:wAfter w:w="0" w:type="dxa"/>
          <w:trHeight w:val="300" w:hRule="atLeast"/>
        </w:trPr>
        <w:tc>
          <w:tcPr>
            <w:cnfStyle w:val="001000100000"/>
            <w:tcW w:w="1843" w:type="dxa"/>
            <w:noWrap w:val="on"/>
            <w:shd w:val="clear" w:color="auto" w:fill="auto"/>
          </w:tcPr>
          <w:p w14:paraId="000000B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29</w:t>
            </w:r>
          </w:p>
        </w:tc>
        <w:tc>
          <w:tcPr>
            <w:cnfStyle w:val="000000100000"/>
            <w:tcW w:w="3119" w:type="dxa"/>
            <w:noWrap w:val="on"/>
            <w:shd w:val="clear" w:color="auto" w:fill="auto"/>
          </w:tcPr>
          <w:p w14:paraId="000000B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995563.50</w:t>
            </w:r>
          </w:p>
        </w:tc>
        <w:tc>
          <w:tcPr>
            <w:cnfStyle w:val="000000100000"/>
            <w:tcW w:w="2409" w:type="dxa"/>
            <w:noWrap w:val="on"/>
            <w:shd w:val="clear" w:color="auto" w:fill="auto"/>
          </w:tcPr>
          <w:p w14:paraId="000000B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2732034.42</w:t>
            </w:r>
          </w:p>
        </w:tc>
      </w:tr>
      <w:tr>
        <w:trPr>
          <w:wAfter w:w="0" w:type="dxa"/>
          <w:trHeight w:val="300" w:hRule="atLeast"/>
        </w:trPr>
        <w:tc>
          <w:tcPr>
            <w:cnfStyle w:val="001000010000"/>
            <w:tcW w:w="1843" w:type="dxa"/>
            <w:noWrap w:val="on"/>
            <w:shd w:val="clear" w:color="auto" w:fill="auto"/>
          </w:tcPr>
          <w:p w14:paraId="000000B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30</w:t>
            </w:r>
          </w:p>
        </w:tc>
        <w:tc>
          <w:tcPr>
            <w:cnfStyle w:val="000000010000"/>
            <w:tcW w:w="3119" w:type="dxa"/>
            <w:noWrap w:val="on"/>
            <w:shd w:val="clear" w:color="auto" w:fill="auto"/>
          </w:tcPr>
          <w:p w14:paraId="000000B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995555.31</w:t>
            </w:r>
          </w:p>
        </w:tc>
        <w:tc>
          <w:tcPr>
            <w:cnfStyle w:val="000000010000"/>
            <w:tcW w:w="2409" w:type="dxa"/>
            <w:noWrap w:val="on"/>
            <w:shd w:val="clear" w:color="auto" w:fill="auto"/>
          </w:tcPr>
          <w:p w14:paraId="000000B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2732038.70</w:t>
            </w:r>
          </w:p>
        </w:tc>
      </w:tr>
      <w:tr>
        <w:trPr>
          <w:wAfter w:w="0" w:type="dxa"/>
          <w:trHeight w:val="300" w:hRule="atLeast"/>
        </w:trPr>
        <w:tc>
          <w:tcPr>
            <w:cnfStyle w:val="001000100000"/>
            <w:tcW w:w="1843" w:type="dxa"/>
            <w:noWrap w:val="on"/>
            <w:shd w:val="clear" w:color="auto" w:fill="auto"/>
          </w:tcPr>
          <w:p w14:paraId="000000C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31</w:t>
            </w:r>
          </w:p>
        </w:tc>
        <w:tc>
          <w:tcPr>
            <w:cnfStyle w:val="000000100000"/>
            <w:tcW w:w="3119" w:type="dxa"/>
            <w:noWrap w:val="on"/>
            <w:shd w:val="clear" w:color="auto" w:fill="auto"/>
          </w:tcPr>
          <w:p w14:paraId="000000C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995549.25</w:t>
            </w:r>
          </w:p>
        </w:tc>
        <w:tc>
          <w:tcPr>
            <w:cnfStyle w:val="000000100000"/>
            <w:tcW w:w="2409" w:type="dxa"/>
            <w:noWrap w:val="on"/>
            <w:shd w:val="clear" w:color="auto" w:fill="auto"/>
          </w:tcPr>
          <w:p w14:paraId="000000C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2732041.87</w:t>
            </w:r>
          </w:p>
        </w:tc>
      </w:tr>
      <w:tr>
        <w:trPr>
          <w:wAfter w:w="0" w:type="dxa"/>
          <w:trHeight w:val="300" w:hRule="atLeast"/>
        </w:trPr>
        <w:tc>
          <w:tcPr>
            <w:cnfStyle w:val="001000010000"/>
            <w:tcW w:w="1843" w:type="dxa"/>
            <w:noWrap w:val="on"/>
            <w:shd w:val="clear" w:color="auto" w:fill="auto"/>
          </w:tcPr>
          <w:p w14:paraId="000000C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32</w:t>
            </w:r>
          </w:p>
        </w:tc>
        <w:tc>
          <w:tcPr>
            <w:cnfStyle w:val="000000010000"/>
            <w:tcW w:w="3119" w:type="dxa"/>
            <w:noWrap w:val="on"/>
            <w:shd w:val="clear" w:color="auto" w:fill="auto"/>
          </w:tcPr>
          <w:p w14:paraId="000000C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995541.49</w:t>
            </w:r>
          </w:p>
        </w:tc>
        <w:tc>
          <w:tcPr>
            <w:cnfStyle w:val="000000010000"/>
            <w:tcW w:w="2409" w:type="dxa"/>
            <w:noWrap w:val="on"/>
            <w:shd w:val="clear" w:color="auto" w:fill="auto"/>
          </w:tcPr>
          <w:p w14:paraId="000000C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2732045.92</w:t>
            </w:r>
          </w:p>
        </w:tc>
      </w:tr>
      <w:tr>
        <w:trPr>
          <w:wAfter w:w="0" w:type="dxa"/>
          <w:trHeight w:val="300" w:hRule="atLeast"/>
        </w:trPr>
        <w:tc>
          <w:tcPr>
            <w:cnfStyle w:val="001000100000"/>
            <w:tcW w:w="1843" w:type="dxa"/>
            <w:noWrap w:val="on"/>
            <w:shd w:val="clear" w:color="auto" w:fill="auto"/>
          </w:tcPr>
          <w:p w14:paraId="000000C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33</w:t>
            </w:r>
          </w:p>
        </w:tc>
        <w:tc>
          <w:tcPr>
            <w:cnfStyle w:val="000000100000"/>
            <w:tcW w:w="3119" w:type="dxa"/>
            <w:noWrap w:val="on"/>
            <w:shd w:val="clear" w:color="auto" w:fill="auto"/>
          </w:tcPr>
          <w:p w14:paraId="000000C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995538.66</w:t>
            </w:r>
          </w:p>
        </w:tc>
        <w:tc>
          <w:tcPr>
            <w:cnfStyle w:val="000000100000"/>
            <w:tcW w:w="2409" w:type="dxa"/>
            <w:noWrap w:val="on"/>
            <w:shd w:val="clear" w:color="auto" w:fill="auto"/>
          </w:tcPr>
          <w:p w14:paraId="000000C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2732047.40</w:t>
            </w:r>
          </w:p>
        </w:tc>
      </w:tr>
      <w:tr>
        <w:trPr>
          <w:wAfter w:w="0" w:type="dxa"/>
          <w:trHeight w:val="300" w:hRule="atLeast"/>
        </w:trPr>
        <w:tc>
          <w:tcPr>
            <w:cnfStyle w:val="001000010000"/>
            <w:tcW w:w="1843" w:type="dxa"/>
            <w:noWrap w:val="on"/>
            <w:shd w:val="clear" w:color="auto" w:fill="auto"/>
          </w:tcPr>
          <w:p w14:paraId="000000C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34</w:t>
            </w:r>
          </w:p>
        </w:tc>
        <w:tc>
          <w:tcPr>
            <w:cnfStyle w:val="000000010000"/>
            <w:tcW w:w="3119" w:type="dxa"/>
            <w:noWrap w:val="on"/>
            <w:shd w:val="clear" w:color="auto" w:fill="auto"/>
          </w:tcPr>
          <w:p w14:paraId="000000C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995532.51</w:t>
            </w:r>
          </w:p>
        </w:tc>
        <w:tc>
          <w:tcPr>
            <w:cnfStyle w:val="000000010000"/>
            <w:tcW w:w="2409" w:type="dxa"/>
            <w:noWrap w:val="on"/>
            <w:shd w:val="clear" w:color="auto" w:fill="auto"/>
          </w:tcPr>
          <w:p w14:paraId="000000C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2732035.57</w:t>
            </w:r>
          </w:p>
        </w:tc>
      </w:tr>
      <w:tr>
        <w:trPr>
          <w:wAfter w:w="0" w:type="dxa"/>
          <w:trHeight w:val="300" w:hRule="atLeast"/>
        </w:trPr>
        <w:tc>
          <w:tcPr>
            <w:cnfStyle w:val="001000100000"/>
            <w:tcW w:w="1843" w:type="dxa"/>
            <w:noWrap w:val="on"/>
            <w:shd w:val="clear" w:color="auto" w:fill="auto"/>
          </w:tcPr>
          <w:p w14:paraId="000000C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35</w:t>
            </w:r>
          </w:p>
        </w:tc>
        <w:tc>
          <w:tcPr>
            <w:cnfStyle w:val="000000100000"/>
            <w:tcW w:w="3119" w:type="dxa"/>
            <w:noWrap w:val="on"/>
            <w:shd w:val="clear" w:color="auto" w:fill="auto"/>
          </w:tcPr>
          <w:p w14:paraId="000000C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995521.79</w:t>
            </w:r>
          </w:p>
        </w:tc>
        <w:tc>
          <w:tcPr>
            <w:cnfStyle w:val="000000100000"/>
            <w:tcW w:w="2409" w:type="dxa"/>
            <w:noWrap w:val="on"/>
            <w:shd w:val="clear" w:color="auto" w:fill="auto"/>
          </w:tcPr>
          <w:p w14:paraId="000000C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2732014.96</w:t>
            </w:r>
          </w:p>
        </w:tc>
      </w:tr>
      <w:tr>
        <w:trPr>
          <w:wAfter w:w="0" w:type="dxa"/>
          <w:trHeight w:val="300" w:hRule="atLeast"/>
        </w:trPr>
        <w:tc>
          <w:tcPr>
            <w:cnfStyle w:val="001000010000"/>
            <w:tcW w:w="1843" w:type="dxa"/>
            <w:noWrap w:val="on"/>
            <w:shd w:val="clear" w:color="auto" w:fill="auto"/>
          </w:tcPr>
          <w:p w14:paraId="000000C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36</w:t>
            </w:r>
          </w:p>
        </w:tc>
        <w:tc>
          <w:tcPr>
            <w:cnfStyle w:val="000000010000"/>
            <w:tcW w:w="3119" w:type="dxa"/>
            <w:noWrap w:val="on"/>
            <w:shd w:val="clear" w:color="auto" w:fill="auto"/>
          </w:tcPr>
          <w:p w14:paraId="000000D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995520.84</w:t>
            </w:r>
          </w:p>
        </w:tc>
        <w:tc>
          <w:tcPr>
            <w:cnfStyle w:val="000000010000"/>
            <w:tcW w:w="2409" w:type="dxa"/>
            <w:noWrap w:val="on"/>
            <w:shd w:val="clear" w:color="auto" w:fill="auto"/>
          </w:tcPr>
          <w:p w14:paraId="000000D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2732013.14</w:t>
            </w:r>
          </w:p>
        </w:tc>
      </w:tr>
      <w:tr>
        <w:trPr>
          <w:wAfter w:w="0" w:type="dxa"/>
          <w:trHeight w:val="300" w:hRule="atLeast"/>
        </w:trPr>
        <w:tc>
          <w:tcPr>
            <w:cnfStyle w:val="001000100000"/>
            <w:tcW w:w="1843" w:type="dxa"/>
            <w:noWrap w:val="on"/>
            <w:shd w:val="clear" w:color="auto" w:fill="auto"/>
          </w:tcPr>
          <w:p w14:paraId="000000D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37</w:t>
            </w:r>
          </w:p>
        </w:tc>
        <w:tc>
          <w:tcPr>
            <w:cnfStyle w:val="000000100000"/>
            <w:tcW w:w="3119" w:type="dxa"/>
            <w:noWrap w:val="on"/>
            <w:shd w:val="clear" w:color="auto" w:fill="auto"/>
          </w:tcPr>
          <w:p w14:paraId="000000D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995579.49</w:t>
            </w:r>
          </w:p>
        </w:tc>
        <w:tc>
          <w:tcPr>
            <w:cnfStyle w:val="000000100000"/>
            <w:tcW w:w="2409" w:type="dxa"/>
            <w:noWrap w:val="on"/>
            <w:shd w:val="clear" w:color="auto" w:fill="auto"/>
          </w:tcPr>
          <w:p w14:paraId="000000D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2731981.94</w:t>
            </w:r>
          </w:p>
        </w:tc>
      </w:tr>
      <w:tr>
        <w:trPr>
          <w:wAfter w:w="0" w:type="dxa"/>
          <w:trHeight w:val="300" w:hRule="atLeast"/>
        </w:trPr>
        <w:tc>
          <w:tcPr>
            <w:cnfStyle w:val="001000010000"/>
            <w:tcW w:w="1843" w:type="dxa"/>
            <w:noWrap w:val="on"/>
            <w:shd w:val="clear" w:color="auto" w:fill="auto"/>
          </w:tcPr>
          <w:p w14:paraId="000000D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38</w:t>
            </w:r>
          </w:p>
        </w:tc>
        <w:tc>
          <w:tcPr>
            <w:cnfStyle w:val="000000010000"/>
            <w:tcW w:w="3119" w:type="dxa"/>
            <w:noWrap w:val="on"/>
            <w:shd w:val="clear" w:color="auto" w:fill="auto"/>
          </w:tcPr>
          <w:p w14:paraId="000000D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995611.22</w:t>
            </w:r>
          </w:p>
        </w:tc>
        <w:tc>
          <w:tcPr>
            <w:cnfStyle w:val="000000010000"/>
            <w:tcW w:w="2409" w:type="dxa"/>
            <w:noWrap w:val="on"/>
            <w:shd w:val="clear" w:color="auto" w:fill="auto"/>
          </w:tcPr>
          <w:p w14:paraId="000000D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2731962.67</w:t>
            </w:r>
          </w:p>
        </w:tc>
      </w:tr>
      <w:tr>
        <w:trPr>
          <w:wAfter w:w="0" w:type="dxa"/>
          <w:trHeight w:val="300" w:hRule="atLeast"/>
        </w:trPr>
        <w:tc>
          <w:tcPr>
            <w:cnfStyle w:val="001000100000"/>
            <w:tcW w:w="1843" w:type="dxa"/>
            <w:noWrap w:val="on"/>
            <w:shd w:val="clear" w:color="auto" w:fill="auto"/>
          </w:tcPr>
          <w:p w14:paraId="000000D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39</w:t>
            </w:r>
          </w:p>
        </w:tc>
        <w:tc>
          <w:tcPr>
            <w:cnfStyle w:val="000000100000"/>
            <w:tcW w:w="3119" w:type="dxa"/>
            <w:noWrap w:val="on"/>
            <w:shd w:val="clear" w:color="auto" w:fill="auto"/>
          </w:tcPr>
          <w:p w14:paraId="000000D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995673.02</w:t>
            </w:r>
          </w:p>
        </w:tc>
        <w:tc>
          <w:tcPr>
            <w:cnfStyle w:val="000000100000"/>
            <w:tcW w:w="2409" w:type="dxa"/>
            <w:noWrap w:val="on"/>
            <w:shd w:val="clear" w:color="auto" w:fill="auto"/>
          </w:tcPr>
          <w:p w14:paraId="000000D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2731925.82</w:t>
            </w:r>
          </w:p>
        </w:tc>
      </w:tr>
      <w:tr>
        <w:trPr>
          <w:wAfter w:w="0" w:type="dxa"/>
          <w:trHeight w:val="300" w:hRule="atLeast"/>
        </w:trPr>
        <w:tc>
          <w:tcPr>
            <w:cnfStyle w:val="001000010000"/>
            <w:tcW w:w="1843" w:type="dxa"/>
            <w:noWrap w:val="on"/>
            <w:shd w:val="clear" w:color="auto" w:fill="auto"/>
          </w:tcPr>
          <w:p w14:paraId="000000D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40</w:t>
            </w:r>
          </w:p>
        </w:tc>
        <w:tc>
          <w:tcPr>
            <w:cnfStyle w:val="000000010000"/>
            <w:tcW w:w="3119" w:type="dxa"/>
            <w:noWrap w:val="on"/>
            <w:shd w:val="clear" w:color="auto" w:fill="auto"/>
          </w:tcPr>
          <w:p w14:paraId="000000D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995759.74</w:t>
            </w:r>
          </w:p>
        </w:tc>
        <w:tc>
          <w:tcPr>
            <w:cnfStyle w:val="000000010000"/>
            <w:tcW w:w="2409" w:type="dxa"/>
            <w:noWrap w:val="on"/>
            <w:shd w:val="clear" w:color="auto" w:fill="auto"/>
          </w:tcPr>
          <w:p w14:paraId="000000D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2731876.38</w:t>
            </w:r>
          </w:p>
        </w:tc>
      </w:tr>
      <w:tr>
        <w:trPr>
          <w:wAfter w:w="0" w:type="dxa"/>
          <w:trHeight w:val="300" w:hRule="atLeast"/>
        </w:trPr>
        <w:tc>
          <w:tcPr>
            <w:cnfStyle w:val="001000100000"/>
            <w:tcW w:w="1843" w:type="dxa"/>
            <w:noWrap w:val="on"/>
            <w:shd w:val="clear" w:color="auto" w:fill="auto"/>
          </w:tcPr>
          <w:p w14:paraId="000000D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41</w:t>
            </w:r>
          </w:p>
        </w:tc>
        <w:tc>
          <w:tcPr>
            <w:cnfStyle w:val="000000100000"/>
            <w:tcW w:w="3119" w:type="dxa"/>
            <w:noWrap w:val="on"/>
            <w:shd w:val="clear" w:color="auto" w:fill="auto"/>
          </w:tcPr>
          <w:p w14:paraId="000000D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995759.74</w:t>
            </w:r>
          </w:p>
        </w:tc>
        <w:tc>
          <w:tcPr>
            <w:cnfStyle w:val="000000100000"/>
            <w:tcW w:w="2409" w:type="dxa"/>
            <w:noWrap w:val="on"/>
            <w:shd w:val="clear" w:color="auto" w:fill="auto"/>
          </w:tcPr>
          <w:p w14:paraId="000000E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2731876.04</w:t>
            </w:r>
          </w:p>
        </w:tc>
      </w:tr>
      <w:tr>
        <w:trPr>
          <w:wAfter w:w="0" w:type="dxa"/>
          <w:trHeight w:val="300" w:hRule="atLeast"/>
        </w:trPr>
        <w:tc>
          <w:tcPr>
            <w:cnfStyle w:val="001000010000"/>
            <w:tcW w:w="1843" w:type="dxa"/>
            <w:noWrap w:val="on"/>
            <w:shd w:val="clear" w:color="auto" w:fill="auto"/>
          </w:tcPr>
          <w:p w14:paraId="000000E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42</w:t>
            </w:r>
          </w:p>
        </w:tc>
        <w:tc>
          <w:tcPr>
            <w:cnfStyle w:val="000000010000"/>
            <w:tcW w:w="3119" w:type="dxa"/>
            <w:noWrap w:val="on"/>
            <w:shd w:val="clear" w:color="auto" w:fill="auto"/>
          </w:tcPr>
          <w:p w14:paraId="000000E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995759.76</w:t>
            </w:r>
          </w:p>
        </w:tc>
        <w:tc>
          <w:tcPr>
            <w:cnfStyle w:val="000000010000"/>
            <w:tcW w:w="2409" w:type="dxa"/>
            <w:noWrap w:val="on"/>
            <w:shd w:val="clear" w:color="auto" w:fill="auto"/>
          </w:tcPr>
          <w:p w14:paraId="000000E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2731860.73</w:t>
            </w:r>
          </w:p>
        </w:tc>
      </w:tr>
      <w:tr>
        <w:trPr>
          <w:wAfter w:w="0" w:type="dxa"/>
          <w:trHeight w:val="300" w:hRule="atLeast"/>
        </w:trPr>
        <w:tc>
          <w:tcPr>
            <w:cnfStyle w:val="001000100000"/>
            <w:tcW w:w="1843" w:type="dxa"/>
            <w:noWrap w:val="on"/>
            <w:shd w:val="clear" w:color="auto" w:fill="auto"/>
          </w:tcPr>
          <w:p w14:paraId="000000E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43</w:t>
            </w:r>
          </w:p>
        </w:tc>
        <w:tc>
          <w:tcPr>
            <w:cnfStyle w:val="000000100000"/>
            <w:tcW w:w="3119" w:type="dxa"/>
            <w:noWrap w:val="on"/>
            <w:shd w:val="clear" w:color="auto" w:fill="auto"/>
          </w:tcPr>
          <w:p w14:paraId="000000E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995759.77</w:t>
            </w:r>
          </w:p>
        </w:tc>
        <w:tc>
          <w:tcPr>
            <w:cnfStyle w:val="000000100000"/>
            <w:tcW w:w="2409" w:type="dxa"/>
            <w:noWrap w:val="on"/>
            <w:shd w:val="clear" w:color="auto" w:fill="auto"/>
          </w:tcPr>
          <w:p w14:paraId="000000E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2731843.41</w:t>
            </w:r>
          </w:p>
        </w:tc>
      </w:tr>
      <w:tr>
        <w:trPr>
          <w:wAfter w:w="0" w:type="dxa"/>
          <w:trHeight w:val="300" w:hRule="atLeast"/>
        </w:trPr>
        <w:tc>
          <w:tcPr>
            <w:cnfStyle w:val="001000010000"/>
            <w:tcW w:w="1843" w:type="dxa"/>
            <w:noWrap w:val="on"/>
            <w:shd w:val="clear" w:color="auto" w:fill="auto"/>
          </w:tcPr>
          <w:p w14:paraId="000000E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44</w:t>
            </w:r>
          </w:p>
        </w:tc>
        <w:tc>
          <w:tcPr>
            <w:cnfStyle w:val="000000010000"/>
            <w:tcW w:w="3119" w:type="dxa"/>
            <w:noWrap w:val="on"/>
            <w:shd w:val="clear" w:color="auto" w:fill="auto"/>
          </w:tcPr>
          <w:p w14:paraId="000000E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995759.78</w:t>
            </w:r>
          </w:p>
        </w:tc>
        <w:tc>
          <w:tcPr>
            <w:cnfStyle w:val="000000010000"/>
            <w:tcW w:w="2409" w:type="dxa"/>
            <w:noWrap w:val="on"/>
            <w:shd w:val="clear" w:color="auto" w:fill="auto"/>
          </w:tcPr>
          <w:p w14:paraId="000000E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2731838.64</w:t>
            </w:r>
          </w:p>
        </w:tc>
      </w:tr>
      <w:tr>
        <w:trPr>
          <w:wAfter w:w="0" w:type="dxa"/>
          <w:trHeight w:val="300" w:hRule="atLeast"/>
        </w:trPr>
        <w:tc>
          <w:tcPr>
            <w:cnfStyle w:val="001000100000"/>
            <w:tcW w:w="1843" w:type="dxa"/>
            <w:noWrap w:val="on"/>
            <w:shd w:val="clear" w:color="auto" w:fill="auto"/>
          </w:tcPr>
          <w:p w14:paraId="000000E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45</w:t>
            </w:r>
          </w:p>
        </w:tc>
        <w:tc>
          <w:tcPr>
            <w:cnfStyle w:val="000000100000"/>
            <w:tcW w:w="3119" w:type="dxa"/>
            <w:noWrap w:val="on"/>
            <w:shd w:val="clear" w:color="auto" w:fill="auto"/>
          </w:tcPr>
          <w:p w14:paraId="000000E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995749.50</w:t>
            </w:r>
          </w:p>
        </w:tc>
        <w:tc>
          <w:tcPr>
            <w:cnfStyle w:val="000000100000"/>
            <w:tcW w:w="2409" w:type="dxa"/>
            <w:noWrap w:val="on"/>
            <w:shd w:val="clear" w:color="auto" w:fill="auto"/>
          </w:tcPr>
          <w:p w14:paraId="000000E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2731838.67</w:t>
            </w:r>
          </w:p>
        </w:tc>
      </w:tr>
      <w:tr>
        <w:trPr>
          <w:wAfter w:w="0" w:type="dxa"/>
          <w:trHeight w:val="300" w:hRule="atLeast"/>
        </w:trPr>
        <w:tc>
          <w:tcPr>
            <w:cnfStyle w:val="001000010000"/>
            <w:tcW w:w="1843" w:type="dxa"/>
            <w:noWrap w:val="on"/>
            <w:shd w:val="clear" w:color="auto" w:fill="auto"/>
          </w:tcPr>
          <w:p w14:paraId="000000E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46</w:t>
            </w:r>
          </w:p>
        </w:tc>
        <w:tc>
          <w:tcPr>
            <w:cnfStyle w:val="000000010000"/>
            <w:tcW w:w="3119" w:type="dxa"/>
            <w:noWrap w:val="on"/>
            <w:shd w:val="clear" w:color="auto" w:fill="auto"/>
          </w:tcPr>
          <w:p w14:paraId="000000E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995749.50</w:t>
            </w:r>
          </w:p>
        </w:tc>
        <w:tc>
          <w:tcPr>
            <w:cnfStyle w:val="000000010000"/>
            <w:tcW w:w="2409" w:type="dxa"/>
            <w:noWrap w:val="on"/>
            <w:shd w:val="clear" w:color="auto" w:fill="auto"/>
          </w:tcPr>
          <w:p w14:paraId="000000E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2731789.64</w:t>
            </w:r>
          </w:p>
        </w:tc>
      </w:tr>
      <w:tr>
        <w:trPr>
          <w:wAfter w:w="0" w:type="dxa"/>
          <w:trHeight w:val="300" w:hRule="atLeast"/>
        </w:trPr>
        <w:tc>
          <w:tcPr>
            <w:cnfStyle w:val="001000100000"/>
            <w:tcW w:w="1843" w:type="dxa"/>
            <w:noWrap w:val="on"/>
            <w:shd w:val="clear" w:color="auto" w:fill="auto"/>
          </w:tcPr>
          <w:p w14:paraId="000000F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47</w:t>
            </w:r>
          </w:p>
        </w:tc>
        <w:tc>
          <w:tcPr>
            <w:cnfStyle w:val="000000100000"/>
            <w:tcW w:w="3119" w:type="dxa"/>
            <w:noWrap w:val="on"/>
            <w:shd w:val="clear" w:color="auto" w:fill="auto"/>
          </w:tcPr>
          <w:p w14:paraId="000000F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995729.02</w:t>
            </w:r>
          </w:p>
        </w:tc>
        <w:tc>
          <w:tcPr>
            <w:cnfStyle w:val="000000100000"/>
            <w:tcW w:w="2409" w:type="dxa"/>
            <w:noWrap w:val="on"/>
            <w:shd w:val="clear" w:color="auto" w:fill="auto"/>
          </w:tcPr>
          <w:p w14:paraId="000000F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2731789.65</w:t>
            </w:r>
          </w:p>
        </w:tc>
      </w:tr>
      <w:tr>
        <w:trPr>
          <w:wAfter w:w="0" w:type="dxa"/>
          <w:trHeight w:val="300" w:hRule="atLeast"/>
        </w:trPr>
        <w:tc>
          <w:tcPr>
            <w:cnfStyle w:val="001000010000"/>
            <w:tcW w:w="1843" w:type="dxa"/>
            <w:noWrap w:val="on"/>
            <w:shd w:val="clear" w:color="auto" w:fill="auto"/>
          </w:tcPr>
          <w:p w14:paraId="000000F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48</w:t>
            </w:r>
          </w:p>
        </w:tc>
        <w:tc>
          <w:tcPr>
            <w:cnfStyle w:val="000000010000"/>
            <w:tcW w:w="3119" w:type="dxa"/>
            <w:noWrap w:val="on"/>
            <w:shd w:val="clear" w:color="auto" w:fill="auto"/>
          </w:tcPr>
          <w:p w14:paraId="000000F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995729.18</w:t>
            </w:r>
          </w:p>
        </w:tc>
        <w:tc>
          <w:tcPr>
            <w:cnfStyle w:val="000000010000"/>
            <w:tcW w:w="2409" w:type="dxa"/>
            <w:noWrap w:val="on"/>
            <w:shd w:val="clear" w:color="auto" w:fill="auto"/>
          </w:tcPr>
          <w:p w14:paraId="000000F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2731780.64</w:t>
            </w:r>
          </w:p>
        </w:tc>
      </w:tr>
      <w:tr>
        <w:trPr>
          <w:wAfter w:w="0" w:type="dxa"/>
          <w:trHeight w:val="300" w:hRule="atLeast"/>
        </w:trPr>
        <w:tc>
          <w:tcPr>
            <w:cnfStyle w:val="001000100000"/>
            <w:tcW w:w="1843" w:type="dxa"/>
            <w:noWrap w:val="on"/>
            <w:shd w:val="clear" w:color="auto" w:fill="auto"/>
          </w:tcPr>
          <w:p w14:paraId="000000F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49</w:t>
            </w:r>
          </w:p>
        </w:tc>
        <w:tc>
          <w:tcPr>
            <w:cnfStyle w:val="000000100000"/>
            <w:tcW w:w="3119" w:type="dxa"/>
            <w:noWrap w:val="on"/>
            <w:shd w:val="clear" w:color="auto" w:fill="auto"/>
          </w:tcPr>
          <w:p w14:paraId="000000F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995760.23</w:t>
            </w:r>
          </w:p>
        </w:tc>
        <w:tc>
          <w:tcPr>
            <w:cnfStyle w:val="000000100000"/>
            <w:tcW w:w="2409" w:type="dxa"/>
            <w:noWrap w:val="on"/>
            <w:shd w:val="clear" w:color="auto" w:fill="auto"/>
          </w:tcPr>
          <w:p w14:paraId="000000F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2731780.43</w:t>
            </w:r>
          </w:p>
        </w:tc>
      </w:tr>
      <w:tr>
        <w:trPr>
          <w:wAfter w:w="0" w:type="dxa"/>
          <w:trHeight w:val="300" w:hRule="atLeast"/>
        </w:trPr>
        <w:tc>
          <w:tcPr>
            <w:cnfStyle w:val="001000010000"/>
            <w:tcW w:w="1843" w:type="dxa"/>
            <w:noWrap w:val="on"/>
            <w:shd w:val="clear" w:color="auto" w:fill="auto"/>
          </w:tcPr>
          <w:p w14:paraId="000000F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50</w:t>
            </w:r>
          </w:p>
        </w:tc>
        <w:tc>
          <w:tcPr>
            <w:cnfStyle w:val="000000010000"/>
            <w:tcW w:w="3119" w:type="dxa"/>
            <w:noWrap w:val="on"/>
            <w:shd w:val="clear" w:color="auto" w:fill="auto"/>
          </w:tcPr>
          <w:p w14:paraId="000000F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995760.89</w:t>
            </w:r>
          </w:p>
        </w:tc>
        <w:tc>
          <w:tcPr>
            <w:cnfStyle w:val="000000010000"/>
            <w:tcW w:w="2409" w:type="dxa"/>
            <w:noWrap w:val="on"/>
            <w:shd w:val="clear" w:color="auto" w:fill="auto"/>
          </w:tcPr>
          <w:p w14:paraId="000000F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2731651.99</w:t>
            </w:r>
          </w:p>
        </w:tc>
      </w:tr>
      <w:tr>
        <w:trPr>
          <w:wAfter w:w="0" w:type="dxa"/>
          <w:trHeight w:val="300" w:hRule="atLeast"/>
        </w:trPr>
        <w:tc>
          <w:tcPr>
            <w:cnfStyle w:val="001000100000"/>
            <w:tcW w:w="1843" w:type="dxa"/>
            <w:noWrap w:val="on"/>
            <w:shd w:val="clear" w:color="auto" w:fill="auto"/>
          </w:tcPr>
          <w:p w14:paraId="000000F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51</w:t>
            </w:r>
          </w:p>
        </w:tc>
        <w:tc>
          <w:tcPr>
            <w:cnfStyle w:val="000000100000"/>
            <w:tcW w:w="3119" w:type="dxa"/>
            <w:noWrap w:val="on"/>
            <w:shd w:val="clear" w:color="auto" w:fill="auto"/>
          </w:tcPr>
          <w:p w14:paraId="000000F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995745.02</w:t>
            </w:r>
          </w:p>
        </w:tc>
        <w:tc>
          <w:tcPr>
            <w:cnfStyle w:val="000000100000"/>
            <w:tcW w:w="2409" w:type="dxa"/>
            <w:noWrap w:val="on"/>
            <w:shd w:val="clear" w:color="auto" w:fill="auto"/>
          </w:tcPr>
          <w:p w14:paraId="000000F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2731635.96</w:t>
            </w:r>
          </w:p>
        </w:tc>
      </w:tr>
      <w:tr>
        <w:trPr>
          <w:wAfter w:w="0" w:type="dxa"/>
          <w:trHeight w:val="300" w:hRule="atLeast"/>
        </w:trPr>
        <w:tc>
          <w:tcPr>
            <w:cnfStyle w:val="001000010000"/>
            <w:tcW w:w="1843" w:type="dxa"/>
            <w:noWrap w:val="on"/>
            <w:shd w:val="clear" w:color="auto" w:fill="auto"/>
          </w:tcPr>
          <w:p w14:paraId="000000F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52</w:t>
            </w:r>
          </w:p>
        </w:tc>
        <w:tc>
          <w:tcPr>
            <w:cnfStyle w:val="000000010000"/>
            <w:tcW w:w="3119" w:type="dxa"/>
            <w:noWrap w:val="on"/>
            <w:shd w:val="clear" w:color="auto" w:fill="auto"/>
          </w:tcPr>
          <w:p w14:paraId="0000010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995745.63</w:t>
            </w:r>
          </w:p>
        </w:tc>
        <w:tc>
          <w:tcPr>
            <w:cnfStyle w:val="000000010000"/>
            <w:tcW w:w="2409" w:type="dxa"/>
            <w:noWrap w:val="on"/>
            <w:shd w:val="clear" w:color="auto" w:fill="auto"/>
          </w:tcPr>
          <w:p w14:paraId="0000010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2731550.84</w:t>
            </w:r>
          </w:p>
        </w:tc>
      </w:tr>
      <w:tr>
        <w:trPr>
          <w:wAfter w:w="0" w:type="dxa"/>
          <w:trHeight w:val="300" w:hRule="atLeast"/>
        </w:trPr>
        <w:tc>
          <w:tcPr>
            <w:cnfStyle w:val="001000100000"/>
            <w:tcW w:w="1843" w:type="dxa"/>
            <w:noWrap w:val="on"/>
            <w:shd w:val="clear" w:color="auto" w:fill="auto"/>
          </w:tcPr>
          <w:p w14:paraId="0000010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53</w:t>
            </w:r>
          </w:p>
        </w:tc>
        <w:tc>
          <w:tcPr>
            <w:cnfStyle w:val="000000100000"/>
            <w:tcW w:w="3119" w:type="dxa"/>
            <w:noWrap w:val="on"/>
            <w:shd w:val="clear" w:color="auto" w:fill="auto"/>
          </w:tcPr>
          <w:p w14:paraId="0000010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995745.82</w:t>
            </w:r>
          </w:p>
        </w:tc>
        <w:tc>
          <w:tcPr>
            <w:cnfStyle w:val="000000100000"/>
            <w:tcW w:w="2409" w:type="dxa"/>
            <w:noWrap w:val="on"/>
            <w:shd w:val="clear" w:color="auto" w:fill="auto"/>
          </w:tcPr>
          <w:p w14:paraId="0000010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2731524.27</w:t>
            </w:r>
          </w:p>
        </w:tc>
      </w:tr>
      <w:tr>
        <w:trPr>
          <w:wAfter w:w="0" w:type="dxa"/>
          <w:trHeight w:val="300" w:hRule="atLeast"/>
        </w:trPr>
        <w:tc>
          <w:tcPr>
            <w:cnfStyle w:val="001000010000"/>
            <w:tcW w:w="1843" w:type="dxa"/>
            <w:noWrap w:val="on"/>
            <w:shd w:val="clear" w:color="auto" w:fill="auto"/>
          </w:tcPr>
          <w:p w14:paraId="0000010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54</w:t>
            </w:r>
          </w:p>
        </w:tc>
        <w:tc>
          <w:tcPr>
            <w:cnfStyle w:val="000000010000"/>
            <w:tcW w:w="3119" w:type="dxa"/>
            <w:noWrap w:val="on"/>
            <w:shd w:val="clear" w:color="auto" w:fill="auto"/>
          </w:tcPr>
          <w:p w14:paraId="0000010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995734.39</w:t>
            </w:r>
          </w:p>
        </w:tc>
        <w:tc>
          <w:tcPr>
            <w:cnfStyle w:val="000000010000"/>
            <w:tcW w:w="2409" w:type="dxa"/>
            <w:noWrap w:val="on"/>
            <w:shd w:val="clear" w:color="auto" w:fill="auto"/>
          </w:tcPr>
          <w:p w14:paraId="0000010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2731521.68</w:t>
            </w:r>
          </w:p>
        </w:tc>
      </w:tr>
      <w:tr>
        <w:trPr>
          <w:wAfter w:w="0" w:type="dxa"/>
          <w:trHeight w:val="300" w:hRule="atLeast"/>
        </w:trPr>
        <w:tc>
          <w:tcPr>
            <w:cnfStyle w:val="001000100000"/>
            <w:tcW w:w="1843" w:type="dxa"/>
            <w:noWrap w:val="on"/>
            <w:shd w:val="clear" w:color="auto" w:fill="auto"/>
          </w:tcPr>
          <w:p w14:paraId="0000010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55</w:t>
            </w:r>
          </w:p>
        </w:tc>
        <w:tc>
          <w:tcPr>
            <w:cnfStyle w:val="000000100000"/>
            <w:tcW w:w="3119" w:type="dxa"/>
            <w:noWrap w:val="on"/>
            <w:shd w:val="clear" w:color="auto" w:fill="auto"/>
          </w:tcPr>
          <w:p w14:paraId="0000010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995694.28</w:t>
            </w:r>
          </w:p>
        </w:tc>
        <w:tc>
          <w:tcPr>
            <w:cnfStyle w:val="000000100000"/>
            <w:tcW w:w="2409" w:type="dxa"/>
            <w:noWrap w:val="on"/>
            <w:shd w:val="clear" w:color="auto" w:fill="auto"/>
          </w:tcPr>
          <w:p w14:paraId="0000010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2731512.81</w:t>
            </w:r>
          </w:p>
        </w:tc>
      </w:tr>
      <w:tr>
        <w:trPr>
          <w:wAfter w:w="0" w:type="dxa"/>
          <w:trHeight w:val="300" w:hRule="atLeast"/>
        </w:trPr>
        <w:tc>
          <w:tcPr>
            <w:cnfStyle w:val="001000010000"/>
            <w:tcW w:w="1843" w:type="dxa"/>
            <w:noWrap w:val="on"/>
            <w:shd w:val="clear" w:color="auto" w:fill="auto"/>
          </w:tcPr>
          <w:p w14:paraId="0000010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56</w:t>
            </w:r>
          </w:p>
        </w:tc>
        <w:tc>
          <w:tcPr>
            <w:cnfStyle w:val="000000010000"/>
            <w:tcW w:w="3119" w:type="dxa"/>
            <w:noWrap w:val="on"/>
            <w:shd w:val="clear" w:color="auto" w:fill="auto"/>
          </w:tcPr>
          <w:p w14:paraId="0000010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995695.78</w:t>
            </w:r>
          </w:p>
        </w:tc>
        <w:tc>
          <w:tcPr>
            <w:cnfStyle w:val="000000010000"/>
            <w:tcW w:w="2409" w:type="dxa"/>
            <w:noWrap w:val="on"/>
            <w:shd w:val="clear" w:color="auto" w:fill="auto"/>
          </w:tcPr>
          <w:p w14:paraId="0000010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2731503.10</w:t>
            </w:r>
          </w:p>
        </w:tc>
      </w:tr>
      <w:tr>
        <w:trPr>
          <w:wAfter w:w="0" w:type="dxa"/>
          <w:trHeight w:val="300" w:hRule="atLeast"/>
        </w:trPr>
        <w:tc>
          <w:tcPr>
            <w:cnfStyle w:val="001000100000"/>
            <w:tcW w:w="1843" w:type="dxa"/>
            <w:noWrap w:val="on"/>
            <w:shd w:val="clear" w:color="auto" w:fill="auto"/>
          </w:tcPr>
          <w:p w14:paraId="0000010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57</w:t>
            </w:r>
          </w:p>
        </w:tc>
        <w:tc>
          <w:tcPr>
            <w:cnfStyle w:val="000000100000"/>
            <w:tcW w:w="3119" w:type="dxa"/>
            <w:noWrap w:val="on"/>
            <w:shd w:val="clear" w:color="auto" w:fill="auto"/>
          </w:tcPr>
          <w:p w14:paraId="0000010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995708.72</w:t>
            </w:r>
          </w:p>
        </w:tc>
        <w:tc>
          <w:tcPr>
            <w:cnfStyle w:val="000000100000"/>
            <w:tcW w:w="2409" w:type="dxa"/>
            <w:noWrap w:val="on"/>
            <w:shd w:val="clear" w:color="auto" w:fill="auto"/>
          </w:tcPr>
          <w:p w14:paraId="0000011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2731489.94</w:t>
            </w:r>
          </w:p>
        </w:tc>
      </w:tr>
      <w:tr>
        <w:trPr>
          <w:wAfter w:w="0" w:type="dxa"/>
          <w:trHeight w:val="300" w:hRule="atLeast"/>
        </w:trPr>
        <w:tc>
          <w:tcPr>
            <w:cnfStyle w:val="001000010000"/>
            <w:tcW w:w="1843" w:type="dxa"/>
            <w:noWrap w:val="on"/>
            <w:shd w:val="clear" w:color="auto" w:fill="auto"/>
          </w:tcPr>
          <w:p w14:paraId="0000011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58</w:t>
            </w:r>
          </w:p>
        </w:tc>
        <w:tc>
          <w:tcPr>
            <w:cnfStyle w:val="000000010000"/>
            <w:tcW w:w="3119" w:type="dxa"/>
            <w:noWrap w:val="on"/>
            <w:shd w:val="clear" w:color="auto" w:fill="auto"/>
          </w:tcPr>
          <w:p w14:paraId="0000011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995709.25</w:t>
            </w:r>
          </w:p>
        </w:tc>
        <w:tc>
          <w:tcPr>
            <w:cnfStyle w:val="000000010000"/>
            <w:tcW w:w="2409" w:type="dxa"/>
            <w:noWrap w:val="on"/>
            <w:shd w:val="clear" w:color="auto" w:fill="auto"/>
          </w:tcPr>
          <w:p w14:paraId="0000011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2731259.72</w:t>
            </w:r>
          </w:p>
        </w:tc>
      </w:tr>
      <w:tr>
        <w:trPr>
          <w:wAfter w:w="0" w:type="dxa"/>
          <w:trHeight w:val="300" w:hRule="atLeast"/>
        </w:trPr>
        <w:tc>
          <w:tcPr>
            <w:cnfStyle w:val="001000100000"/>
            <w:tcW w:w="1843" w:type="dxa"/>
            <w:noWrap w:val="on"/>
            <w:shd w:val="clear" w:color="auto" w:fill="auto"/>
          </w:tcPr>
          <w:p w14:paraId="0000011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59</w:t>
            </w:r>
          </w:p>
        </w:tc>
        <w:tc>
          <w:tcPr>
            <w:cnfStyle w:val="000000100000"/>
            <w:tcW w:w="3119" w:type="dxa"/>
            <w:noWrap w:val="on"/>
            <w:shd w:val="clear" w:color="auto" w:fill="auto"/>
          </w:tcPr>
          <w:p w14:paraId="0000011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995706.22</w:t>
            </w:r>
          </w:p>
        </w:tc>
        <w:tc>
          <w:tcPr>
            <w:cnfStyle w:val="000000100000"/>
            <w:tcW w:w="2409" w:type="dxa"/>
            <w:noWrap w:val="on"/>
            <w:shd w:val="clear" w:color="auto" w:fill="auto"/>
          </w:tcPr>
          <w:p w14:paraId="0000011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2731222.51</w:t>
            </w:r>
          </w:p>
        </w:tc>
      </w:tr>
      <w:tr>
        <w:trPr>
          <w:wAfter w:w="0" w:type="dxa"/>
          <w:trHeight w:val="300" w:hRule="atLeast"/>
        </w:trPr>
        <w:tc>
          <w:tcPr>
            <w:cnfStyle w:val="001000010000"/>
            <w:tcW w:w="1843" w:type="dxa"/>
            <w:noWrap w:val="on"/>
            <w:shd w:val="clear" w:color="auto" w:fill="auto"/>
          </w:tcPr>
          <w:p w14:paraId="0000011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60</w:t>
            </w:r>
          </w:p>
        </w:tc>
        <w:tc>
          <w:tcPr>
            <w:cnfStyle w:val="000000010000"/>
            <w:tcW w:w="3119" w:type="dxa"/>
            <w:noWrap w:val="on"/>
            <w:shd w:val="clear" w:color="auto" w:fill="auto"/>
          </w:tcPr>
          <w:p w14:paraId="0000011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995707.23</w:t>
            </w:r>
          </w:p>
        </w:tc>
        <w:tc>
          <w:tcPr>
            <w:cnfStyle w:val="000000010000"/>
            <w:tcW w:w="2409" w:type="dxa"/>
            <w:noWrap w:val="on"/>
            <w:shd w:val="clear" w:color="auto" w:fill="auto"/>
          </w:tcPr>
          <w:p w14:paraId="0000011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2731194.42</w:t>
            </w:r>
          </w:p>
        </w:tc>
      </w:tr>
      <w:tr>
        <w:trPr>
          <w:wAfter w:w="0" w:type="dxa"/>
          <w:trHeight w:val="300" w:hRule="atLeast"/>
        </w:trPr>
        <w:tc>
          <w:tcPr>
            <w:cnfStyle w:val="001000100000"/>
            <w:tcW w:w="1843" w:type="dxa"/>
            <w:noWrap w:val="on"/>
            <w:shd w:val="clear" w:color="auto" w:fill="auto"/>
          </w:tcPr>
          <w:p w14:paraId="0000011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61</w:t>
            </w:r>
          </w:p>
        </w:tc>
        <w:tc>
          <w:tcPr>
            <w:cnfStyle w:val="000000100000"/>
            <w:tcW w:w="3119" w:type="dxa"/>
            <w:noWrap w:val="on"/>
            <w:shd w:val="clear" w:color="auto" w:fill="auto"/>
          </w:tcPr>
          <w:p w14:paraId="0000011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995707.68</w:t>
            </w:r>
          </w:p>
        </w:tc>
        <w:tc>
          <w:tcPr>
            <w:cnfStyle w:val="000000100000"/>
            <w:tcW w:w="2409" w:type="dxa"/>
            <w:noWrap w:val="on"/>
            <w:shd w:val="clear" w:color="auto" w:fill="auto"/>
          </w:tcPr>
          <w:p w14:paraId="0000011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2731182.09</w:t>
            </w:r>
          </w:p>
        </w:tc>
      </w:tr>
      <w:tr>
        <w:trPr>
          <w:wAfter w:w="0" w:type="dxa"/>
          <w:trHeight w:val="300" w:hRule="atLeast"/>
        </w:trPr>
        <w:tc>
          <w:tcPr>
            <w:cnfStyle w:val="001000010000"/>
            <w:tcW w:w="1843" w:type="dxa"/>
            <w:noWrap w:val="on"/>
            <w:shd w:val="clear" w:color="auto" w:fill="auto"/>
          </w:tcPr>
          <w:p w14:paraId="0000011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62</w:t>
            </w:r>
          </w:p>
        </w:tc>
        <w:tc>
          <w:tcPr>
            <w:cnfStyle w:val="000000010000"/>
            <w:tcW w:w="3119" w:type="dxa"/>
            <w:noWrap w:val="on"/>
            <w:shd w:val="clear" w:color="auto" w:fill="auto"/>
          </w:tcPr>
          <w:p w14:paraId="0000011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995710.96</w:t>
            </w:r>
          </w:p>
        </w:tc>
        <w:tc>
          <w:tcPr>
            <w:cnfStyle w:val="000000010000"/>
            <w:tcW w:w="2409" w:type="dxa"/>
            <w:noWrap w:val="on"/>
            <w:shd w:val="clear" w:color="auto" w:fill="auto"/>
          </w:tcPr>
          <w:p w14:paraId="0000011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2731157.05</w:t>
            </w:r>
          </w:p>
        </w:tc>
      </w:tr>
      <w:tr>
        <w:trPr>
          <w:wAfter w:w="0" w:type="dxa"/>
          <w:trHeight w:val="300" w:hRule="atLeast"/>
        </w:trPr>
        <w:tc>
          <w:tcPr>
            <w:cnfStyle w:val="001000100000"/>
            <w:tcW w:w="1843" w:type="dxa"/>
            <w:noWrap w:val="on"/>
            <w:shd w:val="clear" w:color="auto" w:fill="auto"/>
          </w:tcPr>
          <w:p w14:paraId="0000012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63</w:t>
            </w:r>
          </w:p>
        </w:tc>
        <w:tc>
          <w:tcPr>
            <w:cnfStyle w:val="000000100000"/>
            <w:tcW w:w="3119" w:type="dxa"/>
            <w:noWrap w:val="on"/>
            <w:shd w:val="clear" w:color="auto" w:fill="auto"/>
          </w:tcPr>
          <w:p w14:paraId="0000012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995711.43</w:t>
            </w:r>
          </w:p>
        </w:tc>
        <w:tc>
          <w:tcPr>
            <w:cnfStyle w:val="000000100000"/>
            <w:tcW w:w="2409" w:type="dxa"/>
            <w:noWrap w:val="on"/>
            <w:shd w:val="clear" w:color="auto" w:fill="auto"/>
          </w:tcPr>
          <w:p w14:paraId="0000012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2731073.44</w:t>
            </w:r>
          </w:p>
        </w:tc>
      </w:tr>
      <w:tr>
        <w:trPr>
          <w:wAfter w:w="0" w:type="dxa"/>
          <w:trHeight w:val="300" w:hRule="atLeast"/>
        </w:trPr>
        <w:tc>
          <w:tcPr>
            <w:cnfStyle w:val="001000010000"/>
            <w:tcW w:w="1843" w:type="dxa"/>
            <w:noWrap w:val="on"/>
            <w:shd w:val="clear" w:color="auto" w:fill="auto"/>
          </w:tcPr>
          <w:p w14:paraId="0000012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64</w:t>
            </w:r>
          </w:p>
        </w:tc>
        <w:tc>
          <w:tcPr>
            <w:cnfStyle w:val="000000010000"/>
            <w:tcW w:w="3119" w:type="dxa"/>
            <w:noWrap w:val="on"/>
            <w:shd w:val="clear" w:color="auto" w:fill="auto"/>
          </w:tcPr>
          <w:p w14:paraId="0000012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995727.74</w:t>
            </w:r>
          </w:p>
        </w:tc>
        <w:tc>
          <w:tcPr>
            <w:cnfStyle w:val="000000010000"/>
            <w:tcW w:w="2409" w:type="dxa"/>
            <w:noWrap w:val="on"/>
            <w:shd w:val="clear" w:color="auto" w:fill="auto"/>
          </w:tcPr>
          <w:p w14:paraId="0000012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2731020.87</w:t>
            </w:r>
          </w:p>
        </w:tc>
      </w:tr>
      <w:tr>
        <w:trPr>
          <w:wAfter w:w="0" w:type="dxa"/>
          <w:trHeight w:val="300" w:hRule="atLeast"/>
        </w:trPr>
        <w:tc>
          <w:tcPr>
            <w:cnfStyle w:val="001000100000"/>
            <w:tcW w:w="1843" w:type="dxa"/>
            <w:noWrap w:val="on"/>
            <w:shd w:val="clear" w:color="auto" w:fill="auto"/>
          </w:tcPr>
          <w:p w14:paraId="0000012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65</w:t>
            </w:r>
          </w:p>
        </w:tc>
        <w:tc>
          <w:tcPr>
            <w:cnfStyle w:val="000000100000"/>
            <w:tcW w:w="3119" w:type="dxa"/>
            <w:noWrap w:val="on"/>
            <w:shd w:val="clear" w:color="auto" w:fill="auto"/>
          </w:tcPr>
          <w:p w14:paraId="0000012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995772.89</w:t>
            </w:r>
          </w:p>
        </w:tc>
        <w:tc>
          <w:tcPr>
            <w:cnfStyle w:val="000000100000"/>
            <w:tcW w:w="2409" w:type="dxa"/>
            <w:noWrap w:val="on"/>
            <w:shd w:val="clear" w:color="auto" w:fill="auto"/>
          </w:tcPr>
          <w:p w14:paraId="0000012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2730978.42</w:t>
            </w:r>
          </w:p>
        </w:tc>
      </w:tr>
      <w:tr>
        <w:trPr>
          <w:wAfter w:w="0" w:type="dxa"/>
          <w:trHeight w:val="300" w:hRule="atLeast"/>
        </w:trPr>
        <w:tc>
          <w:tcPr>
            <w:cnfStyle w:val="001000010000"/>
            <w:tcW w:w="1843" w:type="dxa"/>
            <w:noWrap w:val="on"/>
            <w:shd w:val="clear" w:color="auto" w:fill="auto"/>
          </w:tcPr>
          <w:p w14:paraId="0000012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66</w:t>
            </w:r>
          </w:p>
        </w:tc>
        <w:tc>
          <w:tcPr>
            <w:cnfStyle w:val="000000010000"/>
            <w:tcW w:w="3119" w:type="dxa"/>
            <w:noWrap w:val="on"/>
            <w:shd w:val="clear" w:color="auto" w:fill="auto"/>
          </w:tcPr>
          <w:p w14:paraId="0000012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995837.85</w:t>
            </w:r>
          </w:p>
        </w:tc>
        <w:tc>
          <w:tcPr>
            <w:cnfStyle w:val="000000010000"/>
            <w:tcW w:w="2409" w:type="dxa"/>
            <w:noWrap w:val="on"/>
            <w:shd w:val="clear" w:color="auto" w:fill="auto"/>
          </w:tcPr>
          <w:p w14:paraId="0000012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2730960.47</w:t>
            </w:r>
          </w:p>
        </w:tc>
      </w:tr>
      <w:tr>
        <w:trPr>
          <w:wAfter w:w="0" w:type="dxa"/>
          <w:trHeight w:val="300" w:hRule="atLeast"/>
        </w:trPr>
        <w:tc>
          <w:tcPr>
            <w:cnfStyle w:val="001000100000"/>
            <w:tcW w:w="1843" w:type="dxa"/>
            <w:noWrap w:val="on"/>
            <w:shd w:val="clear" w:color="auto" w:fill="auto"/>
          </w:tcPr>
          <w:p w14:paraId="0000012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67</w:t>
            </w:r>
          </w:p>
        </w:tc>
        <w:tc>
          <w:tcPr>
            <w:cnfStyle w:val="000000100000"/>
            <w:tcW w:w="3119" w:type="dxa"/>
            <w:noWrap w:val="on"/>
            <w:shd w:val="clear" w:color="auto" w:fill="auto"/>
          </w:tcPr>
          <w:p w14:paraId="0000012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995848.04</w:t>
            </w:r>
          </w:p>
        </w:tc>
        <w:tc>
          <w:tcPr>
            <w:cnfStyle w:val="000000100000"/>
            <w:tcW w:w="2409" w:type="dxa"/>
            <w:noWrap w:val="on"/>
            <w:shd w:val="clear" w:color="auto" w:fill="auto"/>
          </w:tcPr>
          <w:p w14:paraId="0000012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2730960.53</w:t>
            </w:r>
          </w:p>
        </w:tc>
      </w:tr>
      <w:tr>
        <w:trPr>
          <w:wAfter w:w="0" w:type="dxa"/>
          <w:trHeight w:val="300" w:hRule="atLeast"/>
        </w:trPr>
        <w:tc>
          <w:tcPr>
            <w:cnfStyle w:val="001000010000"/>
            <w:tcW w:w="1843" w:type="dxa"/>
            <w:noWrap w:val="on"/>
            <w:shd w:val="clear" w:color="auto" w:fill="auto"/>
          </w:tcPr>
          <w:p w14:paraId="0000012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68</w:t>
            </w:r>
          </w:p>
        </w:tc>
        <w:tc>
          <w:tcPr>
            <w:cnfStyle w:val="000000010000"/>
            <w:tcW w:w="3119" w:type="dxa"/>
            <w:noWrap w:val="on"/>
            <w:shd w:val="clear" w:color="auto" w:fill="auto"/>
          </w:tcPr>
          <w:p w14:paraId="0000013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995846.73</w:t>
            </w:r>
          </w:p>
        </w:tc>
        <w:tc>
          <w:tcPr>
            <w:cnfStyle w:val="000000010000"/>
            <w:tcW w:w="2409" w:type="dxa"/>
            <w:noWrap w:val="on"/>
            <w:shd w:val="clear" w:color="auto" w:fill="auto"/>
          </w:tcPr>
          <w:p w14:paraId="0000013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2730942.53</w:t>
            </w:r>
          </w:p>
        </w:tc>
      </w:tr>
      <w:tr>
        <w:trPr>
          <w:wAfter w:w="0" w:type="dxa"/>
          <w:trHeight w:val="300" w:hRule="atLeast"/>
        </w:trPr>
        <w:tc>
          <w:tcPr>
            <w:cnfStyle w:val="001000100000"/>
            <w:tcW w:w="1843" w:type="dxa"/>
            <w:noWrap w:val="on"/>
            <w:shd w:val="clear" w:color="auto" w:fill="auto"/>
          </w:tcPr>
          <w:p w14:paraId="0000013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69</w:t>
            </w:r>
          </w:p>
        </w:tc>
        <w:tc>
          <w:tcPr>
            <w:cnfStyle w:val="000000100000"/>
            <w:tcW w:w="3119" w:type="dxa"/>
            <w:noWrap w:val="on"/>
            <w:shd w:val="clear" w:color="auto" w:fill="auto"/>
          </w:tcPr>
          <w:p w14:paraId="0000013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996000.99</w:t>
            </w:r>
          </w:p>
        </w:tc>
        <w:tc>
          <w:tcPr>
            <w:cnfStyle w:val="000000100000"/>
            <w:tcW w:w="2409" w:type="dxa"/>
            <w:noWrap w:val="on"/>
            <w:shd w:val="clear" w:color="auto" w:fill="auto"/>
          </w:tcPr>
          <w:p w14:paraId="0000013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2730931.64</w:t>
            </w:r>
          </w:p>
        </w:tc>
      </w:tr>
      <w:tr>
        <w:trPr>
          <w:wAfter w:w="0" w:type="dxa"/>
          <w:trHeight w:val="300" w:hRule="atLeast"/>
        </w:trPr>
        <w:tc>
          <w:tcPr>
            <w:cnfStyle w:val="001000010000"/>
            <w:tcW w:w="1843" w:type="dxa"/>
            <w:noWrap w:val="on"/>
            <w:shd w:val="clear" w:color="auto" w:fill="auto"/>
          </w:tcPr>
          <w:p w14:paraId="0000013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70</w:t>
            </w:r>
          </w:p>
        </w:tc>
        <w:tc>
          <w:tcPr>
            <w:cnfStyle w:val="000000010000"/>
            <w:tcW w:w="3119" w:type="dxa"/>
            <w:noWrap w:val="on"/>
            <w:shd w:val="clear" w:color="auto" w:fill="auto"/>
          </w:tcPr>
          <w:p w14:paraId="0000013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996000.51</w:t>
            </w:r>
          </w:p>
        </w:tc>
        <w:tc>
          <w:tcPr>
            <w:cnfStyle w:val="000000010000"/>
            <w:tcW w:w="2409" w:type="dxa"/>
            <w:noWrap w:val="on"/>
            <w:shd w:val="clear" w:color="auto" w:fill="auto"/>
          </w:tcPr>
          <w:p w14:paraId="0000013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2730918.87</w:t>
            </w:r>
          </w:p>
        </w:tc>
      </w:tr>
      <w:tr>
        <w:trPr>
          <w:wAfter w:w="0" w:type="dxa"/>
          <w:trHeight w:val="300" w:hRule="atLeast"/>
        </w:trPr>
        <w:tc>
          <w:tcPr>
            <w:cnfStyle w:val="001000100000"/>
            <w:tcW w:w="1843" w:type="dxa"/>
            <w:noWrap w:val="on"/>
            <w:shd w:val="clear" w:color="auto" w:fill="auto"/>
          </w:tcPr>
          <w:p w14:paraId="0000013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71</w:t>
            </w:r>
          </w:p>
        </w:tc>
        <w:tc>
          <w:tcPr>
            <w:cnfStyle w:val="000000100000"/>
            <w:tcW w:w="3119" w:type="dxa"/>
            <w:noWrap w:val="on"/>
            <w:shd w:val="clear" w:color="auto" w:fill="auto"/>
          </w:tcPr>
          <w:p w14:paraId="0000013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996002.23</w:t>
            </w:r>
          </w:p>
        </w:tc>
        <w:tc>
          <w:tcPr>
            <w:cnfStyle w:val="000000100000"/>
            <w:tcW w:w="2409" w:type="dxa"/>
            <w:noWrap w:val="on"/>
            <w:shd w:val="clear" w:color="auto" w:fill="auto"/>
          </w:tcPr>
          <w:p w14:paraId="0000013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2730918.67</w:t>
            </w:r>
          </w:p>
        </w:tc>
      </w:tr>
      <w:tr>
        <w:trPr>
          <w:wAfter w:w="0" w:type="dxa"/>
          <w:trHeight w:val="300" w:hRule="atLeast"/>
        </w:trPr>
        <w:tc>
          <w:tcPr>
            <w:cnfStyle w:val="001000010000"/>
            <w:tcW w:w="1843" w:type="dxa"/>
            <w:noWrap w:val="on"/>
            <w:shd w:val="clear" w:color="auto" w:fill="auto"/>
          </w:tcPr>
          <w:p w14:paraId="0000013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72</w:t>
            </w:r>
          </w:p>
        </w:tc>
        <w:tc>
          <w:tcPr>
            <w:cnfStyle w:val="000000010000"/>
            <w:tcW w:w="3119" w:type="dxa"/>
            <w:noWrap w:val="on"/>
            <w:shd w:val="clear" w:color="auto" w:fill="auto"/>
          </w:tcPr>
          <w:p w14:paraId="0000013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996010.95</w:t>
            </w:r>
          </w:p>
        </w:tc>
        <w:tc>
          <w:tcPr>
            <w:cnfStyle w:val="000000010000"/>
            <w:tcW w:w="2409" w:type="dxa"/>
            <w:noWrap w:val="on"/>
            <w:shd w:val="clear" w:color="auto" w:fill="auto"/>
          </w:tcPr>
          <w:p w14:paraId="0000013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2730917.68</w:t>
            </w:r>
          </w:p>
        </w:tc>
      </w:tr>
      <w:tr>
        <w:trPr>
          <w:wAfter w:w="0" w:type="dxa"/>
          <w:trHeight w:val="300" w:hRule="atLeast"/>
        </w:trPr>
        <w:tc>
          <w:tcPr>
            <w:cnfStyle w:val="001000100000"/>
            <w:tcW w:w="1843" w:type="dxa"/>
            <w:noWrap w:val="on"/>
            <w:shd w:val="clear" w:color="auto" w:fill="auto"/>
          </w:tcPr>
          <w:p w14:paraId="0000013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73</w:t>
            </w:r>
          </w:p>
        </w:tc>
        <w:tc>
          <w:tcPr>
            <w:cnfStyle w:val="000000100000"/>
            <w:tcW w:w="3119" w:type="dxa"/>
            <w:noWrap w:val="on"/>
            <w:shd w:val="clear" w:color="auto" w:fill="auto"/>
          </w:tcPr>
          <w:p w14:paraId="0000013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996009.70</w:t>
            </w:r>
          </w:p>
        </w:tc>
        <w:tc>
          <w:tcPr>
            <w:cnfStyle w:val="000000100000"/>
            <w:tcW w:w="2409" w:type="dxa"/>
            <w:noWrap w:val="on"/>
            <w:shd w:val="clear" w:color="auto" w:fill="auto"/>
          </w:tcPr>
          <w:p w14:paraId="0000014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2730890.42</w:t>
            </w:r>
          </w:p>
        </w:tc>
      </w:tr>
      <w:tr>
        <w:trPr>
          <w:wAfter w:w="0" w:type="dxa"/>
          <w:trHeight w:val="300" w:hRule="atLeast"/>
        </w:trPr>
        <w:tc>
          <w:tcPr>
            <w:cnfStyle w:val="001000010000"/>
            <w:tcW w:w="1843" w:type="dxa"/>
            <w:noWrap w:val="on"/>
            <w:shd w:val="clear" w:color="auto" w:fill="auto"/>
          </w:tcPr>
          <w:p w14:paraId="0000014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74</w:t>
            </w:r>
          </w:p>
        </w:tc>
        <w:tc>
          <w:tcPr>
            <w:cnfStyle w:val="000000010000"/>
            <w:tcW w:w="3119" w:type="dxa"/>
            <w:noWrap w:val="on"/>
            <w:shd w:val="clear" w:color="auto" w:fill="auto"/>
          </w:tcPr>
          <w:p w14:paraId="0000014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996071.75</w:t>
            </w:r>
          </w:p>
        </w:tc>
        <w:tc>
          <w:tcPr>
            <w:cnfStyle w:val="000000010000"/>
            <w:tcW w:w="2409" w:type="dxa"/>
            <w:noWrap w:val="on"/>
            <w:shd w:val="clear" w:color="auto" w:fill="auto"/>
          </w:tcPr>
          <w:p w14:paraId="0000014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2730826.14</w:t>
            </w:r>
          </w:p>
        </w:tc>
      </w:tr>
      <w:tr>
        <w:trPr>
          <w:wAfter w:w="0" w:type="dxa"/>
          <w:trHeight w:val="300" w:hRule="atLeast"/>
        </w:trPr>
        <w:tc>
          <w:tcPr>
            <w:cnfStyle w:val="001000100000"/>
            <w:tcW w:w="1843" w:type="dxa"/>
            <w:noWrap w:val="on"/>
            <w:shd w:val="clear" w:color="auto" w:fill="auto"/>
          </w:tcPr>
          <w:p w14:paraId="0000014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75</w:t>
            </w:r>
          </w:p>
        </w:tc>
        <w:tc>
          <w:tcPr>
            <w:cnfStyle w:val="000000100000"/>
            <w:tcW w:w="3119" w:type="dxa"/>
            <w:noWrap w:val="on"/>
            <w:shd w:val="clear" w:color="auto" w:fill="auto"/>
          </w:tcPr>
          <w:p w14:paraId="0000014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996095.66</w:t>
            </w:r>
          </w:p>
        </w:tc>
        <w:tc>
          <w:tcPr>
            <w:cnfStyle w:val="000000100000"/>
            <w:tcW w:w="2409" w:type="dxa"/>
            <w:noWrap w:val="on"/>
            <w:shd w:val="clear" w:color="auto" w:fill="auto"/>
          </w:tcPr>
          <w:p w14:paraId="0000014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2730844.86</w:t>
            </w:r>
          </w:p>
        </w:tc>
      </w:tr>
      <w:tr>
        <w:trPr>
          <w:wAfter w:w="0" w:type="dxa"/>
          <w:trHeight w:val="300" w:hRule="atLeast"/>
        </w:trPr>
        <w:tc>
          <w:tcPr>
            <w:cnfStyle w:val="001000010000"/>
            <w:tcW w:w="1843" w:type="dxa"/>
            <w:noWrap w:val="on"/>
            <w:shd w:val="clear" w:color="auto" w:fill="auto"/>
          </w:tcPr>
          <w:p w14:paraId="0000014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76</w:t>
            </w:r>
          </w:p>
        </w:tc>
        <w:tc>
          <w:tcPr>
            <w:cnfStyle w:val="000000010000"/>
            <w:tcW w:w="3119" w:type="dxa"/>
            <w:noWrap w:val="on"/>
            <w:shd w:val="clear" w:color="auto" w:fill="auto"/>
          </w:tcPr>
          <w:p w14:paraId="0000014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996223.94</w:t>
            </w:r>
          </w:p>
        </w:tc>
        <w:tc>
          <w:tcPr>
            <w:cnfStyle w:val="000000010000"/>
            <w:tcW w:w="2409" w:type="dxa"/>
            <w:noWrap w:val="on"/>
            <w:shd w:val="clear" w:color="auto" w:fill="auto"/>
          </w:tcPr>
          <w:p w14:paraId="0000014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2730700.65</w:t>
            </w:r>
          </w:p>
        </w:tc>
      </w:tr>
      <w:tr>
        <w:trPr>
          <w:wAfter w:w="0" w:type="dxa"/>
          <w:trHeight w:val="300" w:hRule="atLeast"/>
        </w:trPr>
        <w:tc>
          <w:tcPr>
            <w:cnfStyle w:val="001000100000"/>
            <w:tcW w:w="1843" w:type="dxa"/>
            <w:noWrap w:val="on"/>
            <w:shd w:val="clear" w:color="auto" w:fill="auto"/>
          </w:tcPr>
          <w:p w14:paraId="0000014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77</w:t>
            </w:r>
          </w:p>
        </w:tc>
        <w:tc>
          <w:tcPr>
            <w:cnfStyle w:val="000000100000"/>
            <w:tcW w:w="3119" w:type="dxa"/>
            <w:noWrap w:val="on"/>
            <w:shd w:val="clear" w:color="auto" w:fill="auto"/>
          </w:tcPr>
          <w:p w14:paraId="0000014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996524.00</w:t>
            </w:r>
          </w:p>
        </w:tc>
        <w:tc>
          <w:tcPr>
            <w:cnfStyle w:val="000000100000"/>
            <w:tcW w:w="2409" w:type="dxa"/>
            <w:noWrap w:val="on"/>
            <w:shd w:val="clear" w:color="auto" w:fill="auto"/>
          </w:tcPr>
          <w:p w14:paraId="0000014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2730967.59</w:t>
            </w:r>
          </w:p>
        </w:tc>
      </w:tr>
      <w:tr>
        <w:trPr>
          <w:wAfter w:w="0" w:type="dxa"/>
          <w:trHeight w:val="300" w:hRule="atLeast"/>
        </w:trPr>
        <w:tc>
          <w:tcPr>
            <w:cnfStyle w:val="001000010000"/>
            <w:tcW w:w="1843" w:type="dxa"/>
            <w:noWrap w:val="on"/>
            <w:shd w:val="clear" w:color="auto" w:fill="auto"/>
          </w:tcPr>
          <w:p w14:paraId="0000014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78</w:t>
            </w:r>
          </w:p>
        </w:tc>
        <w:tc>
          <w:tcPr>
            <w:cnfStyle w:val="000000010000"/>
            <w:tcW w:w="3119" w:type="dxa"/>
            <w:noWrap w:val="on"/>
            <w:shd w:val="clear" w:color="auto" w:fill="auto"/>
          </w:tcPr>
          <w:p w14:paraId="0000014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996349.20</w:t>
            </w:r>
          </w:p>
        </w:tc>
        <w:tc>
          <w:tcPr>
            <w:cnfStyle w:val="000000010000"/>
            <w:tcW w:w="2409" w:type="dxa"/>
            <w:noWrap w:val="on"/>
            <w:shd w:val="clear" w:color="auto" w:fill="auto"/>
          </w:tcPr>
          <w:p w14:paraId="0000014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2731164.08</w:t>
            </w:r>
          </w:p>
        </w:tc>
      </w:tr>
      <w:tr>
        <w:trPr>
          <w:wAfter w:w="0" w:type="dxa"/>
          <w:trHeight w:val="300" w:hRule="atLeast"/>
        </w:trPr>
        <w:tc>
          <w:tcPr>
            <w:cnfStyle w:val="001000100000"/>
            <w:tcW w:w="1843" w:type="dxa"/>
            <w:noWrap w:val="on"/>
            <w:shd w:val="clear" w:color="auto" w:fill="auto"/>
          </w:tcPr>
          <w:p w14:paraId="0000015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79</w:t>
            </w:r>
          </w:p>
        </w:tc>
        <w:tc>
          <w:tcPr>
            <w:cnfStyle w:val="000000100000"/>
            <w:tcW w:w="3119" w:type="dxa"/>
            <w:noWrap w:val="on"/>
            <w:shd w:val="clear" w:color="auto" w:fill="auto"/>
          </w:tcPr>
          <w:p w14:paraId="0000015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996237.28</w:t>
            </w:r>
          </w:p>
        </w:tc>
        <w:tc>
          <w:tcPr>
            <w:cnfStyle w:val="000000100000"/>
            <w:tcW w:w="2409" w:type="dxa"/>
            <w:noWrap w:val="on"/>
            <w:shd w:val="clear" w:color="auto" w:fill="auto"/>
          </w:tcPr>
          <w:p w14:paraId="0000015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2731064.51</w:t>
            </w:r>
          </w:p>
        </w:tc>
      </w:tr>
      <w:tr>
        <w:trPr>
          <w:wAfter w:w="0" w:type="dxa"/>
          <w:trHeight w:val="300" w:hRule="atLeast"/>
        </w:trPr>
        <w:tc>
          <w:tcPr>
            <w:cnfStyle w:val="001000010000"/>
            <w:tcW w:w="1843" w:type="dxa"/>
            <w:noWrap w:val="on"/>
            <w:shd w:val="clear" w:color="auto" w:fill="auto"/>
          </w:tcPr>
          <w:p w14:paraId="0000015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80</w:t>
            </w:r>
          </w:p>
        </w:tc>
        <w:tc>
          <w:tcPr>
            <w:cnfStyle w:val="000000010000"/>
            <w:tcW w:w="3119" w:type="dxa"/>
            <w:noWrap w:val="on"/>
            <w:shd w:val="clear" w:color="auto" w:fill="auto"/>
          </w:tcPr>
          <w:p w14:paraId="0000015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996221.41</w:t>
            </w:r>
          </w:p>
        </w:tc>
        <w:tc>
          <w:tcPr>
            <w:cnfStyle w:val="000000010000"/>
            <w:tcW w:w="2409" w:type="dxa"/>
            <w:noWrap w:val="on"/>
            <w:shd w:val="clear" w:color="auto" w:fill="auto"/>
          </w:tcPr>
          <w:p w14:paraId="0000015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2731081.20</w:t>
            </w:r>
          </w:p>
        </w:tc>
      </w:tr>
      <w:tr>
        <w:trPr>
          <w:wAfter w:w="0" w:type="dxa"/>
          <w:trHeight w:val="300" w:hRule="atLeast"/>
        </w:trPr>
        <w:tc>
          <w:tcPr>
            <w:cnfStyle w:val="001000100000"/>
            <w:tcW w:w="1843" w:type="dxa"/>
            <w:noWrap w:val="on"/>
            <w:shd w:val="clear" w:color="auto" w:fill="auto"/>
          </w:tcPr>
          <w:p w14:paraId="0000015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81</w:t>
            </w:r>
          </w:p>
        </w:tc>
        <w:tc>
          <w:tcPr>
            <w:cnfStyle w:val="000000100000"/>
            <w:tcW w:w="3119" w:type="dxa"/>
            <w:noWrap w:val="on"/>
            <w:shd w:val="clear" w:color="auto" w:fill="auto"/>
          </w:tcPr>
          <w:p w14:paraId="0000015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996106.02</w:t>
            </w:r>
          </w:p>
        </w:tc>
        <w:tc>
          <w:tcPr>
            <w:cnfStyle w:val="000000100000"/>
            <w:tcW w:w="2409" w:type="dxa"/>
            <w:noWrap w:val="on"/>
            <w:shd w:val="clear" w:color="auto" w:fill="auto"/>
          </w:tcPr>
          <w:p w14:paraId="0000015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2730978.13</w:t>
            </w:r>
          </w:p>
        </w:tc>
      </w:tr>
      <w:tr>
        <w:trPr>
          <w:wAfter w:w="0" w:type="dxa"/>
          <w:trHeight w:val="300" w:hRule="atLeast"/>
        </w:trPr>
        <w:tc>
          <w:tcPr>
            <w:cnfStyle w:val="001000010000"/>
            <w:tcW w:w="1843" w:type="dxa"/>
            <w:noWrap w:val="on"/>
            <w:shd w:val="clear" w:color="auto" w:fill="auto"/>
          </w:tcPr>
          <w:p w14:paraId="0000015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82</w:t>
            </w:r>
          </w:p>
        </w:tc>
        <w:tc>
          <w:tcPr>
            <w:cnfStyle w:val="000000010000"/>
            <w:tcW w:w="3119" w:type="dxa"/>
            <w:noWrap w:val="on"/>
            <w:shd w:val="clear" w:color="auto" w:fill="auto"/>
          </w:tcPr>
          <w:p w14:paraId="0000015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996072.24</w:t>
            </w:r>
          </w:p>
        </w:tc>
        <w:tc>
          <w:tcPr>
            <w:cnfStyle w:val="000000010000"/>
            <w:tcW w:w="2409" w:type="dxa"/>
            <w:noWrap w:val="on"/>
            <w:shd w:val="clear" w:color="auto" w:fill="auto"/>
          </w:tcPr>
          <w:p w14:paraId="0000015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2730980.96</w:t>
            </w:r>
          </w:p>
        </w:tc>
      </w:tr>
      <w:tr>
        <w:trPr>
          <w:wAfter w:w="0" w:type="dxa"/>
          <w:trHeight w:val="300" w:hRule="atLeast"/>
        </w:trPr>
        <w:tc>
          <w:tcPr>
            <w:cnfStyle w:val="001000100000"/>
            <w:tcW w:w="1843" w:type="dxa"/>
            <w:noWrap w:val="on"/>
            <w:shd w:val="clear" w:color="auto" w:fill="auto"/>
          </w:tcPr>
          <w:p w14:paraId="0000015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83</w:t>
            </w:r>
          </w:p>
        </w:tc>
        <w:tc>
          <w:tcPr>
            <w:cnfStyle w:val="000000100000"/>
            <w:tcW w:w="3119" w:type="dxa"/>
            <w:noWrap w:val="on"/>
            <w:shd w:val="clear" w:color="auto" w:fill="auto"/>
          </w:tcPr>
          <w:p w14:paraId="0000015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996043.31</w:t>
            </w:r>
          </w:p>
        </w:tc>
        <w:tc>
          <w:tcPr>
            <w:cnfStyle w:val="000000100000"/>
            <w:tcW w:w="2409" w:type="dxa"/>
            <w:noWrap w:val="on"/>
            <w:shd w:val="clear" w:color="auto" w:fill="auto"/>
          </w:tcPr>
          <w:p w14:paraId="0000015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2730983.38</w:t>
            </w:r>
          </w:p>
        </w:tc>
      </w:tr>
      <w:tr>
        <w:trPr>
          <w:wAfter w:w="0" w:type="dxa"/>
          <w:trHeight w:val="300" w:hRule="atLeast"/>
        </w:trPr>
        <w:tc>
          <w:tcPr>
            <w:cnfStyle w:val="001000010000"/>
            <w:tcW w:w="1843" w:type="dxa"/>
            <w:noWrap w:val="on"/>
            <w:shd w:val="clear" w:color="auto" w:fill="auto"/>
          </w:tcPr>
          <w:p w14:paraId="0000015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84</w:t>
            </w:r>
          </w:p>
        </w:tc>
        <w:tc>
          <w:tcPr>
            <w:cnfStyle w:val="000000010000"/>
            <w:tcW w:w="3119" w:type="dxa"/>
            <w:noWrap w:val="on"/>
            <w:shd w:val="clear" w:color="auto" w:fill="auto"/>
          </w:tcPr>
          <w:p w14:paraId="0000016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996045.42</w:t>
            </w:r>
          </w:p>
        </w:tc>
        <w:tc>
          <w:tcPr>
            <w:cnfStyle w:val="000000010000"/>
            <w:tcW w:w="2409" w:type="dxa"/>
            <w:noWrap w:val="on"/>
            <w:shd w:val="clear" w:color="auto" w:fill="auto"/>
          </w:tcPr>
          <w:p w14:paraId="0000016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2731004.98</w:t>
            </w:r>
          </w:p>
        </w:tc>
      </w:tr>
      <w:tr>
        <w:trPr>
          <w:wAfter w:w="0" w:type="dxa"/>
          <w:trHeight w:val="300" w:hRule="atLeast"/>
        </w:trPr>
        <w:tc>
          <w:tcPr>
            <w:cnfStyle w:val="001000100000"/>
            <w:tcW w:w="1843" w:type="dxa"/>
            <w:noWrap w:val="on"/>
            <w:shd w:val="clear" w:color="auto" w:fill="auto"/>
          </w:tcPr>
          <w:p w14:paraId="0000016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85</w:t>
            </w:r>
          </w:p>
        </w:tc>
        <w:tc>
          <w:tcPr>
            <w:cnfStyle w:val="000000100000"/>
            <w:tcW w:w="3119" w:type="dxa"/>
            <w:noWrap w:val="on"/>
            <w:shd w:val="clear" w:color="auto" w:fill="auto"/>
          </w:tcPr>
          <w:p w14:paraId="0000016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996035.02</w:t>
            </w:r>
          </w:p>
        </w:tc>
        <w:tc>
          <w:tcPr>
            <w:cnfStyle w:val="000000100000"/>
            <w:tcW w:w="2409" w:type="dxa"/>
            <w:noWrap w:val="on"/>
            <w:shd w:val="clear" w:color="auto" w:fill="auto"/>
          </w:tcPr>
          <w:p w14:paraId="0000016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2731007.31</w:t>
            </w:r>
          </w:p>
        </w:tc>
      </w:tr>
      <w:tr>
        <w:trPr>
          <w:wAfter w:w="0" w:type="dxa"/>
          <w:trHeight w:val="300" w:hRule="atLeast"/>
        </w:trPr>
        <w:tc>
          <w:tcPr>
            <w:cnfStyle w:val="001000010000"/>
            <w:tcW w:w="1843" w:type="dxa"/>
            <w:noWrap w:val="on"/>
            <w:shd w:val="clear" w:color="auto" w:fill="auto"/>
          </w:tcPr>
          <w:p w14:paraId="0000016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86</w:t>
            </w:r>
          </w:p>
        </w:tc>
        <w:tc>
          <w:tcPr>
            <w:cnfStyle w:val="000000010000"/>
            <w:tcW w:w="3119" w:type="dxa"/>
            <w:noWrap w:val="on"/>
            <w:shd w:val="clear" w:color="auto" w:fill="auto"/>
          </w:tcPr>
          <w:p w14:paraId="0000016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996034.86</w:t>
            </w:r>
          </w:p>
        </w:tc>
        <w:tc>
          <w:tcPr>
            <w:cnfStyle w:val="000000010000"/>
            <w:tcW w:w="2409" w:type="dxa"/>
            <w:noWrap w:val="on"/>
            <w:shd w:val="clear" w:color="auto" w:fill="auto"/>
          </w:tcPr>
          <w:p w14:paraId="0000016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2731012.91</w:t>
            </w:r>
          </w:p>
        </w:tc>
      </w:tr>
      <w:tr>
        <w:trPr>
          <w:wAfter w:w="0" w:type="dxa"/>
          <w:trHeight w:val="300" w:hRule="atLeast"/>
        </w:trPr>
        <w:tc>
          <w:tcPr>
            <w:cnfStyle w:val="001000100000"/>
            <w:tcW w:w="1843" w:type="dxa"/>
            <w:noWrap w:val="on"/>
            <w:shd w:val="clear" w:color="auto" w:fill="auto"/>
          </w:tcPr>
          <w:p w14:paraId="0000016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87</w:t>
            </w:r>
          </w:p>
        </w:tc>
        <w:tc>
          <w:tcPr>
            <w:cnfStyle w:val="000000100000"/>
            <w:tcW w:w="3119" w:type="dxa"/>
            <w:noWrap w:val="on"/>
            <w:shd w:val="clear" w:color="auto" w:fill="auto"/>
          </w:tcPr>
          <w:p w14:paraId="0000016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996005.79</w:t>
            </w:r>
          </w:p>
        </w:tc>
        <w:tc>
          <w:tcPr>
            <w:cnfStyle w:val="000000100000"/>
            <w:tcW w:w="2409" w:type="dxa"/>
            <w:noWrap w:val="on"/>
            <w:shd w:val="clear" w:color="auto" w:fill="auto"/>
          </w:tcPr>
          <w:p w14:paraId="0000016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2731015.59</w:t>
            </w:r>
          </w:p>
        </w:tc>
      </w:tr>
      <w:tr>
        <w:trPr>
          <w:wAfter w:w="0" w:type="dxa"/>
          <w:trHeight w:val="300" w:hRule="atLeast"/>
        </w:trPr>
        <w:tc>
          <w:tcPr>
            <w:cnfStyle w:val="001000010000"/>
            <w:tcW w:w="1843" w:type="dxa"/>
            <w:noWrap w:val="on"/>
            <w:shd w:val="clear" w:color="auto" w:fill="auto"/>
          </w:tcPr>
          <w:p w14:paraId="0000016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88</w:t>
            </w:r>
          </w:p>
        </w:tc>
        <w:tc>
          <w:tcPr>
            <w:cnfStyle w:val="000000010000"/>
            <w:tcW w:w="3119" w:type="dxa"/>
            <w:noWrap w:val="on"/>
            <w:shd w:val="clear" w:color="auto" w:fill="auto"/>
          </w:tcPr>
          <w:p w14:paraId="0000016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996005.22</w:t>
            </w:r>
          </w:p>
        </w:tc>
        <w:tc>
          <w:tcPr>
            <w:cnfStyle w:val="000000010000"/>
            <w:tcW w:w="2409" w:type="dxa"/>
            <w:noWrap w:val="on"/>
            <w:shd w:val="clear" w:color="auto" w:fill="auto"/>
          </w:tcPr>
          <w:p w14:paraId="0000016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2731010.36</w:t>
            </w:r>
          </w:p>
        </w:tc>
      </w:tr>
      <w:tr>
        <w:trPr>
          <w:wAfter w:w="0" w:type="dxa"/>
          <w:trHeight w:val="300" w:hRule="atLeast"/>
        </w:trPr>
        <w:tc>
          <w:tcPr>
            <w:cnfStyle w:val="001000100000"/>
            <w:tcW w:w="1843" w:type="dxa"/>
            <w:noWrap w:val="on"/>
            <w:shd w:val="clear" w:color="auto" w:fill="auto"/>
          </w:tcPr>
          <w:p w14:paraId="0000016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89</w:t>
            </w:r>
          </w:p>
        </w:tc>
        <w:tc>
          <w:tcPr>
            <w:cnfStyle w:val="000000100000"/>
            <w:tcW w:w="3119" w:type="dxa"/>
            <w:noWrap w:val="on"/>
            <w:shd w:val="clear" w:color="auto" w:fill="auto"/>
          </w:tcPr>
          <w:p w14:paraId="0000016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996004.53</w:t>
            </w:r>
          </w:p>
        </w:tc>
        <w:tc>
          <w:tcPr>
            <w:cnfStyle w:val="000000100000"/>
            <w:tcW w:w="2409" w:type="dxa"/>
            <w:noWrap w:val="on"/>
            <w:shd w:val="clear" w:color="auto" w:fill="auto"/>
          </w:tcPr>
          <w:p w14:paraId="0000017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2731004.08</w:t>
            </w:r>
          </w:p>
        </w:tc>
      </w:tr>
      <w:tr>
        <w:trPr>
          <w:wAfter w:w="0" w:type="dxa"/>
          <w:trHeight w:val="300" w:hRule="atLeast"/>
        </w:trPr>
        <w:tc>
          <w:tcPr>
            <w:cnfStyle w:val="001000010000"/>
            <w:tcW w:w="1843" w:type="dxa"/>
            <w:noWrap w:val="on"/>
            <w:shd w:val="clear" w:color="auto" w:fill="auto"/>
          </w:tcPr>
          <w:p w14:paraId="0000017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90</w:t>
            </w:r>
          </w:p>
        </w:tc>
        <w:tc>
          <w:tcPr>
            <w:cnfStyle w:val="000000010000"/>
            <w:tcW w:w="3119" w:type="dxa"/>
            <w:noWrap w:val="on"/>
            <w:shd w:val="clear" w:color="auto" w:fill="auto"/>
          </w:tcPr>
          <w:p w14:paraId="0000017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995930.55</w:t>
            </w:r>
          </w:p>
        </w:tc>
        <w:tc>
          <w:tcPr>
            <w:cnfStyle w:val="000000010000"/>
            <w:tcW w:w="2409" w:type="dxa"/>
            <w:noWrap w:val="on"/>
            <w:shd w:val="clear" w:color="auto" w:fill="auto"/>
          </w:tcPr>
          <w:p w14:paraId="0000017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2731010.62</w:t>
            </w:r>
          </w:p>
        </w:tc>
      </w:tr>
      <w:tr>
        <w:trPr>
          <w:wAfter w:w="0" w:type="dxa"/>
          <w:trHeight w:val="300" w:hRule="atLeast"/>
        </w:trPr>
        <w:tc>
          <w:tcPr>
            <w:cnfStyle w:val="001000100000"/>
            <w:tcW w:w="1843" w:type="dxa"/>
            <w:noWrap w:val="on"/>
            <w:shd w:val="clear" w:color="auto" w:fill="auto"/>
          </w:tcPr>
          <w:p w14:paraId="0000017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91</w:t>
            </w:r>
          </w:p>
        </w:tc>
        <w:tc>
          <w:tcPr>
            <w:cnfStyle w:val="000000100000"/>
            <w:tcW w:w="3119" w:type="dxa"/>
            <w:noWrap w:val="on"/>
            <w:shd w:val="clear" w:color="auto" w:fill="auto"/>
          </w:tcPr>
          <w:p w14:paraId="0000017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995929.51</w:t>
            </w:r>
          </w:p>
        </w:tc>
        <w:tc>
          <w:tcPr>
            <w:cnfStyle w:val="000000100000"/>
            <w:tcW w:w="2409" w:type="dxa"/>
            <w:noWrap w:val="on"/>
            <w:shd w:val="clear" w:color="auto" w:fill="auto"/>
          </w:tcPr>
          <w:p w14:paraId="0000017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2731016.96</w:t>
            </w:r>
          </w:p>
        </w:tc>
      </w:tr>
      <w:tr>
        <w:trPr>
          <w:wAfter w:w="0" w:type="dxa"/>
          <w:trHeight w:val="300" w:hRule="atLeast"/>
        </w:trPr>
        <w:tc>
          <w:tcPr>
            <w:cnfStyle w:val="001000010000"/>
            <w:tcW w:w="1843" w:type="dxa"/>
            <w:noWrap w:val="on"/>
            <w:shd w:val="clear" w:color="auto" w:fill="auto"/>
          </w:tcPr>
          <w:p w14:paraId="0000017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92</w:t>
            </w:r>
          </w:p>
        </w:tc>
        <w:tc>
          <w:tcPr>
            <w:cnfStyle w:val="000000010000"/>
            <w:tcW w:w="3119" w:type="dxa"/>
            <w:noWrap w:val="on"/>
            <w:shd w:val="clear" w:color="auto" w:fill="auto"/>
          </w:tcPr>
          <w:p w14:paraId="0000017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995891.78</w:t>
            </w:r>
          </w:p>
        </w:tc>
        <w:tc>
          <w:tcPr>
            <w:cnfStyle w:val="000000010000"/>
            <w:tcW w:w="2409" w:type="dxa"/>
            <w:noWrap w:val="on"/>
            <w:shd w:val="clear" w:color="auto" w:fill="auto"/>
          </w:tcPr>
          <w:p w14:paraId="0000017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2731247.18</w:t>
            </w:r>
          </w:p>
        </w:tc>
      </w:tr>
      <w:tr>
        <w:trPr>
          <w:wAfter w:w="0" w:type="dxa"/>
          <w:trHeight w:val="300" w:hRule="atLeast"/>
        </w:trPr>
        <w:tc>
          <w:tcPr>
            <w:cnfStyle w:val="001000100000"/>
            <w:tcW w:w="1843" w:type="dxa"/>
            <w:noWrap w:val="on"/>
            <w:shd w:val="clear" w:color="auto" w:fill="auto"/>
          </w:tcPr>
          <w:p w14:paraId="0000017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93</w:t>
            </w:r>
          </w:p>
        </w:tc>
        <w:tc>
          <w:tcPr>
            <w:cnfStyle w:val="000000100000"/>
            <w:tcW w:w="3119" w:type="dxa"/>
            <w:noWrap w:val="on"/>
            <w:shd w:val="clear" w:color="auto" w:fill="auto"/>
          </w:tcPr>
          <w:p w14:paraId="0000017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995804.25</w:t>
            </w:r>
          </w:p>
        </w:tc>
        <w:tc>
          <w:tcPr>
            <w:cnfStyle w:val="000000100000"/>
            <w:tcW w:w="2409" w:type="dxa"/>
            <w:noWrap w:val="on"/>
            <w:shd w:val="clear" w:color="auto" w:fill="auto"/>
          </w:tcPr>
          <w:p w14:paraId="0000017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2731284.19</w:t>
            </w:r>
          </w:p>
        </w:tc>
      </w:tr>
      <w:tr>
        <w:trPr>
          <w:wAfter w:w="0" w:type="dxa"/>
          <w:trHeight w:val="300" w:hRule="atLeast"/>
        </w:trPr>
        <w:tc>
          <w:tcPr>
            <w:cnfStyle w:val="001000010000"/>
            <w:tcW w:w="1843" w:type="dxa"/>
            <w:noWrap w:val="on"/>
            <w:shd w:val="clear" w:color="auto" w:fill="auto"/>
          </w:tcPr>
          <w:p w14:paraId="0000017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94</w:t>
            </w:r>
          </w:p>
        </w:tc>
        <w:tc>
          <w:tcPr>
            <w:cnfStyle w:val="000000010000"/>
            <w:tcW w:w="3119" w:type="dxa"/>
            <w:noWrap w:val="on"/>
            <w:shd w:val="clear" w:color="auto" w:fill="auto"/>
          </w:tcPr>
          <w:p w14:paraId="0000017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995802.93</w:t>
            </w:r>
          </w:p>
        </w:tc>
        <w:tc>
          <w:tcPr>
            <w:cnfStyle w:val="000000010000"/>
            <w:tcW w:w="2409" w:type="dxa"/>
            <w:noWrap w:val="on"/>
            <w:shd w:val="clear" w:color="auto" w:fill="auto"/>
          </w:tcPr>
          <w:p w14:paraId="0000017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2731508.90</w:t>
            </w:r>
          </w:p>
        </w:tc>
      </w:tr>
      <w:tr>
        <w:trPr>
          <w:wAfter w:w="0" w:type="dxa"/>
          <w:trHeight w:val="300" w:hRule="atLeast"/>
        </w:trPr>
        <w:tc>
          <w:tcPr>
            <w:cnfStyle w:val="001000100000"/>
            <w:tcW w:w="1843" w:type="dxa"/>
            <w:noWrap w:val="on"/>
            <w:shd w:val="clear" w:color="auto" w:fill="auto"/>
          </w:tcPr>
          <w:p w14:paraId="0000018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95</w:t>
            </w:r>
          </w:p>
        </w:tc>
        <w:tc>
          <w:tcPr>
            <w:cnfStyle w:val="000000100000"/>
            <w:tcW w:w="3119" w:type="dxa"/>
            <w:noWrap w:val="on"/>
            <w:shd w:val="clear" w:color="auto" w:fill="auto"/>
          </w:tcPr>
          <w:p w14:paraId="0000018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995829.02</w:t>
            </w:r>
          </w:p>
        </w:tc>
        <w:tc>
          <w:tcPr>
            <w:cnfStyle w:val="000000100000"/>
            <w:tcW w:w="2409" w:type="dxa"/>
            <w:noWrap w:val="on"/>
            <w:shd w:val="clear" w:color="auto" w:fill="auto"/>
          </w:tcPr>
          <w:p w14:paraId="0000018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2731748.07</w:t>
            </w:r>
          </w:p>
        </w:tc>
      </w:tr>
      <w:tr>
        <w:trPr>
          <w:wAfter w:w="0" w:type="dxa"/>
          <w:trHeight w:val="300" w:hRule="atLeast"/>
        </w:trPr>
        <w:tc>
          <w:tcPr>
            <w:cnfStyle w:val="001000010000"/>
            <w:tcW w:w="1843" w:type="dxa"/>
            <w:noWrap w:val="on"/>
            <w:shd w:val="clear" w:color="auto" w:fill="auto"/>
          </w:tcPr>
          <w:p w14:paraId="0000018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96</w:t>
            </w:r>
          </w:p>
        </w:tc>
        <w:tc>
          <w:tcPr>
            <w:cnfStyle w:val="000000010000"/>
            <w:tcW w:w="3119" w:type="dxa"/>
            <w:noWrap w:val="on"/>
            <w:shd w:val="clear" w:color="auto" w:fill="auto"/>
          </w:tcPr>
          <w:p w14:paraId="0000018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995827.19</w:t>
            </w:r>
          </w:p>
        </w:tc>
        <w:tc>
          <w:tcPr>
            <w:cnfStyle w:val="000000010000"/>
            <w:tcW w:w="2409" w:type="dxa"/>
            <w:noWrap w:val="on"/>
            <w:shd w:val="clear" w:color="auto" w:fill="auto"/>
          </w:tcPr>
          <w:p w14:paraId="0000018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2731766.01</w:t>
            </w:r>
          </w:p>
        </w:tc>
      </w:tr>
      <w:tr>
        <w:trPr>
          <w:wAfter w:w="0" w:type="dxa"/>
          <w:trHeight w:val="300" w:hRule="atLeast"/>
        </w:trPr>
        <w:tc>
          <w:tcPr>
            <w:cnfStyle w:val="001000100000"/>
            <w:tcW w:w="1843" w:type="dxa"/>
            <w:noWrap w:val="on"/>
            <w:shd w:val="clear" w:color="auto" w:fill="auto"/>
          </w:tcPr>
          <w:p w14:paraId="0000018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97</w:t>
            </w:r>
          </w:p>
        </w:tc>
        <w:tc>
          <w:tcPr>
            <w:cnfStyle w:val="000000100000"/>
            <w:tcW w:w="3119" w:type="dxa"/>
            <w:noWrap w:val="on"/>
            <w:shd w:val="clear" w:color="auto" w:fill="auto"/>
          </w:tcPr>
          <w:p w14:paraId="0000018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995823.07</w:t>
            </w:r>
          </w:p>
        </w:tc>
        <w:tc>
          <w:tcPr>
            <w:cnfStyle w:val="000000100000"/>
            <w:tcW w:w="2409" w:type="dxa"/>
            <w:noWrap w:val="on"/>
            <w:shd w:val="clear" w:color="auto" w:fill="auto"/>
          </w:tcPr>
          <w:p w14:paraId="0000018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2731806.48</w:t>
            </w:r>
          </w:p>
        </w:tc>
      </w:tr>
      <w:tr>
        <w:trPr>
          <w:wAfter w:w="0" w:type="dxa"/>
          <w:trHeight w:val="300" w:hRule="atLeast"/>
        </w:trPr>
        <w:tc>
          <w:tcPr>
            <w:cnfStyle w:val="001000010000"/>
            <w:tcW w:w="1843" w:type="dxa"/>
            <w:noWrap w:val="on"/>
            <w:shd w:val="clear" w:color="auto" w:fill="auto"/>
          </w:tcPr>
          <w:p w14:paraId="0000018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98</w:t>
            </w:r>
          </w:p>
        </w:tc>
        <w:tc>
          <w:tcPr>
            <w:cnfStyle w:val="000000010000"/>
            <w:tcW w:w="3119" w:type="dxa"/>
            <w:noWrap w:val="on"/>
            <w:shd w:val="clear" w:color="auto" w:fill="auto"/>
          </w:tcPr>
          <w:p w14:paraId="0000018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995843.48</w:t>
            </w:r>
          </w:p>
        </w:tc>
        <w:tc>
          <w:tcPr>
            <w:cnfStyle w:val="000000010000"/>
            <w:tcW w:w="2409" w:type="dxa"/>
            <w:noWrap w:val="on"/>
            <w:shd w:val="clear" w:color="auto" w:fill="auto"/>
          </w:tcPr>
          <w:p w14:paraId="0000018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2731808.42</w:t>
            </w:r>
          </w:p>
        </w:tc>
      </w:tr>
      <w:tr>
        <w:trPr>
          <w:wAfter w:w="0" w:type="dxa"/>
          <w:trHeight w:val="300" w:hRule="atLeast"/>
        </w:trPr>
        <w:tc>
          <w:tcPr>
            <w:cnfStyle w:val="001000100000"/>
            <w:tcW w:w="1843" w:type="dxa"/>
            <w:noWrap w:val="on"/>
            <w:shd w:val="clear" w:color="auto" w:fill="auto"/>
          </w:tcPr>
          <w:p w14:paraId="0000018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w:t>
            </w:r>
          </w:p>
        </w:tc>
        <w:tc>
          <w:tcPr>
            <w:cnfStyle w:val="000000100000"/>
            <w:tcW w:w="3119" w:type="dxa"/>
            <w:noWrap w:val="on"/>
            <w:shd w:val="clear" w:color="auto" w:fill="auto"/>
          </w:tcPr>
          <w:p w14:paraId="0000018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995842.29</w:t>
            </w:r>
          </w:p>
        </w:tc>
        <w:tc>
          <w:tcPr>
            <w:cnfStyle w:val="000000100000"/>
            <w:tcW w:w="2409" w:type="dxa"/>
            <w:noWrap w:val="on"/>
            <w:shd w:val="clear" w:color="auto" w:fill="auto"/>
          </w:tcPr>
          <w:p w14:paraId="0000018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2731819.64</w:t>
            </w:r>
          </w:p>
        </w:tc>
      </w:tr>
      <w:tr>
        <w:trPr>
          <w:wAfter w:w="0" w:type="dxa"/>
          <w:trHeight w:val="300" w:hRule="atLeast"/>
        </w:trPr>
        <w:tc>
          <w:tcPr>
            <w:cnfStyle w:val="001000010000"/>
            <w:tcW w:w="1843" w:type="dxa"/>
            <w:noWrap w:val="on"/>
            <w:shd w:val="clear" w:color="auto" w:fill="auto"/>
          </w:tcPr>
          <w:p w14:paraId="0000018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100</w:t>
            </w:r>
          </w:p>
        </w:tc>
        <w:tc>
          <w:tcPr>
            <w:cnfStyle w:val="000000010000"/>
            <w:tcW w:w="3119" w:type="dxa"/>
            <w:noWrap w:val="on"/>
            <w:shd w:val="clear" w:color="auto" w:fill="auto"/>
          </w:tcPr>
          <w:p w14:paraId="0000019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995865.70</w:t>
            </w:r>
          </w:p>
        </w:tc>
        <w:tc>
          <w:tcPr>
            <w:cnfStyle w:val="000000010000"/>
            <w:tcW w:w="2409" w:type="dxa"/>
            <w:noWrap w:val="on"/>
            <w:shd w:val="clear" w:color="auto" w:fill="auto"/>
          </w:tcPr>
          <w:p w14:paraId="0000019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2731821.95</w:t>
            </w:r>
          </w:p>
        </w:tc>
      </w:tr>
      <w:tr>
        <w:trPr>
          <w:wAfter w:w="0" w:type="dxa"/>
          <w:trHeight w:val="300" w:hRule="atLeast"/>
        </w:trPr>
        <w:tc>
          <w:tcPr>
            <w:cnfStyle w:val="001000100000"/>
            <w:tcW w:w="1843" w:type="dxa"/>
            <w:noWrap w:val="on"/>
            <w:shd w:val="clear" w:color="auto" w:fill="auto"/>
          </w:tcPr>
          <w:p w14:paraId="0000019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101</w:t>
            </w:r>
          </w:p>
        </w:tc>
        <w:tc>
          <w:tcPr>
            <w:cnfStyle w:val="000000100000"/>
            <w:tcW w:w="3119" w:type="dxa"/>
            <w:noWrap w:val="on"/>
            <w:shd w:val="clear" w:color="auto" w:fill="auto"/>
          </w:tcPr>
          <w:p w14:paraId="0000019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995902.35</w:t>
            </w:r>
          </w:p>
        </w:tc>
        <w:tc>
          <w:tcPr>
            <w:cnfStyle w:val="000000100000"/>
            <w:tcW w:w="2409" w:type="dxa"/>
            <w:noWrap w:val="on"/>
            <w:shd w:val="clear" w:color="auto" w:fill="auto"/>
          </w:tcPr>
          <w:p w14:paraId="0000019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2731825.57</w:t>
            </w:r>
          </w:p>
        </w:tc>
      </w:tr>
      <w:tr>
        <w:trPr>
          <w:wAfter w:w="0" w:type="dxa"/>
          <w:trHeight w:val="300" w:hRule="atLeast"/>
        </w:trPr>
        <w:tc>
          <w:tcPr>
            <w:cnfStyle w:val="001000010000"/>
            <w:tcW w:w="1843" w:type="dxa"/>
            <w:noWrap w:val="on"/>
            <w:shd w:val="clear" w:color="auto" w:fill="auto"/>
          </w:tcPr>
          <w:p w14:paraId="0000019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102</w:t>
            </w:r>
          </w:p>
        </w:tc>
        <w:tc>
          <w:tcPr>
            <w:cnfStyle w:val="000000010000"/>
            <w:tcW w:w="3119" w:type="dxa"/>
            <w:noWrap w:val="on"/>
            <w:shd w:val="clear" w:color="auto" w:fill="auto"/>
          </w:tcPr>
          <w:p w14:paraId="0000019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995902.36</w:t>
            </w:r>
          </w:p>
        </w:tc>
        <w:tc>
          <w:tcPr>
            <w:cnfStyle w:val="000000010000"/>
            <w:tcW w:w="2409" w:type="dxa"/>
            <w:noWrap w:val="on"/>
            <w:shd w:val="clear" w:color="auto" w:fill="auto"/>
          </w:tcPr>
          <w:p w14:paraId="0000019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2731825.57</w:t>
            </w:r>
          </w:p>
        </w:tc>
      </w:tr>
      <w:tr>
        <w:trPr>
          <w:wAfter w:w="0" w:type="dxa"/>
          <w:trHeight w:val="300" w:hRule="atLeast"/>
        </w:trPr>
        <w:tc>
          <w:tcPr>
            <w:cnfStyle w:val="001000100000"/>
            <w:tcW w:w="1843" w:type="dxa"/>
            <w:noWrap w:val="on"/>
            <w:shd w:val="clear" w:color="auto" w:fill="auto"/>
          </w:tcPr>
          <w:p w14:paraId="0000019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103</w:t>
            </w:r>
          </w:p>
        </w:tc>
        <w:tc>
          <w:tcPr>
            <w:cnfStyle w:val="000000100000"/>
            <w:tcW w:w="3119" w:type="dxa"/>
            <w:noWrap w:val="on"/>
            <w:shd w:val="clear" w:color="auto" w:fill="auto"/>
          </w:tcPr>
          <w:p w14:paraId="0000019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995925.88</w:t>
            </w:r>
          </w:p>
        </w:tc>
        <w:tc>
          <w:tcPr>
            <w:cnfStyle w:val="000000100000"/>
            <w:tcW w:w="2409" w:type="dxa"/>
            <w:noWrap w:val="on"/>
            <w:shd w:val="clear" w:color="auto" w:fill="auto"/>
          </w:tcPr>
          <w:p w14:paraId="0000019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2731827.89</w:t>
            </w:r>
          </w:p>
        </w:tc>
      </w:tr>
      <w:tr>
        <w:trPr>
          <w:wAfter w:w="0" w:type="dxa"/>
          <w:trHeight w:val="300" w:hRule="atLeast"/>
        </w:trPr>
        <w:tc>
          <w:tcPr>
            <w:cnfStyle w:val="001000010000"/>
            <w:tcW w:w="1843" w:type="dxa"/>
            <w:noWrap w:val="on"/>
            <w:shd w:val="clear" w:color="auto" w:fill="auto"/>
          </w:tcPr>
          <w:p w14:paraId="0000019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104</w:t>
            </w:r>
          </w:p>
        </w:tc>
        <w:tc>
          <w:tcPr>
            <w:cnfStyle w:val="000000010000"/>
            <w:tcW w:w="3119" w:type="dxa"/>
            <w:noWrap w:val="on"/>
            <w:shd w:val="clear" w:color="auto" w:fill="auto"/>
          </w:tcPr>
          <w:p w14:paraId="0000019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995948.23</w:t>
            </w:r>
          </w:p>
        </w:tc>
        <w:tc>
          <w:tcPr>
            <w:cnfStyle w:val="000000010000"/>
            <w:tcW w:w="2409" w:type="dxa"/>
            <w:noWrap w:val="on"/>
            <w:shd w:val="clear" w:color="auto" w:fill="auto"/>
          </w:tcPr>
          <w:p w14:paraId="0000019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2731869.81</w:t>
            </w:r>
          </w:p>
        </w:tc>
      </w:tr>
      <w:tr>
        <w:trPr>
          <w:wAfter w:w="0" w:type="dxa"/>
          <w:trHeight w:val="300" w:hRule="atLeast"/>
        </w:trPr>
        <w:tc>
          <w:tcPr>
            <w:cnfStyle w:val="001000100000"/>
            <w:tcW w:w="1843" w:type="dxa"/>
            <w:noWrap w:val="on"/>
            <w:shd w:val="clear" w:color="auto" w:fill="auto"/>
          </w:tcPr>
          <w:p w14:paraId="0000019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105</w:t>
            </w:r>
          </w:p>
        </w:tc>
        <w:tc>
          <w:tcPr>
            <w:cnfStyle w:val="000000100000"/>
            <w:tcW w:w="3119" w:type="dxa"/>
            <w:noWrap w:val="on"/>
            <w:shd w:val="clear" w:color="auto" w:fill="auto"/>
          </w:tcPr>
          <w:p w14:paraId="0000019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995957.64</w:t>
            </w:r>
          </w:p>
        </w:tc>
        <w:tc>
          <w:tcPr>
            <w:cnfStyle w:val="000000100000"/>
            <w:tcW w:w="2409" w:type="dxa"/>
            <w:noWrap w:val="on"/>
            <w:shd w:val="clear" w:color="auto" w:fill="auto"/>
          </w:tcPr>
          <w:p w14:paraId="000001A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2731887.45</w:t>
            </w:r>
          </w:p>
        </w:tc>
      </w:tr>
      <w:tr>
        <w:trPr>
          <w:wAfter w:w="0" w:type="dxa"/>
          <w:trHeight w:val="300" w:hRule="atLeast"/>
        </w:trPr>
        <w:tc>
          <w:tcPr>
            <w:cnfStyle w:val="001000010000"/>
            <w:tcW w:w="1843" w:type="dxa"/>
            <w:noWrap w:val="on"/>
            <w:shd w:val="clear" w:color="auto" w:fill="auto"/>
          </w:tcPr>
          <w:p w14:paraId="000001A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106</w:t>
            </w:r>
          </w:p>
        </w:tc>
        <w:tc>
          <w:tcPr>
            <w:cnfStyle w:val="000000010000"/>
            <w:tcW w:w="3119" w:type="dxa"/>
            <w:noWrap w:val="on"/>
            <w:shd w:val="clear" w:color="auto" w:fill="auto"/>
          </w:tcPr>
          <w:p w14:paraId="000001A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995969.70</w:t>
            </w:r>
          </w:p>
        </w:tc>
        <w:tc>
          <w:tcPr>
            <w:cnfStyle w:val="000000010000"/>
            <w:tcW w:w="2409" w:type="dxa"/>
            <w:noWrap w:val="on"/>
            <w:shd w:val="clear" w:color="auto" w:fill="auto"/>
          </w:tcPr>
          <w:p w14:paraId="000001A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2731910.06</w:t>
            </w:r>
          </w:p>
        </w:tc>
      </w:tr>
      <w:tr>
        <w:trPr>
          <w:wAfter w:w="0" w:type="dxa"/>
          <w:trHeight w:val="300" w:hRule="atLeast"/>
        </w:trPr>
        <w:tc>
          <w:tcPr>
            <w:cnfStyle w:val="001000100000"/>
            <w:tcW w:w="1843" w:type="dxa"/>
            <w:noWrap w:val="on"/>
            <w:shd w:val="clear" w:color="auto" w:fill="auto"/>
          </w:tcPr>
          <w:p w14:paraId="000001A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107</w:t>
            </w:r>
          </w:p>
        </w:tc>
        <w:tc>
          <w:tcPr>
            <w:cnfStyle w:val="000000100000"/>
            <w:tcW w:w="3119" w:type="dxa"/>
            <w:noWrap w:val="on"/>
            <w:shd w:val="clear" w:color="auto" w:fill="auto"/>
          </w:tcPr>
          <w:p w14:paraId="000001A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995993.29</w:t>
            </w:r>
          </w:p>
        </w:tc>
        <w:tc>
          <w:tcPr>
            <w:cnfStyle w:val="000000100000"/>
            <w:tcW w:w="2409" w:type="dxa"/>
            <w:noWrap w:val="on"/>
            <w:shd w:val="clear" w:color="auto" w:fill="auto"/>
          </w:tcPr>
          <w:p w14:paraId="000001A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2731954.30</w:t>
            </w:r>
          </w:p>
        </w:tc>
      </w:tr>
      <w:tr>
        <w:trPr>
          <w:wAfter w:w="0" w:type="dxa"/>
          <w:trHeight w:val="300" w:hRule="atLeast"/>
        </w:trPr>
        <w:tc>
          <w:tcPr>
            <w:cnfStyle w:val="001000010000"/>
            <w:tcW w:w="1843" w:type="dxa"/>
            <w:noWrap w:val="on"/>
            <w:shd w:val="clear" w:color="auto" w:fill="auto"/>
          </w:tcPr>
          <w:p w14:paraId="000001A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108</w:t>
            </w:r>
          </w:p>
        </w:tc>
        <w:tc>
          <w:tcPr>
            <w:cnfStyle w:val="000000010000"/>
            <w:tcW w:w="3119" w:type="dxa"/>
            <w:noWrap w:val="on"/>
            <w:shd w:val="clear" w:color="auto" w:fill="auto"/>
          </w:tcPr>
          <w:p w14:paraId="000001A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996027.61</w:t>
            </w:r>
          </w:p>
        </w:tc>
        <w:tc>
          <w:tcPr>
            <w:cnfStyle w:val="000000010000"/>
            <w:tcW w:w="2409" w:type="dxa"/>
            <w:noWrap w:val="on"/>
            <w:shd w:val="clear" w:color="auto" w:fill="auto"/>
          </w:tcPr>
          <w:p w14:paraId="000001A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2732012.31</w:t>
            </w:r>
          </w:p>
        </w:tc>
      </w:tr>
      <w:tr>
        <w:trPr>
          <w:wAfter w:w="0" w:type="dxa"/>
          <w:trHeight w:val="300" w:hRule="atLeast"/>
        </w:trPr>
        <w:tc>
          <w:tcPr>
            <w:cnfStyle w:val="001000100000"/>
            <w:tcW w:w="1843" w:type="dxa"/>
            <w:noWrap w:val="on"/>
            <w:shd w:val="clear" w:color="auto" w:fill="auto"/>
          </w:tcPr>
          <w:p w14:paraId="000001A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109</w:t>
            </w:r>
          </w:p>
        </w:tc>
        <w:tc>
          <w:tcPr>
            <w:cnfStyle w:val="000000100000"/>
            <w:tcW w:w="3119" w:type="dxa"/>
            <w:noWrap w:val="on"/>
            <w:shd w:val="clear" w:color="auto" w:fill="auto"/>
          </w:tcPr>
          <w:p w14:paraId="000001A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996045.45</w:t>
            </w:r>
          </w:p>
        </w:tc>
        <w:tc>
          <w:tcPr>
            <w:cnfStyle w:val="000000100000"/>
            <w:tcW w:w="2409" w:type="dxa"/>
            <w:noWrap w:val="on"/>
            <w:shd w:val="clear" w:color="auto" w:fill="auto"/>
          </w:tcPr>
          <w:p w14:paraId="000001A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2732048.53</w:t>
            </w:r>
          </w:p>
        </w:tc>
      </w:tr>
      <w:tr>
        <w:trPr>
          <w:wAfter w:w="0" w:type="dxa"/>
          <w:trHeight w:val="300" w:hRule="atLeast"/>
        </w:trPr>
        <w:tc>
          <w:tcPr>
            <w:cnfStyle w:val="001000010000"/>
            <w:tcW w:w="1843" w:type="dxa"/>
            <w:noWrap w:val="on"/>
            <w:shd w:val="clear" w:color="auto" w:fill="auto"/>
          </w:tcPr>
          <w:p w14:paraId="000001A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110</w:t>
            </w:r>
          </w:p>
        </w:tc>
        <w:tc>
          <w:tcPr>
            <w:cnfStyle w:val="000000010000"/>
            <w:tcW w:w="3119" w:type="dxa"/>
            <w:noWrap w:val="on"/>
            <w:shd w:val="clear" w:color="auto" w:fill="auto"/>
          </w:tcPr>
          <w:p w14:paraId="000001A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996026.11</w:t>
            </w:r>
          </w:p>
        </w:tc>
        <w:tc>
          <w:tcPr>
            <w:cnfStyle w:val="000000010000"/>
            <w:tcW w:w="2409" w:type="dxa"/>
            <w:noWrap w:val="on"/>
            <w:shd w:val="clear" w:color="auto" w:fill="auto"/>
          </w:tcPr>
          <w:p w14:paraId="000001A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2732090.24</w:t>
            </w:r>
          </w:p>
        </w:tc>
      </w:tr>
      <w:tr>
        <w:trPr>
          <w:wAfter w:w="0" w:type="dxa"/>
          <w:trHeight w:val="300" w:hRule="atLeast"/>
        </w:trPr>
        <w:tc>
          <w:tcPr>
            <w:cnfStyle w:val="001000100000"/>
            <w:tcW w:w="1843" w:type="dxa"/>
            <w:noWrap w:val="on"/>
            <w:shd w:val="clear" w:color="auto" w:fill="auto"/>
          </w:tcPr>
          <w:p w14:paraId="000001B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111</w:t>
            </w:r>
          </w:p>
        </w:tc>
        <w:tc>
          <w:tcPr>
            <w:cnfStyle w:val="000000100000"/>
            <w:tcW w:w="3119" w:type="dxa"/>
            <w:noWrap w:val="on"/>
            <w:shd w:val="clear" w:color="auto" w:fill="auto"/>
          </w:tcPr>
          <w:p w14:paraId="000001B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996025.47</w:t>
            </w:r>
          </w:p>
        </w:tc>
        <w:tc>
          <w:tcPr>
            <w:cnfStyle w:val="000000100000"/>
            <w:tcW w:w="2409" w:type="dxa"/>
            <w:noWrap w:val="on"/>
            <w:shd w:val="clear" w:color="auto" w:fill="auto"/>
          </w:tcPr>
          <w:p w14:paraId="000001B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2732093.16</w:t>
            </w:r>
          </w:p>
        </w:tc>
      </w:tr>
      <w:tr>
        <w:trPr>
          <w:wAfter w:w="0" w:type="dxa"/>
          <w:trHeight w:val="300" w:hRule="atLeast"/>
        </w:trPr>
        <w:tc>
          <w:tcPr>
            <w:cnfStyle w:val="001000010000"/>
            <w:tcW w:w="1843" w:type="dxa"/>
            <w:noWrap w:val="on"/>
            <w:shd w:val="clear" w:color="auto" w:fill="auto"/>
          </w:tcPr>
          <w:p w14:paraId="000001B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112</w:t>
            </w:r>
          </w:p>
        </w:tc>
        <w:tc>
          <w:tcPr>
            <w:cnfStyle w:val="000000010000"/>
            <w:tcW w:w="3119" w:type="dxa"/>
            <w:noWrap w:val="on"/>
            <w:shd w:val="clear" w:color="auto" w:fill="auto"/>
          </w:tcPr>
          <w:p w14:paraId="000001B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996024.65</w:t>
            </w:r>
          </w:p>
        </w:tc>
        <w:tc>
          <w:tcPr>
            <w:cnfStyle w:val="000000010000"/>
            <w:tcW w:w="2409" w:type="dxa"/>
            <w:noWrap w:val="on"/>
            <w:shd w:val="clear" w:color="auto" w:fill="auto"/>
          </w:tcPr>
          <w:p w14:paraId="000001B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2732095.04</w:t>
            </w:r>
          </w:p>
        </w:tc>
      </w:tr>
      <w:tr>
        <w:trPr>
          <w:wAfter w:w="0" w:type="dxa"/>
          <w:trHeight w:val="300" w:hRule="atLeast"/>
        </w:trPr>
        <w:tc>
          <w:tcPr>
            <w:cnfStyle w:val="001000100000"/>
            <w:tcW w:w="1843" w:type="dxa"/>
            <w:noWrap w:val="on"/>
            <w:shd w:val="clear" w:color="auto" w:fill="auto"/>
          </w:tcPr>
          <w:p w14:paraId="000001B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113</w:t>
            </w:r>
          </w:p>
        </w:tc>
        <w:tc>
          <w:tcPr>
            <w:cnfStyle w:val="000000100000"/>
            <w:tcW w:w="3119" w:type="dxa"/>
            <w:noWrap w:val="on"/>
            <w:shd w:val="clear" w:color="auto" w:fill="auto"/>
          </w:tcPr>
          <w:p w14:paraId="000001B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996019.25</w:t>
            </w:r>
          </w:p>
        </w:tc>
        <w:tc>
          <w:tcPr>
            <w:cnfStyle w:val="000000100000"/>
            <w:tcW w:w="2409" w:type="dxa"/>
            <w:noWrap w:val="on"/>
            <w:shd w:val="clear" w:color="auto" w:fill="auto"/>
          </w:tcPr>
          <w:p w14:paraId="000001B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2732097.66</w:t>
            </w:r>
          </w:p>
        </w:tc>
      </w:tr>
      <w:tr>
        <w:trPr>
          <w:wAfter w:w="0" w:type="dxa"/>
          <w:trHeight w:val="300" w:hRule="atLeast"/>
        </w:trPr>
        <w:tc>
          <w:tcPr>
            <w:cnfStyle w:val="001000010000"/>
            <w:tcW w:w="1843" w:type="dxa"/>
            <w:noWrap w:val="on"/>
            <w:shd w:val="clear" w:color="auto" w:fill="auto"/>
          </w:tcPr>
          <w:p w14:paraId="000001B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114</w:t>
            </w:r>
          </w:p>
        </w:tc>
        <w:tc>
          <w:tcPr>
            <w:cnfStyle w:val="000000010000"/>
            <w:tcW w:w="3119" w:type="dxa"/>
            <w:noWrap w:val="on"/>
            <w:shd w:val="clear" w:color="auto" w:fill="auto"/>
          </w:tcPr>
          <w:p w14:paraId="000001B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996015.63</w:t>
            </w:r>
          </w:p>
        </w:tc>
        <w:tc>
          <w:tcPr>
            <w:cnfStyle w:val="000000010000"/>
            <w:tcW w:w="2409" w:type="dxa"/>
            <w:noWrap w:val="on"/>
            <w:shd w:val="clear" w:color="auto" w:fill="auto"/>
          </w:tcPr>
          <w:p w14:paraId="000001B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2732090.20</w:t>
            </w:r>
          </w:p>
        </w:tc>
      </w:tr>
      <w:tr>
        <w:trPr>
          <w:wAfter w:w="0" w:type="dxa"/>
          <w:trHeight w:val="300" w:hRule="atLeast"/>
        </w:trPr>
        <w:tc>
          <w:tcPr>
            <w:cnfStyle w:val="001000100000"/>
            <w:tcW w:w="1843" w:type="dxa"/>
            <w:noWrap w:val="on"/>
            <w:shd w:val="clear" w:color="auto" w:fill="auto"/>
          </w:tcPr>
          <w:p w14:paraId="000001B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115</w:t>
            </w:r>
          </w:p>
        </w:tc>
        <w:tc>
          <w:tcPr>
            <w:cnfStyle w:val="000000100000"/>
            <w:tcW w:w="3119" w:type="dxa"/>
            <w:noWrap w:val="on"/>
            <w:shd w:val="clear" w:color="auto" w:fill="auto"/>
          </w:tcPr>
          <w:p w14:paraId="000001B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995993.19</w:t>
            </w:r>
          </w:p>
        </w:tc>
        <w:tc>
          <w:tcPr>
            <w:cnfStyle w:val="000000100000"/>
            <w:tcW w:w="2409" w:type="dxa"/>
            <w:noWrap w:val="on"/>
            <w:shd w:val="clear" w:color="auto" w:fill="auto"/>
          </w:tcPr>
          <w:p w14:paraId="000001B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2732092.15</w:t>
            </w:r>
          </w:p>
        </w:tc>
      </w:tr>
      <w:tr>
        <w:trPr>
          <w:wAfter w:w="0" w:type="dxa"/>
          <w:trHeight w:val="300" w:hRule="atLeast"/>
        </w:trPr>
        <w:tc>
          <w:tcPr>
            <w:cnfStyle w:val="001000010000"/>
            <w:tcW w:w="1843" w:type="dxa"/>
            <w:noWrap w:val="on"/>
            <w:shd w:val="clear" w:color="auto" w:fill="auto"/>
          </w:tcPr>
          <w:p w14:paraId="000001B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116</w:t>
            </w:r>
          </w:p>
        </w:tc>
        <w:tc>
          <w:tcPr>
            <w:cnfStyle w:val="000000010000"/>
            <w:tcW w:w="3119" w:type="dxa"/>
            <w:noWrap w:val="on"/>
            <w:shd w:val="clear" w:color="auto" w:fill="auto"/>
          </w:tcPr>
          <w:p w14:paraId="000001C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995964.51</w:t>
            </w:r>
          </w:p>
        </w:tc>
        <w:tc>
          <w:tcPr>
            <w:cnfStyle w:val="000000010000"/>
            <w:tcW w:w="2409" w:type="dxa"/>
            <w:noWrap w:val="on"/>
            <w:shd w:val="clear" w:color="auto" w:fill="auto"/>
          </w:tcPr>
          <w:p w14:paraId="000001C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2732094.45</w:t>
            </w:r>
          </w:p>
        </w:tc>
      </w:tr>
      <w:tr>
        <w:trPr>
          <w:wAfter w:w="0" w:type="dxa"/>
          <w:trHeight w:val="300" w:hRule="atLeast"/>
        </w:trPr>
        <w:tc>
          <w:tcPr>
            <w:cnfStyle w:val="001000100000"/>
            <w:tcW w:w="1843" w:type="dxa"/>
            <w:noWrap w:val="on"/>
            <w:shd w:val="clear" w:color="auto" w:fill="auto"/>
          </w:tcPr>
          <w:p w14:paraId="000001C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1</w:t>
            </w:r>
          </w:p>
        </w:tc>
        <w:tc>
          <w:tcPr>
            <w:cnfStyle w:val="000000100000"/>
            <w:tcW w:w="3119" w:type="dxa"/>
            <w:noWrap w:val="on"/>
            <w:shd w:val="clear" w:color="auto" w:fill="auto"/>
          </w:tcPr>
          <w:p w14:paraId="000001C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995961.12</w:t>
            </w:r>
          </w:p>
        </w:tc>
        <w:tc>
          <w:tcPr>
            <w:cnfStyle w:val="000000100000"/>
            <w:tcW w:w="2409" w:type="dxa"/>
            <w:noWrap w:val="on"/>
            <w:shd w:val="clear" w:color="auto" w:fill="auto"/>
          </w:tcPr>
          <w:p w14:paraId="000001C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2732098.81</w:t>
            </w:r>
          </w:p>
        </w:tc>
      </w:tr>
    </w:tbl>
    <w:p w14:paraId="000001C5">
      <w:pPr>
        <w:pStyle w:val="Normal"/>
        <w:ind w:firstLine="723"/>
        <w:jc w:val="both"/>
        <w:rPr>
          <w:rFonts w:ascii="Times New Roman" w:cs="Times New Roman" w:hAnsi="Times New Roman"/>
          <w:sz w:val="28"/>
          <w:szCs w:val="28"/>
          <w:lang w:eastAsia="en-US"/>
        </w:rPr>
      </w:pPr>
    </w:p>
    <w:p w14:paraId="000001C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p>
    <w:p w14:paraId="000001C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Проектом планировки территории не предусматривается реконструкция проектируемых объектов.</w:t>
      </w:r>
    </w:p>
    <w:p w14:paraId="000001C8">
      <w:pPr>
        <w:pStyle w:val="Normal"/>
        <w:ind w:firstLine="723"/>
        <w:jc w:val="both"/>
        <w:rPr>
          <w:rFonts w:ascii="Times New Roman" w:cs="Times New Roman" w:hAnsi="Times New Roman"/>
          <w:sz w:val="28"/>
          <w:szCs w:val="28"/>
          <w:lang w:eastAsia="en-US"/>
        </w:rPr>
      </w:pPr>
    </w:p>
    <w:p w14:paraId="000001C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2.5 Предельные параметры разрешенного строительства, реконструкции объектов капитального строительства, входящих в состав линейного объекта в границах зон его планируемого размещения</w:t>
      </w:r>
    </w:p>
    <w:p w14:paraId="000001C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14:paraId="000001C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Учитывая основные технические характеристики проектируемого объекта, проектом планировки территории определены границы зоны его планируемого размещения.</w:t>
      </w:r>
    </w:p>
    <w:p w14:paraId="000001C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Общая зона планируемого размещения проектируемого объекта составляет </w:t>
      </w:r>
      <w:r>
        <w:rPr>
          <w:rFonts w:ascii="Times New Roman" w:cs="Times New Roman" w:hAnsi="Times New Roman"/>
          <w:sz w:val="28"/>
          <w:szCs w:val="28"/>
          <w:lang w:eastAsia="en-US"/>
        </w:rPr>
        <w:t>24,2562</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га.</w:t>
      </w:r>
    </w:p>
    <w:p w14:paraId="000001C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Границы зоны планируемого размещения объекта установлена в соответствии с требованиями действующих норм отвода и учтена п</w:t>
      </w:r>
      <w:r>
        <w:rPr>
          <w:rFonts w:ascii="Times New Roman" w:cs="Times New Roman" w:hAnsi="Times New Roman"/>
          <w:sz w:val="28"/>
          <w:szCs w:val="28"/>
          <w:lang w:eastAsia="en-US"/>
        </w:rPr>
        <w:t>ри разработке рабочего проекта.</w:t>
      </w:r>
    </w:p>
    <w:p w14:paraId="000001CE">
      <w:pPr>
        <w:pStyle w:val="Normal"/>
        <w:ind w:firstLine="723"/>
        <w:jc w:val="both"/>
        <w:rPr>
          <w:rFonts w:ascii="Times New Roman" w:cs="Times New Roman" w:hAnsi="Times New Roman"/>
          <w:sz w:val="28"/>
          <w:szCs w:val="28"/>
          <w:lang w:eastAsia="en-US"/>
        </w:rPr>
      </w:pPr>
    </w:p>
    <w:p w14:paraId="000001CF">
      <w:pPr>
        <w:pStyle w:val="Normal"/>
        <w:ind w:firstLine="723"/>
        <w:jc w:val="both"/>
        <w:rPr>
          <w:rFonts w:ascii="Times New Roman" w:cs="Times New Roman" w:hAnsi="Times New Roman"/>
          <w:sz w:val="28"/>
          <w:szCs w:val="28"/>
        </w:rPr>
      </w:pPr>
      <w:r>
        <w:rPr>
          <w:rFonts w:ascii="Times New Roman" w:cs="Times New Roman" w:hAnsi="Times New Roman"/>
          <w:sz w:val="28"/>
          <w:szCs w:val="28"/>
        </w:rPr>
        <w:t>2.6 Информация о необходимости осуществления мероприятий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14:paraId="000001D0">
      <w:pPr>
        <w:pStyle w:val="Normal"/>
        <w:ind w:firstLine="723"/>
        <w:jc w:val="both"/>
        <w:rPr>
          <w:rFonts w:ascii="Times New Roman" w:cs="Times New Roman" w:hAnsi="Times New Roman"/>
          <w:sz w:val="28"/>
          <w:szCs w:val="28"/>
        </w:rPr>
      </w:pPr>
      <w:r>
        <w:rPr>
          <w:rFonts w:ascii="Times New Roman" w:cs="Times New Roman" w:hAnsi="Times New Roman"/>
          <w:sz w:val="28"/>
          <w:szCs w:val="28"/>
        </w:rPr>
        <w:t>Вариантность выбора места размещения линейных объектов не рассматривалась т.к. проектируемый объект технологически привязан к объектам сложившейся инфраструктуры (продолжение разработки и обустройства Приобского месторождения, прохождение вдоль существующих коридоров коммуникаций).</w:t>
      </w:r>
    </w:p>
    <w:p w14:paraId="000001D1">
      <w:pPr>
        <w:pStyle w:val="Normal"/>
        <w:ind w:firstLine="723"/>
        <w:jc w:val="both"/>
        <w:rPr>
          <w:rFonts w:ascii="Times New Roman" w:cs="Times New Roman" w:hAnsi="Times New Roman"/>
          <w:sz w:val="28"/>
          <w:szCs w:val="28"/>
        </w:rPr>
      </w:pPr>
      <w:r>
        <w:rPr>
          <w:rFonts w:ascii="Times New Roman" w:cs="Times New Roman" w:hAnsi="Times New Roman"/>
          <w:sz w:val="28"/>
          <w:szCs w:val="28"/>
        </w:rPr>
        <w:t>Осуществление мероприятий по сохранению объектов капитального строительства (существующих и строящихся на момент подготовки проекта планировки территории) и объектов капитального строительства, планируемых к строительству в соответствии с ранее утвержденной документацией при планировке территории, не предусмотрено.</w:t>
      </w:r>
    </w:p>
    <w:p w14:paraId="000001D2">
      <w:pPr>
        <w:pStyle w:val="Normal"/>
        <w:ind w:firstLine="723"/>
        <w:jc w:val="both"/>
        <w:rPr>
          <w:rFonts w:ascii="Times New Roman" w:cs="Times New Roman" w:hAnsi="Times New Roman"/>
          <w:sz w:val="28"/>
          <w:szCs w:val="28"/>
        </w:rPr>
      </w:pPr>
    </w:p>
    <w:p w14:paraId="000001D3">
      <w:pPr>
        <w:pStyle w:val="Normal"/>
        <w:ind w:firstLine="723"/>
        <w:jc w:val="both"/>
        <w:rPr>
          <w:rFonts w:ascii="Times New Roman" w:cs="Times New Roman" w:hAnsi="Times New Roman"/>
          <w:sz w:val="28"/>
          <w:szCs w:val="28"/>
        </w:rPr>
      </w:pPr>
      <w:r>
        <w:rPr>
          <w:rFonts w:ascii="Times New Roman" w:cs="Times New Roman" w:hAnsi="Times New Roman"/>
          <w:sz w:val="28"/>
          <w:szCs w:val="28"/>
        </w:rPr>
        <w:t>2</w:t>
      </w:r>
      <w:r>
        <w:rPr>
          <w:rFonts w:ascii="Times New Roman" w:cs="Times New Roman" w:hAnsi="Times New Roman"/>
          <w:sz w:val="28"/>
          <w:szCs w:val="28"/>
        </w:rPr>
        <w:t>.7 Информация о необходимости осуществления мероприятий по сохранению объектов культурного наследия  и т</w:t>
      </w:r>
      <w:r>
        <w:rPr>
          <w:rFonts w:ascii="Times New Roman" w:cs="Times New Roman" w:hAnsi="Times New Roman"/>
          <w:sz w:val="28"/>
          <w:szCs w:val="28"/>
        </w:rPr>
        <w:t>ерритории традиционного природопользования коренных малочисленных народов Севера, Сибири и Дальнего Востока</w:t>
      </w:r>
      <w:r>
        <w:rPr>
          <w:rFonts w:ascii="Times New Roman" w:cs="Times New Roman" w:hAnsi="Times New Roman"/>
          <w:sz w:val="28"/>
          <w:szCs w:val="28"/>
        </w:rPr>
        <w:t xml:space="preserve"> от возможного негативного воздействия в связи с размещением линейного объекта</w:t>
      </w:r>
    </w:p>
    <w:p w14:paraId="000001D4">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 xml:space="preserve"> </w:t>
      </w:r>
      <w:r>
        <w:rPr>
          <w:rFonts w:ascii="Times New Roman" w:cs="Times New Roman" w:hAnsi="Times New Roman"/>
          <w:sz w:val="28"/>
          <w:szCs w:val="28"/>
        </w:rPr>
        <w:t>Согласно  Заключению  Службы  государственной  охраны  объектов  культурного наследия  Ханты-Мансийского автономного округа-Югры  № 24-3024 от 19.06.2024 г.</w:t>
      </w:r>
    </w:p>
    <w:p w14:paraId="000001D5">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          На территории испрашиваемого земельного участка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отсутствуют. Испрашиваемый земельный участок расположен вне зон охраны/защитных зон объектов культурного наследия. Сведениями об отсутствии/наличии на территории испрашиваемого земельного участка выявленных объектов культурного наследия либо объектов, обладающих признаками объекта культурного наследия, Госкультохрана Югры не располагает.</w:t>
      </w:r>
    </w:p>
    <w:p w14:paraId="000001D6">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         В соответствии с письмом Департамента недропользования и природных ресурсов Ханты-Мансийского автономного округа-Югры № 21095 от 10.07.2024 г. проектируемый объект не  находится в границах территорий традиционного природопользования коренных малочисленных народов Севера регионального значения в Ханты-Мансийском автономном округе.</w:t>
      </w:r>
    </w:p>
    <w:p w14:paraId="000001D7">
      <w:pPr>
        <w:pStyle w:val="Normal"/>
        <w:ind w:firstLine="723"/>
        <w:jc w:val="both"/>
        <w:rPr>
          <w:rFonts w:ascii="Times New Roman" w:cs="Times New Roman" w:hAnsi="Times New Roman"/>
          <w:sz w:val="28"/>
          <w:szCs w:val="28"/>
        </w:rPr>
      </w:pPr>
    </w:p>
    <w:p w14:paraId="000001D8">
      <w:pPr>
        <w:pStyle w:val="Normal"/>
        <w:ind w:firstLine="723"/>
        <w:jc w:val="both"/>
        <w:rPr>
          <w:rFonts w:ascii="Times New Roman" w:cs="Times New Roman" w:hAnsi="Times New Roman"/>
          <w:sz w:val="28"/>
          <w:szCs w:val="28"/>
        </w:rPr>
      </w:pPr>
      <w:r>
        <w:rPr>
          <w:rFonts w:ascii="Times New Roman" w:cs="Times New Roman" w:hAnsi="Times New Roman"/>
          <w:sz w:val="28"/>
          <w:szCs w:val="28"/>
        </w:rPr>
        <w:t>2.8 Информация о необходимости осуществления мероприятий по охране окружающей среды</w:t>
      </w:r>
    </w:p>
    <w:p w14:paraId="000001D9">
      <w:pPr>
        <w:pStyle w:val="Normal"/>
        <w:ind w:firstLine="723"/>
        <w:jc w:val="both"/>
        <w:rPr>
          <w:rFonts w:ascii="Times New Roman" w:cs="Times New Roman" w:hAnsi="Times New Roman"/>
          <w:sz w:val="28"/>
          <w:szCs w:val="28"/>
        </w:rPr>
      </w:pPr>
      <w:r>
        <w:rPr>
          <w:rFonts w:ascii="Times New Roman" w:cs="Times New Roman" w:hAnsi="Times New Roman"/>
          <w:sz w:val="28"/>
          <w:szCs w:val="28"/>
        </w:rPr>
        <w:t>В целях охраны поверхностных водных объектов устанавливаются водоохранные зоны.</w:t>
      </w:r>
    </w:p>
    <w:p w14:paraId="000001DA">
      <w:pPr>
        <w:pStyle w:val="Normal"/>
        <w:ind w:firstLine="723"/>
        <w:jc w:val="both"/>
        <w:rPr>
          <w:rFonts w:ascii="Times New Roman" w:cs="Times New Roman" w:hAnsi="Times New Roman"/>
          <w:sz w:val="28"/>
          <w:szCs w:val="28"/>
        </w:rPr>
      </w:pPr>
      <w:r>
        <w:rPr>
          <w:rFonts w:ascii="Times New Roman" w:cs="Times New Roman" w:hAnsi="Times New Roman"/>
          <w:sz w:val="28"/>
          <w:szCs w:val="28"/>
        </w:rPr>
        <w:t>Согласно «Водному кодексу Российской Федерации» от 03.06.2006 г. № 74-ФЗ, а также п.4 Правил установления на местности границ водоохранных зон и границ прибрежных полос водных объектов, утвержденных Постановлением правительства от 10.01.2009 г. РФ № 17.</w:t>
      </w:r>
    </w:p>
    <w:p w14:paraId="000001DB">
      <w:pPr>
        <w:pStyle w:val="Normal"/>
        <w:ind w:firstLine="723"/>
        <w:jc w:val="both"/>
        <w:rPr>
          <w:rFonts w:ascii="Times New Roman" w:cs="Times New Roman" w:hAnsi="Times New Roman"/>
          <w:sz w:val="28"/>
          <w:szCs w:val="28"/>
        </w:rPr>
      </w:pPr>
      <w:r>
        <w:rPr>
          <w:rFonts w:ascii="Times New Roman" w:cs="Times New Roman" w:hAnsi="Times New Roman"/>
          <w:sz w:val="28"/>
          <w:szCs w:val="28"/>
        </w:rPr>
        <w:t>Ширина водоохранной зоны рек или ручьев устанавливается от их истока для рек и ручьев протяженностью:</w:t>
      </w:r>
    </w:p>
    <w:p w14:paraId="000001DC">
      <w:pPr>
        <w:pStyle w:val="Normal"/>
        <w:ind w:firstLine="723"/>
        <w:jc w:val="both"/>
        <w:rPr>
          <w:rFonts w:ascii="Times New Roman" w:cs="Times New Roman" w:hAnsi="Times New Roman"/>
          <w:sz w:val="28"/>
          <w:szCs w:val="28"/>
        </w:rPr>
      </w:pPr>
      <w:r>
        <w:rPr>
          <w:rFonts w:ascii="Times New Roman" w:cs="Times New Roman" w:hAnsi="Times New Roman"/>
          <w:sz w:val="28"/>
          <w:szCs w:val="28"/>
        </w:rPr>
        <w:t>- до десяти километров – в размере пятидесяти метров;</w:t>
      </w:r>
    </w:p>
    <w:p w14:paraId="000001DD">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от десяти до пятидесяти километров – в размере ста метров;</w:t>
      </w:r>
    </w:p>
    <w:p w14:paraId="000001DE">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от пятидесяти километров и более – в размере двухсот метров.</w:t>
      </w:r>
    </w:p>
    <w:p w14:paraId="000001DF">
      <w:pPr>
        <w:pStyle w:val="Normal"/>
        <w:ind w:firstLine="723"/>
        <w:jc w:val="both"/>
        <w:rPr>
          <w:rFonts w:ascii="Times New Roman" w:cs="Times New Roman" w:hAnsi="Times New Roman"/>
          <w:sz w:val="28"/>
          <w:szCs w:val="28"/>
        </w:rPr>
      </w:pPr>
      <w:r>
        <w:rPr>
          <w:rFonts w:ascii="Times New Roman" w:cs="Times New Roman" w:hAnsi="Times New Roman"/>
          <w:sz w:val="28"/>
          <w:szCs w:val="28"/>
        </w:rPr>
        <w:t>Для реки, ручья протяженностью менее десяти километров от истока до устья водоохранной зона совпадает с прибрежной защитной полосой. Радиус водоохраной зоны для истоков реки, ручья устанавливается в размере пятидесяти метров.</w:t>
      </w:r>
    </w:p>
    <w:p w14:paraId="000001E0">
      <w:pPr>
        <w:pStyle w:val="Normal"/>
        <w:ind w:firstLine="723"/>
        <w:jc w:val="both"/>
        <w:rPr>
          <w:rFonts w:ascii="Times New Roman" w:cs="Times New Roman" w:hAnsi="Times New Roman"/>
          <w:sz w:val="28"/>
          <w:szCs w:val="28"/>
        </w:rPr>
      </w:pPr>
      <w:r>
        <w:rPr>
          <w:rFonts w:ascii="Times New Roman" w:cs="Times New Roman" w:hAnsi="Times New Roman"/>
          <w:sz w:val="28"/>
          <w:szCs w:val="28"/>
        </w:rPr>
        <w:t>Ширина водоохранной зоны озера, водохранилища, за исключением озера, расположенного внутри болота, или озера, водохранилища с акваторией менее 0,5 км2,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14:paraId="000001E1">
      <w:pPr>
        <w:pStyle w:val="Normal"/>
        <w:ind w:firstLine="723"/>
        <w:jc w:val="both"/>
        <w:rPr>
          <w:rFonts w:ascii="Times New Roman" w:cs="Times New Roman" w:hAnsi="Times New Roman"/>
          <w:sz w:val="28"/>
          <w:szCs w:val="28"/>
        </w:rPr>
      </w:pPr>
      <w:r>
        <w:rPr>
          <w:rFonts w:ascii="Times New Roman" w:cs="Times New Roman" w:hAnsi="Times New Roman"/>
          <w:sz w:val="28"/>
          <w:szCs w:val="28"/>
        </w:rPr>
        <w:t>Река Обь: Водоохранная зона (ВОЗ) – 200 м; прибрежнозащитная полоса (ПЗП) – 50м;</w:t>
      </w:r>
    </w:p>
    <w:p w14:paraId="000001E2">
      <w:pPr>
        <w:pStyle w:val="Normal"/>
        <w:ind w:firstLine="723"/>
        <w:jc w:val="both"/>
        <w:rPr>
          <w:rFonts w:ascii="Times New Roman" w:cs="Times New Roman" w:hAnsi="Times New Roman"/>
          <w:sz w:val="28"/>
          <w:szCs w:val="28"/>
        </w:rPr>
      </w:pPr>
      <w:r>
        <w:rPr>
          <w:rFonts w:ascii="Times New Roman" w:cs="Times New Roman" w:hAnsi="Times New Roman"/>
          <w:sz w:val="28"/>
          <w:szCs w:val="28"/>
        </w:rPr>
        <w:t>Протока Лабытвор: Водоохранная зона (ВОЗ) – 200 м; прибрежнозащитная полоса (ПЗП) – 50м;</w:t>
      </w:r>
    </w:p>
    <w:p w14:paraId="000001E3">
      <w:pPr>
        <w:pStyle w:val="Normal"/>
        <w:ind w:firstLine="723"/>
        <w:jc w:val="both"/>
        <w:rPr>
          <w:rFonts w:ascii="Times New Roman" w:cs="Times New Roman" w:hAnsi="Times New Roman"/>
          <w:sz w:val="28"/>
          <w:szCs w:val="28"/>
        </w:rPr>
      </w:pPr>
      <w:r>
        <w:rPr>
          <w:rFonts w:ascii="Times New Roman" w:cs="Times New Roman" w:hAnsi="Times New Roman"/>
          <w:sz w:val="28"/>
          <w:szCs w:val="28"/>
        </w:rPr>
        <w:t>Река Кедровая: Водоохранная зона (ВОЗ) – 50 м; прибрежнозащитная полоса (ПЗП) – 50м;</w:t>
      </w:r>
    </w:p>
    <w:p w14:paraId="000001E4">
      <w:pPr>
        <w:pStyle w:val="Normal"/>
        <w:ind w:firstLine="723"/>
        <w:jc w:val="both"/>
        <w:rPr>
          <w:rFonts w:ascii="Times New Roman" w:cs="Times New Roman" w:hAnsi="Times New Roman"/>
          <w:sz w:val="28"/>
          <w:szCs w:val="28"/>
        </w:rPr>
      </w:pPr>
      <w:r>
        <w:rPr>
          <w:rFonts w:ascii="Times New Roman" w:cs="Times New Roman" w:hAnsi="Times New Roman"/>
          <w:sz w:val="28"/>
          <w:szCs w:val="28"/>
        </w:rPr>
        <w:t>В границах водоохранных зон согласно ст.65 Водного Кодекса РФ запрещается:</w:t>
      </w:r>
    </w:p>
    <w:p w14:paraId="000001E5">
      <w:pPr>
        <w:pStyle w:val="Normal"/>
        <w:ind w:firstLine="723"/>
        <w:jc w:val="both"/>
        <w:rPr>
          <w:rFonts w:ascii="Times New Roman" w:cs="Times New Roman" w:hAnsi="Times New Roman"/>
          <w:sz w:val="28"/>
          <w:szCs w:val="28"/>
        </w:rPr>
      </w:pPr>
      <w:r>
        <w:rPr>
          <w:rFonts w:ascii="Times New Roman" w:cs="Times New Roman" w:hAnsi="Times New Roman"/>
          <w:sz w:val="28"/>
          <w:szCs w:val="28"/>
        </w:rPr>
        <w:t>- размещение мест захоронения отходов производства и потребления;</w:t>
      </w:r>
    </w:p>
    <w:p w14:paraId="000001E6">
      <w:pPr>
        <w:pStyle w:val="Normal"/>
        <w:ind w:firstLine="723"/>
        <w:jc w:val="both"/>
        <w:rPr>
          <w:rFonts w:ascii="Times New Roman" w:cs="Times New Roman" w:hAnsi="Times New Roman"/>
          <w:sz w:val="28"/>
          <w:szCs w:val="28"/>
        </w:rPr>
      </w:pPr>
      <w:r>
        <w:rPr>
          <w:rFonts w:ascii="Times New Roman" w:cs="Times New Roman" w:hAnsi="Times New Roman"/>
          <w:sz w:val="28"/>
          <w:szCs w:val="28"/>
        </w:rPr>
        <w:t>- движение и стоянка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000001E7">
      <w:pPr>
        <w:pStyle w:val="Normal"/>
        <w:ind w:firstLine="723"/>
        <w:jc w:val="both"/>
        <w:rPr>
          <w:rFonts w:ascii="Times New Roman" w:cs="Times New Roman" w:hAnsi="Times New Roman"/>
          <w:sz w:val="28"/>
          <w:szCs w:val="28"/>
        </w:rPr>
      </w:pPr>
      <w:r>
        <w:rPr>
          <w:rFonts w:ascii="Times New Roman" w:cs="Times New Roman" w:hAnsi="Times New Roman"/>
          <w:sz w:val="28"/>
          <w:szCs w:val="28"/>
        </w:rPr>
        <w:t>- сбор сточных, в том числе дренажных, вод.</w:t>
      </w:r>
    </w:p>
    <w:p w14:paraId="000001E8">
      <w:pPr>
        <w:pStyle w:val="Normal"/>
        <w:ind w:firstLine="723"/>
        <w:jc w:val="both"/>
        <w:rPr>
          <w:rFonts w:ascii="Times New Roman" w:cs="Times New Roman" w:hAnsi="Times New Roman"/>
          <w:sz w:val="28"/>
          <w:szCs w:val="28"/>
        </w:rPr>
      </w:pPr>
      <w:r>
        <w:rPr>
          <w:rFonts w:ascii="Times New Roman" w:cs="Times New Roman" w:hAnsi="Times New Roman"/>
          <w:sz w:val="28"/>
          <w:szCs w:val="28"/>
        </w:rPr>
        <w:t>Проектируемые площадные объекты располагаются вне водоохранных зон и прибрежных защитных полос близлежащих водных объектов.</w:t>
      </w:r>
      <w:r>
        <w:rPr>
          <w:rFonts w:ascii="Times New Roman" w:cs="Times New Roman" w:hAnsi="Times New Roman"/>
          <w:sz w:val="28"/>
          <w:szCs w:val="28"/>
        </w:rPr>
        <w:t>Сброс загрязненных сточных вод в поверхностные водотоки отсутствует. Вода из поверхностных водотоков на производственные нужды в период строительства не используется.</w:t>
      </w:r>
    </w:p>
    <w:p w14:paraId="000001E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Для уменьшения воздействия на водотоки предусмотрены следующие мероприятия:</w:t>
      </w:r>
    </w:p>
    <w:p w14:paraId="000001E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-выполнение строительно-монтажных работ с применением гусеничной техники должно осуществляться в зимний период для уменьшения воздействия строительной техники на растительный береговой покров; в остальные сезоны года строительно-монтажные работы, движение транспорта и строительной техники должно осуществляться только по существующим автомобильным дорогам, зимникам и временным вдольтрассовым проездам;</w:t>
      </w:r>
    </w:p>
    <w:p w14:paraId="000001E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-все отходы защитных материалов, остатки горючесмазочных материалов тщательно должны собираться в передвижное оборудование (мусоросборники, емкости для сбора отработанных горюче-смазочных материалов) и вывозиться в места, согласованные с соответствующими муниципальными органами и органами государственной власти Российской Федерации;</w:t>
      </w:r>
    </w:p>
    <w:p w14:paraId="000001E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-после завершения строительства  выполняются рекультивационные работы.</w:t>
      </w:r>
    </w:p>
    <w:p w14:paraId="000001E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Организационный сброс стоков или загрязняющих веществ на поверхность земли и в водотоки не производится. Попадание загрязняющих веществ в водные объекты в результате размыва и выноса ливневыми и талыми водами возможно лишь при неправильном хранении строительных материалов и аварийных утечек дизтоплива работающих механизмов в период строительства.</w:t>
      </w:r>
    </w:p>
    <w:p w14:paraId="000001E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На всех этапах работ осуществляется входной, операционный  и приемочный контроль качества строительства, а также  проводится своевременный профилактический осмотр, ремонт и диагностика оборудования.</w:t>
      </w:r>
    </w:p>
    <w:p w14:paraId="000001E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Ущерб окружающей среде может быть нанесен лишь в аварийных случаях, но для их предотвращения предусмотрены все возможные мероприятия в соответствии с требованиями законодательства Российской Федерации.</w:t>
      </w:r>
    </w:p>
    <w:p w14:paraId="000001F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Для уменьшения негативного воздействия на окружающую среду проектом планировки предусмотрены следующие мероприятия:</w:t>
      </w:r>
    </w:p>
    <w:p w14:paraId="000001F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не допускается использование земель за пределами установленных границ отвода;</w:t>
      </w:r>
    </w:p>
    <w:p w14:paraId="000001F2">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рекультивация нарушенных земель;</w:t>
      </w:r>
    </w:p>
    <w:p w14:paraId="000001F3">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уборка строительного мусора, выравнивание ям, котлованов и траншей;</w:t>
      </w:r>
    </w:p>
    <w:p w14:paraId="000001F4">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благоустройство территории;</w:t>
      </w:r>
    </w:p>
    <w:p w14:paraId="000001F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использование технически исправного автотранспорта прошедшего проверку на дымность и токсичность выбросов в соответствии с действующим законодательством;</w:t>
      </w:r>
    </w:p>
    <w:p w14:paraId="000001F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не допускаются к работе неисправные технические средства, способные вызвать загорание;</w:t>
      </w:r>
    </w:p>
    <w:p w14:paraId="000001F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запрещается захламление территории строительными отходами;</w:t>
      </w:r>
    </w:p>
    <w:p w14:paraId="000001F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запрещается разлив горюче-смазочных материалов, слив отработанных масел и т.п.;</w:t>
      </w:r>
    </w:p>
    <w:p w14:paraId="000001F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соблюдение требований к накоплению и транспортировке отходов;</w:t>
      </w:r>
    </w:p>
    <w:p w14:paraId="000001F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с целью уменьшения отрицательного воздействия строительства на окружающую среду, применяется укрупнение и повышение технологической готовности конструкций и материалов;</w:t>
      </w:r>
    </w:p>
    <w:p w14:paraId="000001FB">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снятие и перемещение почвенного слоя почвы в места временного складирования и хранения. Снятие, транспортировка, хранение и восстановление почвенного слоя должно проводиться так, чтобы исключить снижение его качественных показателей, а также его количественных потерь;</w:t>
      </w:r>
    </w:p>
    <w:p w14:paraId="000001FC">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при строительстве опор линий ВЛ почвенно-растительный слой не снимается;</w:t>
      </w:r>
    </w:p>
    <w:p w14:paraId="000001FD">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выполнение строительно-монтажных работ в зимний период для уменьшения воздействия строительных машин на почвенно-растительный покров;</w:t>
      </w:r>
    </w:p>
    <w:p w14:paraId="000001FE">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устройство водопропусков;</w:t>
      </w:r>
    </w:p>
    <w:p w14:paraId="000001FF">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запрещается разлив горюче-смазочных материалов, слив на трассе отработанных масел и т.п.;</w:t>
      </w:r>
    </w:p>
    <w:p w14:paraId="00000200">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запрещается не</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регламентируемая охота, рыбная ловля и браконьерство;</w:t>
      </w:r>
    </w:p>
    <w:p w14:paraId="00000201">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избежание нарушения естественно-дренажной сети, восстановление ее в близком, к существующему, до начала строительства виде,  для предотвращения возможных процессов заболачивания территории,  и как следствие, деградация растительности из-за затруднения или полного прекращения естественного дренирования;</w:t>
      </w:r>
    </w:p>
    <w:p w14:paraId="00000202">
      <w:pPr>
        <w:pStyle w:val="Normal"/>
        <w:ind w:firstLine="723"/>
        <w:jc w:val="both"/>
        <w:rPr>
          <w:rFonts w:ascii="Times New Roman" w:cs="Times New Roman" w:hAnsi="Times New Roman"/>
          <w:sz w:val="28"/>
          <w:szCs w:val="28"/>
        </w:rPr>
      </w:pPr>
      <w:r>
        <w:rPr>
          <w:rFonts w:ascii="Times New Roman" w:cs="Times New Roman" w:hAnsi="Times New Roman"/>
          <w:sz w:val="28"/>
          <w:szCs w:val="28"/>
        </w:rPr>
        <w:t>- мониторинг за компонентами окружающей среды в период строительства проектируемых объектов.</w:t>
      </w:r>
    </w:p>
    <w:p w14:paraId="00000203">
      <w:pPr>
        <w:pStyle w:val="Normal"/>
        <w:ind w:firstLine="723"/>
        <w:jc w:val="both"/>
        <w:rPr>
          <w:rFonts w:ascii="Times New Roman" w:cs="Times New Roman" w:hAnsi="Times New Roman"/>
          <w:sz w:val="28"/>
          <w:szCs w:val="28"/>
        </w:rPr>
      </w:pPr>
      <w:r>
        <w:rPr>
          <w:rFonts w:ascii="Times New Roman" w:cs="Times New Roman" w:hAnsi="Times New Roman"/>
          <w:sz w:val="28"/>
          <w:szCs w:val="28"/>
        </w:rPr>
        <w:t>За нарушение окружающей среды несут персональную дисциплинарную, административную, материальную и уголовную ответственность производители работ и лица, непосредственно нанесшие урон окружающей среде.</w:t>
      </w:r>
    </w:p>
    <w:p w14:paraId="00000204">
      <w:pPr>
        <w:pStyle w:val="Normal"/>
        <w:ind w:firstLine="723"/>
        <w:jc w:val="both"/>
        <w:rPr>
          <w:rFonts w:ascii="Times New Roman" w:cs="Times New Roman" w:hAnsi="Times New Roman"/>
          <w:sz w:val="28"/>
          <w:szCs w:val="28"/>
        </w:rPr>
      </w:pPr>
      <w:r>
        <w:rPr>
          <w:rFonts w:ascii="Times New Roman" w:cs="Times New Roman" w:hAnsi="Times New Roman"/>
          <w:sz w:val="28"/>
          <w:szCs w:val="28"/>
        </w:rPr>
        <w:t>При неукоснительном соблюдении природоохранных мероприятий и рекомендаций относительно сроков производства строительных работ воздействие на компоненты природной среды планируемых работ прогнозируется как минимальное.</w:t>
      </w:r>
    </w:p>
    <w:p w14:paraId="00000205">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Мероприятия по охране атмосферного воздуха включают:</w:t>
      </w:r>
    </w:p>
    <w:p w14:paraId="00000206">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сокращение выбросов загрязняющих веществ от всех стационарных и передвижных источников. Содержание вредных веществ в воздухе рабочей зоны не должно превышать значений предельно допустимой концентрации;</w:t>
      </w:r>
    </w:p>
    <w:p w14:paraId="00000207">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временное накопление обтирочного материала, отходов изоляции и мусора от бытовых помещений в металлических контейнерах;</w:t>
      </w:r>
    </w:p>
    <w:p w14:paraId="00000208">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недопущение сжигания различных видов отходов вне специальных устройств, оборудованных системой газоочистки продуктов сжигания;</w:t>
      </w:r>
    </w:p>
    <w:p w14:paraId="00000209">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обеспечение постоянного учета контроля работы всех видов транспорта, хранения и отпуска горючесмазочных материалов (далее – ГСМ);</w:t>
      </w:r>
    </w:p>
    <w:p w14:paraId="0000020A">
      <w:pPr>
        <w:pStyle w:val="Normal"/>
        <w:ind w:firstLine="723"/>
        <w:jc w:val="both"/>
        <w:rPr>
          <w:rFonts w:ascii="Times New Roman" w:cs="Times New Roman" w:hAnsi="Times New Roman"/>
          <w:sz w:val="28"/>
          <w:szCs w:val="28"/>
          <w:lang w:eastAsia="en-US"/>
        </w:rPr>
      </w:pPr>
      <w:r>
        <w:rPr>
          <w:rFonts w:ascii="Times New Roman" w:cs="Times New Roman" w:hAnsi="Times New Roman"/>
          <w:sz w:val="28"/>
          <w:szCs w:val="28"/>
          <w:lang w:eastAsia="en-US"/>
        </w:rPr>
        <w:t>- осуществление заправки и ремонта техники на специально оборудованных для этих целей площадках и базах.</w:t>
      </w:r>
    </w:p>
    <w:p w14:paraId="0000020B">
      <w:pPr>
        <w:pStyle w:val="Normal"/>
        <w:ind w:firstLine="723"/>
        <w:jc w:val="both"/>
        <w:rPr>
          <w:rFonts w:ascii="Times New Roman" w:cs="Times New Roman" w:hAnsi="Times New Roman"/>
          <w:sz w:val="28"/>
          <w:szCs w:val="28"/>
        </w:rPr>
      </w:pPr>
      <w:r>
        <w:rPr>
          <w:rFonts w:ascii="Times New Roman" w:cs="Times New Roman" w:hAnsi="Times New Roman"/>
          <w:sz w:val="28"/>
          <w:szCs w:val="28"/>
        </w:rPr>
        <w:t>В целях минимизации отрицательного влияния на почвенно-растительный покров проектом предусматривается:</w:t>
      </w:r>
    </w:p>
    <w:p w14:paraId="0000020C">
      <w:pPr>
        <w:pStyle w:val="Normal"/>
        <w:ind w:firstLine="723"/>
        <w:jc w:val="both"/>
        <w:rPr>
          <w:rFonts w:ascii="Times New Roman" w:cs="Times New Roman" w:hAnsi="Times New Roman"/>
          <w:sz w:val="28"/>
          <w:szCs w:val="28"/>
        </w:rPr>
      </w:pPr>
      <w:r>
        <w:rPr>
          <w:rFonts w:ascii="Times New Roman" w:cs="Times New Roman" w:hAnsi="Times New Roman"/>
          <w:sz w:val="28"/>
          <w:szCs w:val="28"/>
        </w:rPr>
        <w:t>- уборка строительного мусора, выравнивание ям, котлованов и траншей;</w:t>
      </w:r>
    </w:p>
    <w:p w14:paraId="0000020D">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озеленение свободной от застройки территории.</w:t>
      </w:r>
    </w:p>
    <w:p w14:paraId="0000020E">
      <w:pPr>
        <w:pStyle w:val="Normal"/>
        <w:ind w:firstLine="723"/>
        <w:jc w:val="both"/>
        <w:rPr>
          <w:rFonts w:ascii="Times New Roman" w:cs="Times New Roman" w:hAnsi="Times New Roman"/>
          <w:sz w:val="28"/>
          <w:szCs w:val="28"/>
        </w:rPr>
      </w:pPr>
      <w:r>
        <w:rPr>
          <w:rFonts w:ascii="Times New Roman" w:cs="Times New Roman" w:hAnsi="Times New Roman"/>
          <w:sz w:val="28"/>
          <w:szCs w:val="28"/>
        </w:rPr>
        <w:t>- рекультивация нарушенных земель, в т.ч</w:t>
      </w:r>
      <w:r>
        <w:rPr>
          <w:rFonts w:ascii="Times New Roman" w:cs="Times New Roman" w:hAnsi="Times New Roman"/>
          <w:sz w:val="28"/>
          <w:szCs w:val="28"/>
        </w:rPr>
        <w:t>.</w:t>
      </w:r>
      <w:r>
        <w:rPr>
          <w:rFonts w:ascii="Times New Roman" w:cs="Times New Roman" w:hAnsi="Times New Roman"/>
          <w:sz w:val="28"/>
          <w:szCs w:val="28"/>
        </w:rPr>
        <w:t xml:space="preserve"> технический этап рекультивации, биологический этап рекультивации;</w:t>
      </w:r>
    </w:p>
    <w:p w14:paraId="0000020F">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обращение с отходами осуществляется на основании договоров со специализированными предприятиями, имеющими лицензии по обращению с отходами.</w:t>
      </w:r>
    </w:p>
    <w:p w14:paraId="00000210">
      <w:pPr>
        <w:pStyle w:val="Normal"/>
        <w:ind w:firstLine="723"/>
        <w:jc w:val="both"/>
        <w:rPr>
          <w:rFonts w:ascii="Times New Roman" w:cs="Times New Roman" w:hAnsi="Times New Roman"/>
          <w:sz w:val="28"/>
          <w:szCs w:val="28"/>
        </w:rPr>
      </w:pPr>
      <w:r>
        <w:rPr>
          <w:rFonts w:ascii="Times New Roman" w:cs="Times New Roman" w:hAnsi="Times New Roman"/>
          <w:sz w:val="28"/>
          <w:szCs w:val="28"/>
        </w:rPr>
        <w:t>- деловую древесину рекомендуется использовать при устройстве лежневых временных дорог, лежневых настилов при пересечении с подземными коммуникациями; утилизация порубочных остатков путем измельчения с использованием машин глубинной подготовки полей в полосе отвода и разбрасывания измельченных порубочных остатков в целях улучшения лесорастительных условий.</w:t>
      </w:r>
    </w:p>
    <w:p w14:paraId="00000211">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Проектом планировки предусмотрены </w:t>
      </w:r>
      <w:r>
        <w:rPr>
          <w:rFonts w:ascii="Times New Roman" w:cs="Times New Roman" w:hAnsi="Times New Roman"/>
          <w:sz w:val="28"/>
          <w:szCs w:val="28"/>
        </w:rPr>
        <w:t>следующи</w:t>
      </w:r>
      <w:r>
        <w:rPr>
          <w:rFonts w:ascii="Times New Roman" w:cs="Times New Roman" w:hAnsi="Times New Roman"/>
          <w:sz w:val="28"/>
          <w:szCs w:val="28"/>
        </w:rPr>
        <w:t>е мероприятия по охране животного мира:</w:t>
      </w:r>
    </w:p>
    <w:p w14:paraId="00000212">
      <w:pPr>
        <w:pStyle w:val="Normal"/>
        <w:ind w:firstLine="723"/>
        <w:jc w:val="both"/>
        <w:rPr>
          <w:rFonts w:ascii="Times New Roman" w:cs="Times New Roman" w:hAnsi="Times New Roman"/>
          <w:sz w:val="28"/>
          <w:szCs w:val="28"/>
        </w:rPr>
      </w:pPr>
      <w:r>
        <w:rPr>
          <w:rFonts w:ascii="Times New Roman" w:cs="Times New Roman" w:hAnsi="Times New Roman"/>
          <w:sz w:val="28"/>
          <w:szCs w:val="28"/>
        </w:rPr>
        <w:t>- строгое соблюдение границ отведенной территории;</w:t>
      </w:r>
    </w:p>
    <w:p w14:paraId="00000213">
      <w:pPr>
        <w:pStyle w:val="Normal"/>
        <w:ind w:firstLine="723"/>
        <w:jc w:val="both"/>
        <w:rPr>
          <w:rFonts w:ascii="Times New Roman" w:cs="Times New Roman" w:hAnsi="Times New Roman"/>
          <w:sz w:val="28"/>
          <w:szCs w:val="28"/>
        </w:rPr>
      </w:pPr>
      <w:r>
        <w:rPr>
          <w:rFonts w:ascii="Times New Roman" w:cs="Times New Roman" w:hAnsi="Times New Roman"/>
          <w:sz w:val="28"/>
          <w:szCs w:val="28"/>
        </w:rPr>
        <w:t>- рекультивация нарушенных земель для улучшения условий обитания, восстановления кормовой базы животных;</w:t>
      </w:r>
    </w:p>
    <w:p w14:paraId="00000214">
      <w:pPr>
        <w:pStyle w:val="Normal"/>
        <w:ind w:firstLine="723"/>
        <w:jc w:val="both"/>
        <w:rPr>
          <w:rFonts w:ascii="Times New Roman" w:cs="Times New Roman" w:hAnsi="Times New Roman"/>
          <w:sz w:val="28"/>
          <w:szCs w:val="28"/>
        </w:rPr>
      </w:pPr>
      <w:r>
        <w:rPr>
          <w:rFonts w:ascii="Times New Roman" w:cs="Times New Roman" w:hAnsi="Times New Roman"/>
          <w:sz w:val="28"/>
          <w:szCs w:val="28"/>
        </w:rPr>
        <w:t>- выполнение строительно-монтажных работ в зимний период для уменьшения воздействия строительных машин на почвенно-растительный покров;</w:t>
      </w:r>
    </w:p>
    <w:p w14:paraId="00000215">
      <w:pPr>
        <w:pStyle w:val="Normal"/>
        <w:ind w:firstLine="723"/>
        <w:jc w:val="both"/>
        <w:rPr>
          <w:rFonts w:ascii="Times New Roman" w:cs="Times New Roman" w:hAnsi="Times New Roman"/>
          <w:sz w:val="28"/>
          <w:szCs w:val="28"/>
        </w:rPr>
      </w:pPr>
      <w:r>
        <w:rPr>
          <w:rFonts w:ascii="Times New Roman" w:cs="Times New Roman" w:hAnsi="Times New Roman"/>
          <w:sz w:val="28"/>
          <w:szCs w:val="28"/>
        </w:rPr>
        <w:t>- крепление провода на опорах 6 кВ предусматривается при помощи одноцепных натяжных и поддерживающих гирлянд, комплектуемых стеклянными изоляторы типа ПС 70Е и немагнитной спиральной арматурой;</w:t>
      </w:r>
    </w:p>
    <w:p w14:paraId="00000216">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обращение с отходами на основании договоров со специализированными предприятиями для предотвращения загрязнения среды обитания;</w:t>
      </w:r>
    </w:p>
    <w:p w14:paraId="00000217">
      <w:pPr>
        <w:pStyle w:val="Normal"/>
        <w:ind w:firstLine="723"/>
        <w:jc w:val="both"/>
        <w:rPr>
          <w:rFonts w:ascii="Times New Roman" w:cs="Times New Roman" w:hAnsi="Times New Roman"/>
          <w:sz w:val="28"/>
          <w:szCs w:val="28"/>
        </w:rPr>
      </w:pPr>
      <w:r>
        <w:rPr>
          <w:rFonts w:ascii="Times New Roman" w:cs="Times New Roman" w:hAnsi="Times New Roman"/>
          <w:sz w:val="28"/>
          <w:szCs w:val="28"/>
        </w:rPr>
        <w:t>- запрет несанкционированной охоты;</w:t>
      </w:r>
    </w:p>
    <w:p w14:paraId="00000218">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ограждение площадочных объектов;</w:t>
      </w:r>
    </w:p>
    <w:p w14:paraId="00000219">
      <w:pPr>
        <w:pStyle w:val="Normal"/>
        <w:ind w:firstLine="723"/>
        <w:jc w:val="both"/>
        <w:rPr>
          <w:rFonts w:ascii="Times New Roman" w:cs="Times New Roman" w:hAnsi="Times New Roman"/>
          <w:sz w:val="28"/>
          <w:szCs w:val="28"/>
        </w:rPr>
      </w:pPr>
      <w:r>
        <w:rPr>
          <w:rFonts w:ascii="Times New Roman" w:cs="Times New Roman" w:hAnsi="Times New Roman"/>
          <w:sz w:val="28"/>
          <w:szCs w:val="28"/>
        </w:rPr>
        <w:t>- возмещение ущерба животному миру.</w:t>
      </w:r>
    </w:p>
    <w:p w14:paraId="0000021A">
      <w:pPr>
        <w:pStyle w:val="Normal"/>
        <w:ind w:firstLine="723"/>
        <w:jc w:val="both"/>
        <w:rPr>
          <w:rFonts w:ascii="Times New Roman" w:cs="Times New Roman" w:hAnsi="Times New Roman"/>
          <w:sz w:val="28"/>
          <w:szCs w:val="28"/>
        </w:rPr>
      </w:pPr>
      <w:r>
        <w:rPr>
          <w:rFonts w:ascii="Times New Roman" w:cs="Times New Roman" w:hAnsi="Times New Roman"/>
          <w:sz w:val="28"/>
          <w:szCs w:val="28"/>
        </w:rPr>
        <w:t>Также проектом предусмотрены мероприятия по охране рыбных ресурсов:</w:t>
      </w:r>
    </w:p>
    <w:p w14:paraId="0000021B">
      <w:pPr>
        <w:pStyle w:val="Normal"/>
        <w:ind w:firstLine="723"/>
        <w:jc w:val="both"/>
        <w:rPr>
          <w:rFonts w:ascii="Times New Roman" w:cs="Times New Roman" w:hAnsi="Times New Roman"/>
          <w:sz w:val="28"/>
          <w:szCs w:val="28"/>
        </w:rPr>
      </w:pPr>
      <w:r>
        <w:rPr>
          <w:rFonts w:ascii="Times New Roman" w:cs="Times New Roman" w:hAnsi="Times New Roman"/>
          <w:sz w:val="28"/>
          <w:szCs w:val="28"/>
        </w:rPr>
        <w:t>- выполнение строительно-монтажных работ в зимний период;</w:t>
      </w:r>
    </w:p>
    <w:p w14:paraId="0000021C">
      <w:pPr>
        <w:pStyle w:val="Normal"/>
        <w:ind w:firstLine="723"/>
        <w:jc w:val="both"/>
        <w:rPr>
          <w:rFonts w:ascii="Times New Roman" w:cs="Times New Roman" w:hAnsi="Times New Roman"/>
          <w:sz w:val="28"/>
          <w:szCs w:val="28"/>
        </w:rPr>
      </w:pPr>
      <w:r>
        <w:rPr>
          <w:rFonts w:ascii="Times New Roman" w:cs="Times New Roman" w:hAnsi="Times New Roman"/>
          <w:sz w:val="28"/>
          <w:szCs w:val="28"/>
        </w:rPr>
        <w:t>- строгое соблюдение технологии строительства переходов по проекту производства работ и ситуационного плана переходов с привязкой к местности основных геодезических знаков;</w:t>
      </w:r>
    </w:p>
    <w:p w14:paraId="0000021D">
      <w:pPr>
        <w:pStyle w:val="Normal"/>
        <w:ind w:firstLine="723"/>
        <w:jc w:val="both"/>
        <w:rPr>
          <w:rFonts w:ascii="Times New Roman" w:cs="Times New Roman" w:hAnsi="Times New Roman"/>
          <w:sz w:val="28"/>
          <w:szCs w:val="28"/>
        </w:rPr>
      </w:pPr>
      <w:r>
        <w:rPr>
          <w:rFonts w:ascii="Times New Roman" w:cs="Times New Roman" w:hAnsi="Times New Roman"/>
          <w:sz w:val="28"/>
          <w:szCs w:val="28"/>
        </w:rPr>
        <w:t>- закрепление оси трассы на каждой стороне водоема;</w:t>
      </w:r>
    </w:p>
    <w:p w14:paraId="0000021E">
      <w:pPr>
        <w:pStyle w:val="Normal"/>
        <w:ind w:firstLine="723"/>
        <w:jc w:val="both"/>
        <w:rPr>
          <w:rFonts w:ascii="Times New Roman" w:cs="Times New Roman" w:hAnsi="Times New Roman"/>
          <w:sz w:val="28"/>
          <w:szCs w:val="28"/>
        </w:rPr>
      </w:pPr>
      <w:r>
        <w:rPr>
          <w:rFonts w:ascii="Times New Roman" w:cs="Times New Roman" w:hAnsi="Times New Roman"/>
          <w:sz w:val="28"/>
          <w:szCs w:val="28"/>
        </w:rPr>
        <w:t>- возмещение ущерба рыбным ресурсам.</w:t>
      </w:r>
    </w:p>
    <w:p w14:paraId="0000021F">
      <w:pPr>
        <w:pStyle w:val="Normal"/>
        <w:ind w:firstLine="723"/>
        <w:jc w:val="both"/>
        <w:rPr>
          <w:rFonts w:ascii="Times New Roman" w:cs="Times New Roman" w:hAnsi="Times New Roman"/>
          <w:sz w:val="28"/>
          <w:szCs w:val="28"/>
        </w:rPr>
      </w:pPr>
    </w:p>
    <w:p w14:paraId="00000220">
      <w:pPr>
        <w:pStyle w:val="Normal"/>
        <w:ind w:firstLine="723"/>
        <w:jc w:val="both"/>
        <w:rPr>
          <w:rFonts w:ascii="Times New Roman" w:cs="Times New Roman" w:hAnsi="Times New Roman"/>
          <w:sz w:val="28"/>
          <w:szCs w:val="28"/>
        </w:rPr>
      </w:pPr>
      <w:r>
        <w:rPr>
          <w:rFonts w:ascii="Times New Roman" w:cs="Times New Roman" w:hAnsi="Times New Roman"/>
          <w:sz w:val="28"/>
          <w:szCs w:val="28"/>
        </w:rPr>
        <w:t>2.9 Информация о необходимости осуществления мероприятий по защите территорий от чрезвычайных ситуаций природного и техногенного характера, в том числе по обеспечению пожарной безопасности и гражданкой обороне</w:t>
      </w:r>
    </w:p>
    <w:p w14:paraId="00000221">
      <w:pPr>
        <w:pStyle w:val="Normal"/>
        <w:ind w:firstLine="723"/>
        <w:jc w:val="both"/>
        <w:rPr>
          <w:rFonts w:ascii="Times New Roman" w:cs="Times New Roman" w:hAnsi="Times New Roman"/>
          <w:sz w:val="28"/>
          <w:szCs w:val="28"/>
        </w:rPr>
      </w:pPr>
      <w:r>
        <w:rPr>
          <w:rFonts w:ascii="Times New Roman" w:cs="Times New Roman" w:hAnsi="Times New Roman"/>
          <w:sz w:val="28"/>
          <w:szCs w:val="28"/>
        </w:rPr>
        <w:t>В целях обеспечения защиты основных  производственных фондов снижения возможных потерь и разрушений в чрезвычайных условиях проектом планировки предусматривается:</w:t>
      </w:r>
    </w:p>
    <w:p w14:paraId="00000222">
      <w:pPr>
        <w:pStyle w:val="Normal"/>
        <w:ind w:firstLine="723"/>
        <w:jc w:val="both"/>
        <w:rPr>
          <w:rFonts w:ascii="Times New Roman" w:cs="Times New Roman" w:hAnsi="Times New Roman"/>
          <w:sz w:val="28"/>
          <w:szCs w:val="28"/>
        </w:rPr>
      </w:pPr>
      <w:r>
        <w:rPr>
          <w:rFonts w:ascii="Times New Roman" w:cs="Times New Roman" w:hAnsi="Times New Roman"/>
          <w:sz w:val="28"/>
          <w:szCs w:val="28"/>
        </w:rPr>
        <w:t>- внедрение технологических процессов и конструкций, обеспечивающих снижение образования аварийных ситуаций и защиту оборудования, аппаратуры и приборов в чрезвычайных условиях;</w:t>
      </w:r>
    </w:p>
    <w:p w14:paraId="00000223">
      <w:pPr>
        <w:pStyle w:val="Normal"/>
        <w:ind w:firstLine="723"/>
        <w:jc w:val="both"/>
        <w:rPr>
          <w:rFonts w:ascii="Times New Roman" w:cs="Times New Roman" w:hAnsi="Times New Roman"/>
          <w:sz w:val="28"/>
          <w:szCs w:val="28"/>
        </w:rPr>
      </w:pPr>
      <w:r>
        <w:rPr>
          <w:rFonts w:ascii="Times New Roman" w:cs="Times New Roman" w:hAnsi="Times New Roman"/>
          <w:sz w:val="28"/>
          <w:szCs w:val="28"/>
        </w:rPr>
        <w:t>- разработка и строгое соблюдение графиков и инструкций по безаварийной остановке производства в случае внезапного отключения или прекращения подачи электроэнергии;</w:t>
      </w:r>
    </w:p>
    <w:p w14:paraId="00000224">
      <w:pPr>
        <w:pStyle w:val="Normal"/>
        <w:ind w:firstLine="723"/>
        <w:jc w:val="both"/>
        <w:rPr>
          <w:rFonts w:ascii="Times New Roman" w:cs="Times New Roman" w:hAnsi="Times New Roman"/>
          <w:sz w:val="28"/>
          <w:szCs w:val="28"/>
        </w:rPr>
      </w:pPr>
      <w:r>
        <w:rPr>
          <w:rFonts w:ascii="Times New Roman" w:cs="Times New Roman" w:hAnsi="Times New Roman"/>
          <w:sz w:val="28"/>
          <w:szCs w:val="28"/>
        </w:rPr>
        <w:t>- планирование действий руководящего, командноначальствующего состава, штаба, служб и формирований гражданской обороны по защите рабочих и служащих предприятий;</w:t>
      </w:r>
    </w:p>
    <w:p w14:paraId="00000225">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обучение персонала выполнению работ по ликвидации аварий;</w:t>
      </w:r>
    </w:p>
    <w:p w14:paraId="00000226">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обеспечение всех рабочих и служащих средствами индивидуальной защиты, их хранение и поддержание в готовности;</w:t>
      </w:r>
    </w:p>
    <w:p w14:paraId="00000227">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организация и поддержание в постоянной готовности системы оповещения рабочих и служащих об опасности, порядок доведения до них установленных сигналов оповещения;</w:t>
      </w:r>
    </w:p>
    <w:p w14:paraId="00000228">
      <w:pPr>
        <w:pStyle w:val="Normal"/>
        <w:ind w:firstLine="723"/>
        <w:jc w:val="both"/>
        <w:rPr>
          <w:rFonts w:ascii="Times New Roman" w:cs="Times New Roman" w:hAnsi="Times New Roman"/>
          <w:sz w:val="28"/>
          <w:szCs w:val="28"/>
        </w:rPr>
      </w:pPr>
      <w:r>
        <w:rPr>
          <w:rFonts w:ascii="Times New Roman" w:cs="Times New Roman" w:hAnsi="Times New Roman"/>
          <w:sz w:val="28"/>
          <w:szCs w:val="28"/>
        </w:rPr>
        <w:t>Выделены следующие меры, направленные на предупреждение развития аварий и локализацию выбросов опасных веществ:</w:t>
      </w:r>
    </w:p>
    <w:p w14:paraId="00000229">
      <w:pPr>
        <w:pStyle w:val="Normal"/>
        <w:ind w:firstLine="723"/>
        <w:jc w:val="both"/>
        <w:rPr>
          <w:rFonts w:ascii="Times New Roman" w:cs="Times New Roman" w:hAnsi="Times New Roman"/>
          <w:sz w:val="28"/>
          <w:szCs w:val="28"/>
        </w:rPr>
      </w:pPr>
      <w:r>
        <w:rPr>
          <w:rFonts w:ascii="Times New Roman" w:cs="Times New Roman" w:hAnsi="Times New Roman"/>
          <w:sz w:val="28"/>
          <w:szCs w:val="28"/>
        </w:rPr>
        <w:t>- принятие мер при возникновении пожара по ликвидации очага пожара или ограничению его распространения при помощи первичных средств пожаротушения;</w:t>
      </w:r>
    </w:p>
    <w:p w14:paraId="0000022A">
      <w:pPr>
        <w:pStyle w:val="Normal"/>
        <w:ind w:firstLine="723"/>
        <w:jc w:val="both"/>
        <w:rPr>
          <w:rFonts w:ascii="Times New Roman" w:cs="Times New Roman" w:hAnsi="Times New Roman"/>
          <w:sz w:val="28"/>
          <w:szCs w:val="28"/>
        </w:rPr>
      </w:pPr>
      <w:r>
        <w:rPr>
          <w:rFonts w:ascii="Times New Roman" w:cs="Times New Roman" w:hAnsi="Times New Roman"/>
          <w:sz w:val="28"/>
          <w:szCs w:val="28"/>
        </w:rPr>
        <w:t>- разобщение реагирующих веществ на небольших площадках и в начале пожара при помощи покрытия горящей поверхности кошмой, брезентом или засыпка слоем негорючих веществ (песок, земля);</w:t>
      </w:r>
    </w:p>
    <w:p w14:paraId="0000022B">
      <w:pPr>
        <w:pStyle w:val="Normal"/>
        <w:ind w:firstLine="723"/>
        <w:jc w:val="both"/>
        <w:rPr>
          <w:rFonts w:ascii="Times New Roman" w:cs="Times New Roman" w:hAnsi="Times New Roman"/>
          <w:sz w:val="28"/>
          <w:szCs w:val="28"/>
        </w:rPr>
      </w:pPr>
      <w:r>
        <w:rPr>
          <w:rFonts w:ascii="Times New Roman" w:cs="Times New Roman" w:hAnsi="Times New Roman"/>
          <w:sz w:val="28"/>
          <w:szCs w:val="28"/>
        </w:rPr>
        <w:t>- тушение при помощи огнегасящих веществ – воды и механической пены передвижными средствами.</w:t>
      </w:r>
    </w:p>
    <w:p w14:paraId="0000022C">
      <w:pPr>
        <w:pStyle w:val="Normal"/>
        <w:ind w:firstLine="723"/>
        <w:jc w:val="both"/>
        <w:rPr>
          <w:rFonts w:ascii="Times New Roman" w:cs="Times New Roman" w:hAnsi="Times New Roman"/>
          <w:sz w:val="28"/>
          <w:szCs w:val="28"/>
        </w:rPr>
      </w:pPr>
      <w:r>
        <w:rPr>
          <w:rFonts w:ascii="Times New Roman" w:cs="Times New Roman" w:hAnsi="Times New Roman"/>
          <w:sz w:val="28"/>
          <w:szCs w:val="28"/>
        </w:rPr>
        <w:t>Для обеспечения взрывопожаробезопасности предусмотрены следующие решения:</w:t>
      </w:r>
    </w:p>
    <w:p w14:paraId="0000022D">
      <w:pPr>
        <w:pStyle w:val="Normal"/>
        <w:ind w:firstLine="723"/>
        <w:jc w:val="both"/>
        <w:rPr>
          <w:rFonts w:ascii="Times New Roman" w:cs="Times New Roman" w:hAnsi="Times New Roman"/>
          <w:sz w:val="28"/>
          <w:szCs w:val="28"/>
        </w:rPr>
      </w:pPr>
      <w:r>
        <w:rPr>
          <w:rFonts w:ascii="Times New Roman" w:cs="Times New Roman" w:hAnsi="Times New Roman"/>
          <w:sz w:val="28"/>
          <w:szCs w:val="28"/>
        </w:rPr>
        <w:t xml:space="preserve"> Категории взрывоопасных и пожароопасных зон в помещениях и наружных площадках, категории и группы взрывоопасных смесей приняты по СП 12.13130.2009 «Определение категорий помещений, зданий и наружных установок по взрывопожарной и пожарной опасности»;</w:t>
      </w:r>
    </w:p>
    <w:p w14:paraId="0000022E">
      <w:pPr>
        <w:pStyle w:val="Normal"/>
        <w:ind w:firstLine="723"/>
        <w:jc w:val="both"/>
        <w:rPr>
          <w:rFonts w:ascii="Times New Roman" w:cs="Times New Roman" w:hAnsi="Times New Roman"/>
          <w:sz w:val="28"/>
          <w:szCs w:val="28"/>
        </w:rPr>
      </w:pPr>
      <w:r>
        <w:rPr>
          <w:rFonts w:ascii="Times New Roman" w:cs="Times New Roman" w:hAnsi="Times New Roman"/>
          <w:sz w:val="28"/>
          <w:szCs w:val="28"/>
        </w:rPr>
        <w:t>- применение электрооборудования во взрывозащищенном исполнении на всех участках, согласно категориям по ПУЭ;</w:t>
      </w:r>
    </w:p>
    <w:p w14:paraId="0000022F">
      <w:pPr>
        <w:pStyle w:val="Normal"/>
        <w:ind w:firstLine="723"/>
        <w:jc w:val="both"/>
        <w:rPr>
          <w:rFonts w:ascii="Times New Roman" w:cs="Times New Roman" w:hAnsi="Times New Roman"/>
          <w:sz w:val="28"/>
          <w:szCs w:val="28"/>
        </w:rPr>
      </w:pPr>
      <w:r>
        <w:rPr>
          <w:rFonts w:ascii="Times New Roman" w:cs="Times New Roman" w:hAnsi="Times New Roman"/>
          <w:sz w:val="28"/>
          <w:szCs w:val="28"/>
        </w:rPr>
        <w:t>- соблюдение требований, норм и правил по взрывопожаробезопасности;</w:t>
      </w:r>
    </w:p>
    <w:p w14:paraId="00000230">
      <w:pPr>
        <w:pStyle w:val="Normal"/>
        <w:ind w:firstLine="723"/>
        <w:jc w:val="both"/>
        <w:rPr>
          <w:rFonts w:ascii="Times New Roman" w:cs="Times New Roman" w:hAnsi="Times New Roman"/>
          <w:sz w:val="28"/>
          <w:szCs w:val="28"/>
        </w:rPr>
      </w:pPr>
      <w:r>
        <w:rPr>
          <w:rFonts w:ascii="Times New Roman" w:cs="Times New Roman" w:hAnsi="Times New Roman"/>
          <w:sz w:val="28"/>
          <w:szCs w:val="28"/>
        </w:rPr>
        <w:t>- применение молниезащиты сооружений, защита оборудования и трубопроводов от вторичных проявлений молнии;</w:t>
      </w:r>
    </w:p>
    <w:p w14:paraId="00000231">
      <w:pPr>
        <w:pStyle w:val="Normal"/>
        <w:ind w:firstLine="723"/>
        <w:jc w:val="both"/>
        <w:rPr>
          <w:rFonts w:ascii="Times New Roman" w:cs="Times New Roman" w:hAnsi="Times New Roman"/>
          <w:sz w:val="28"/>
          <w:szCs w:val="28"/>
        </w:rPr>
      </w:pPr>
      <w:r>
        <w:rPr>
          <w:rFonts w:ascii="Times New Roman" w:cs="Times New Roman" w:hAnsi="Times New Roman"/>
          <w:sz w:val="28"/>
          <w:szCs w:val="28"/>
        </w:rPr>
        <w:t>- наличие датчико</w:t>
      </w:r>
      <w:r>
        <w:rPr>
          <w:rFonts w:ascii="Times New Roman" w:cs="Times New Roman" w:hAnsi="Times New Roman"/>
          <w:sz w:val="28"/>
          <w:szCs w:val="28"/>
          <w:lang w:val="en-US"/>
        </w:rPr>
        <w:t>-</w:t>
      </w:r>
      <w:r>
        <w:rPr>
          <w:rFonts w:ascii="Times New Roman" w:cs="Times New Roman" w:hAnsi="Times New Roman"/>
          <w:sz w:val="28"/>
          <w:szCs w:val="28"/>
        </w:rPr>
        <w:t>извещателей;</w:t>
      </w:r>
    </w:p>
    <w:p w14:paraId="00000232">
      <w:pPr>
        <w:pStyle w:val="Normal"/>
        <w:ind w:firstLine="723"/>
        <w:jc w:val="both"/>
        <w:rPr>
          <w:rFonts w:ascii="Times New Roman" w:cs="Times New Roman" w:hAnsi="Times New Roman"/>
          <w:sz w:val="28"/>
          <w:szCs w:val="28"/>
        </w:rPr>
      </w:pPr>
      <w:r>
        <w:rPr>
          <w:rFonts w:ascii="Times New Roman" w:cs="Times New Roman" w:hAnsi="Times New Roman"/>
          <w:sz w:val="28"/>
          <w:szCs w:val="28"/>
        </w:rPr>
        <w:t>- осуществление обогрева аппаратов и трубопроводов;</w:t>
      </w:r>
    </w:p>
    <w:p w14:paraId="00000233">
      <w:pPr>
        <w:pStyle w:val="Normal"/>
        <w:ind w:firstLine="723"/>
        <w:jc w:val="both"/>
        <w:rPr>
          <w:rFonts w:ascii="Times New Roman" w:cs="Times New Roman" w:hAnsi="Times New Roman"/>
          <w:sz w:val="28"/>
          <w:szCs w:val="28"/>
        </w:rPr>
      </w:pPr>
      <w:r>
        <w:rPr>
          <w:rFonts w:ascii="Times New Roman" w:cs="Times New Roman" w:hAnsi="Times New Roman"/>
          <w:sz w:val="28"/>
          <w:szCs w:val="28"/>
        </w:rPr>
        <w:t>- применение переносных исправных электросветильников во взрывозащищенном исполнении;</w:t>
      </w:r>
    </w:p>
    <w:p w14:paraId="00000234">
      <w:pPr>
        <w:pStyle w:val="Normal"/>
        <w:ind w:firstLine="723"/>
        <w:jc w:val="both"/>
        <w:rPr>
          <w:rFonts w:ascii="Times New Roman" w:cs="Times New Roman" w:hAnsi="Times New Roman"/>
          <w:sz w:val="28"/>
          <w:szCs w:val="28"/>
        </w:rPr>
      </w:pPr>
      <w:r>
        <w:rPr>
          <w:rFonts w:ascii="Times New Roman" w:cs="Times New Roman" w:hAnsi="Times New Roman"/>
          <w:sz w:val="28"/>
          <w:szCs w:val="28"/>
        </w:rPr>
        <w:t>- исполнение освещения во взрывобезопасном исполнении;</w:t>
      </w:r>
    </w:p>
    <w:p w14:paraId="00000235">
      <w:pPr>
        <w:pStyle w:val="Normal"/>
        <w:ind w:firstLine="723"/>
        <w:jc w:val="both"/>
        <w:rPr>
          <w:rFonts w:ascii="Times New Roman" w:cs="Times New Roman" w:hAnsi="Times New Roman"/>
          <w:sz w:val="28"/>
          <w:szCs w:val="28"/>
        </w:rPr>
      </w:pPr>
      <w:r>
        <w:rPr>
          <w:rFonts w:ascii="Times New Roman" w:cs="Times New Roman" w:hAnsi="Times New Roman"/>
          <w:sz w:val="28"/>
          <w:szCs w:val="28"/>
        </w:rPr>
        <w:t>- использование искробезопасного инструмента при выполнении ремонтных работ;</w:t>
      </w:r>
    </w:p>
    <w:p w14:paraId="00000236">
      <w:pPr>
        <w:pStyle w:val="Normal"/>
        <w:ind w:firstLine="723"/>
        <w:jc w:val="both"/>
        <w:rPr>
          <w:rFonts w:ascii="Times New Roman" w:cs="Times New Roman" w:hAnsi="Times New Roman"/>
          <w:sz w:val="28"/>
          <w:szCs w:val="28"/>
        </w:rPr>
      </w:pPr>
      <w:r>
        <w:rPr>
          <w:rFonts w:ascii="Times New Roman" w:cs="Times New Roman" w:hAnsi="Times New Roman"/>
          <w:sz w:val="28"/>
          <w:szCs w:val="28"/>
        </w:rPr>
        <w:t>- предупреждение использования открытого огня;</w:t>
      </w:r>
    </w:p>
    <w:p w14:paraId="00000237">
      <w:pPr>
        <w:pStyle w:val="Normal"/>
        <w:ind w:firstLine="723"/>
        <w:jc w:val="both"/>
        <w:rPr>
          <w:rFonts w:ascii="Times New Roman" w:cs="Times New Roman" w:hAnsi="Times New Roman"/>
          <w:sz w:val="28"/>
          <w:szCs w:val="28"/>
        </w:rPr>
      </w:pPr>
      <w:r>
        <w:rPr>
          <w:rFonts w:ascii="Times New Roman" w:cs="Times New Roman" w:hAnsi="Times New Roman"/>
          <w:sz w:val="28"/>
          <w:szCs w:val="28"/>
        </w:rPr>
        <w:t>- наличие первичных средств пожаротушения на площадке: песок, кошма, огнетушители, пожарный инвентарь (лопаты, носилки).</w:t>
      </w:r>
    </w:p>
    <w:p w14:paraId="00000238">
      <w:pPr>
        <w:pStyle w:val="Normal"/>
        <w:ind w:firstLine="723"/>
        <w:jc w:val="both"/>
        <w:rPr>
          <w:rFonts w:ascii="Times New Roman" w:cs="Times New Roman" w:hAnsi="Times New Roman"/>
          <w:sz w:val="28"/>
          <w:szCs w:val="28"/>
        </w:rPr>
      </w:pPr>
    </w:p>
    <w:p w14:paraId="00000239">
      <w:pPr>
        <w:pStyle w:val="Normal"/>
        <w:ind w:firstLine="723"/>
        <w:jc w:val="both"/>
        <w:rPr>
          <w:rFonts w:ascii="Times New Roman" w:cs="Times New Roman" w:hAnsi="Times New Roman"/>
          <w:sz w:val="28"/>
          <w:szCs w:val="28"/>
        </w:rPr>
      </w:pPr>
    </w:p>
    <w:p w14:paraId="0000023A">
      <w:pPr>
        <w:pStyle w:val="Normal"/>
        <w:ind w:firstLine="723"/>
        <w:jc w:val="both"/>
        <w:rPr>
          <w:rFonts w:ascii="Times New Roman" w:cs="Times New Roman" w:hAnsi="Times New Roman"/>
          <w:sz w:val="28"/>
          <w:szCs w:val="28"/>
        </w:rPr>
      </w:pPr>
    </w:p>
    <w:p w14:paraId="0000023B">
      <w:pPr>
        <w:pStyle w:val="Normal"/>
        <w:ind w:firstLine="723"/>
        <w:jc w:val="both"/>
        <w:rPr>
          <w:rFonts w:ascii="Times New Roman" w:cs="Times New Roman" w:hAnsi="Times New Roman"/>
          <w:sz w:val="28"/>
          <w:szCs w:val="28"/>
        </w:rPr>
      </w:pPr>
    </w:p>
    <w:p w14:paraId="0000023C">
      <w:pPr>
        <w:pStyle w:val="Normal"/>
        <w:ind w:firstLine="723"/>
        <w:jc w:val="both"/>
        <w:rPr>
          <w:rFonts w:ascii="Times New Roman" w:cs="Times New Roman" w:hAnsi="Times New Roman"/>
          <w:sz w:val="28"/>
          <w:szCs w:val="28"/>
        </w:rPr>
      </w:pPr>
    </w:p>
    <w:p w14:paraId="0000023D">
      <w:pPr>
        <w:pStyle w:val="Normal"/>
        <w:ind w:firstLine="723"/>
        <w:jc w:val="both"/>
        <w:rPr>
          <w:rFonts w:ascii="Times New Roman" w:cs="Times New Roman" w:hAnsi="Times New Roman"/>
          <w:sz w:val="28"/>
          <w:szCs w:val="28"/>
        </w:rPr>
      </w:pPr>
    </w:p>
    <w:p w14:paraId="0000023E">
      <w:pPr>
        <w:pStyle w:val="Normal"/>
        <w:ind w:firstLine="723"/>
        <w:jc w:val="both"/>
        <w:rPr>
          <w:rFonts w:ascii="Times New Roman" w:cs="Times New Roman" w:hAnsi="Times New Roman"/>
          <w:sz w:val="28"/>
          <w:szCs w:val="28"/>
        </w:rPr>
      </w:pPr>
    </w:p>
    <w:p w14:paraId="0000023F">
      <w:pPr>
        <w:pStyle w:val="Normal"/>
        <w:ind w:firstLine="723"/>
        <w:jc w:val="both"/>
        <w:rPr>
          <w:rFonts w:ascii="Times New Roman" w:cs="Times New Roman" w:hAnsi="Times New Roman"/>
          <w:sz w:val="28"/>
          <w:szCs w:val="28"/>
        </w:rPr>
      </w:pPr>
    </w:p>
    <w:p w14:paraId="00000240">
      <w:pPr>
        <w:pStyle w:val="Normal"/>
        <w:ind w:firstLine="723"/>
        <w:jc w:val="both"/>
        <w:rPr>
          <w:rFonts w:ascii="Times New Roman" w:cs="Times New Roman" w:hAnsi="Times New Roman"/>
          <w:sz w:val="28"/>
          <w:szCs w:val="28"/>
        </w:rPr>
      </w:pPr>
    </w:p>
    <w:p w14:paraId="00000241">
      <w:pPr>
        <w:pStyle w:val="Normal"/>
        <w:ind w:firstLine="723"/>
        <w:jc w:val="both"/>
        <w:rPr>
          <w:rFonts w:ascii="Times New Roman" w:cs="Times New Roman" w:hAnsi="Times New Roman"/>
          <w:sz w:val="28"/>
          <w:szCs w:val="28"/>
        </w:rPr>
      </w:pPr>
    </w:p>
    <w:p w14:paraId="00000242">
      <w:pPr>
        <w:pStyle w:val="Normal"/>
        <w:ind w:firstLine="723"/>
        <w:jc w:val="both"/>
        <w:rPr>
          <w:rFonts w:ascii="Times New Roman" w:cs="Times New Roman" w:hAnsi="Times New Roman"/>
          <w:sz w:val="28"/>
          <w:szCs w:val="28"/>
        </w:rPr>
      </w:pPr>
    </w:p>
    <w:p w14:paraId="00000243">
      <w:pPr>
        <w:pStyle w:val="Normal"/>
        <w:rPr/>
      </w:pPr>
      <w:r>
        <w:rPr/>
        <mc:AlternateContent>
          <mc:Choice Requires="wps">
            <w:drawing xmlns:mc="http://schemas.openxmlformats.org/markup-compatibility/2006">
              <wp:anchor allowOverlap="1" behindDoc="0" distT="0" distB="0" distL="118872" distR="118872" layoutInCell="1" locked="0" relativeHeight="9" simplePos="0">
                <wp:simplePos x="0" y="0"/>
                <wp:positionH relativeFrom="column">
                  <wp:posOffset>-176530</wp:posOffset>
                </wp:positionH>
                <wp:positionV relativeFrom="paragraph">
                  <wp:posOffset>436245</wp:posOffset>
                </wp:positionV>
                <wp:extent cx="6576695" cy="1666875"/>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Pr id="9" name="Надпись 2"/>
                      <wps:cNvSpPr txBox="1">
                        <a:spLocks noGrp="0" noSelect="0" noRot="0" noChangeAspect="0" noMove="0" noEditPoints="0" noAdjustHandles="0" noChangeShapeType="0"/>
                      </wps:cNvSpPr>
                      <wps:spPr>
                        <a:xfrm>
                          <a:off x="0" y="0"/>
                          <a:ext cx="6576695" cy="1666875"/>
                        </a:xfrm>
                        <a:prstGeom prst="rect">
                          <a:avLst/>
                        </a:prstGeom>
                        <a:solidFill>
                          <a:srgbClr val="FFFFFF"/>
                        </a:solidFill>
                        <a:ln>
                          <a:noFill/>
                          <a:miter/>
                        </a:ln>
                      </wps:spPr>
                      <wps:txbx id="2">
                        <w:txbxContent>
                          <w:p w14:paraId="00000244">
                            <w:pPr>
                              <w:pStyle w:val="Normal"/>
                              <w:shd w:val="clear" w:color="auto" w:fill="ffffff"/>
                              <w:spacing w:line="216" w:lineRule="auto"/>
                              <w:jc w:val="center"/>
                              <w:rPr>
                                <w:rFonts w:ascii="Times New Roman" w:cs="Times New Roman" w:hAnsi="Times New Roman"/>
                                <w:b w:val="off"/>
                                <w:bCs w:val="off"/>
                                <w:spacing w:val="-8"/>
                                <w:sz w:val="28"/>
                                <w:szCs w:val="28"/>
                              </w:rPr>
                            </w:pPr>
                            <w:r>
                              <w:rPr>
                                <w:rFonts w:ascii="Times New Roman" w:cs="Times New Roman" w:hAnsi="Times New Roman"/>
                                <w:b w:val="off"/>
                                <w:bCs w:val="off"/>
                                <w:spacing w:val="-8"/>
                                <w:sz w:val="28"/>
                                <w:szCs w:val="28"/>
                              </w:rPr>
                              <w:t>Проект межевания</w:t>
                            </w:r>
                            <w:r>
                              <w:rPr>
                                <w:rFonts w:ascii="Times New Roman" w:cs="Times New Roman" w:hAnsi="Times New Roman"/>
                                <w:b w:val="off"/>
                                <w:bCs w:val="off"/>
                                <w:spacing w:val="-8"/>
                                <w:sz w:val="28"/>
                                <w:szCs w:val="28"/>
                              </w:rPr>
                              <w:t xml:space="preserve"> территории</w:t>
                            </w:r>
                          </w:p>
                          <w:p w14:paraId="00000245">
                            <w:pPr>
                              <w:pStyle w:val="Normal"/>
                              <w:shd w:val="clear" w:color="auto" w:fill="ffffff"/>
                              <w:spacing w:line="216" w:lineRule="auto"/>
                              <w:jc w:val="center"/>
                              <w:rPr>
                                <w:rFonts w:ascii="Times New Roman" w:cs="Times New Roman" w:hAnsi="Times New Roman"/>
                                <w:b w:val="off"/>
                                <w:bCs w:val="off"/>
                                <w:spacing w:val="-8"/>
                                <w:sz w:val="28"/>
                                <w:szCs w:val="28"/>
                              </w:rPr>
                            </w:pPr>
                            <w:r>
                              <w:rPr>
                                <w:rFonts w:ascii="Times New Roman" w:cs="Times New Roman" w:hAnsi="Times New Roman"/>
                                <w:b w:val="off"/>
                                <w:bCs w:val="off"/>
                                <w:spacing w:val="-8"/>
                                <w:sz w:val="28"/>
                                <w:szCs w:val="28"/>
                              </w:rPr>
                              <w:t>для размещения объекта, расположенного на территории Ханты-Мансийского района</w:t>
                            </w:r>
                          </w:p>
                          <w:p w14:paraId="00000246">
                            <w:pPr>
                              <w:pStyle w:val="Normal"/>
                              <w:spacing w:line="360" w:lineRule="auto"/>
                              <w:jc w:val="center"/>
                              <w:rPr>
                                <w:rFonts w:ascii="Times New Roman" w:cs="Times New Roman" w:hAnsi="Times New Roman"/>
                                <w:b w:val="off"/>
                                <w:bCs w:val="off"/>
                                <w:spacing w:val="-8"/>
                                <w:sz w:val="28"/>
                                <w:szCs w:val="28"/>
                              </w:rPr>
                            </w:pPr>
                            <w:r>
                              <w:rPr>
                                <w:rFonts w:ascii="Times New Roman" w:cs="Times New Roman" w:hAnsi="Times New Roman"/>
                                <w:b w:val="off"/>
                                <w:bCs w:val="off"/>
                                <w:spacing w:val="-8"/>
                                <w:sz w:val="28"/>
                                <w:szCs w:val="28"/>
                              </w:rPr>
                              <w:t>«</w:t>
                            </w:r>
                            <w:r>
                              <w:rPr>
                                <w:rFonts w:ascii="Times New Roman" w:cs="Times New Roman" w:hAnsi="Times New Roman"/>
                                <w:b w:val="off"/>
                                <w:bCs w:val="off"/>
                                <w:spacing w:val="-8"/>
                                <w:sz w:val="28"/>
                                <w:szCs w:val="28"/>
                              </w:rPr>
                              <w:t>Линейные коммуникации для кустовой площадки № 2059У Приобского месторождения</w:t>
                            </w:r>
                            <w:r>
                              <w:rPr>
                                <w:rFonts w:ascii="Times New Roman" w:cs="Times New Roman" w:hAnsi="Times New Roman"/>
                                <w:b w:val="off"/>
                                <w:bCs w:val="off"/>
                                <w:spacing w:val="-8"/>
                                <w:sz w:val="28"/>
                                <w:szCs w:val="28"/>
                              </w:rPr>
                              <w:t>»</w:t>
                            </w:r>
                          </w:p>
                          <w:p w14:paraId="00000247">
                            <w:pPr>
                              <w:pStyle w:val="Normal"/>
                              <w:spacing w:line="360" w:lineRule="auto"/>
                              <w:jc w:val="center"/>
                              <w:rPr>
                                <w:rFonts w:ascii="Times New Roman" w:cs="Times New Roman" w:hAnsi="Times New Roman"/>
                                <w:b w:val="off"/>
                                <w:bCs w:val="off"/>
                                <w:spacing w:val="-8"/>
                                <w:sz w:val="28"/>
                                <w:szCs w:val="28"/>
                              </w:rPr>
                            </w:pPr>
                            <w:r>
                              <w:rPr>
                                <w:rFonts w:ascii="Times New Roman" w:cs="Times New Roman" w:hAnsi="Times New Roman"/>
                                <w:b w:val="off"/>
                                <w:bCs w:val="off"/>
                                <w:spacing w:val="-8"/>
                                <w:sz w:val="28"/>
                                <w:szCs w:val="28"/>
                              </w:rPr>
                              <w:t>Основная часть</w:t>
                            </w:r>
                          </w:p>
                          <w:p w14:paraId="00000248">
                            <w:pPr>
                              <w:pStyle w:val="Normal"/>
                              <w:rPr>
                                <w:sz w:val="26"/>
                                <w:szCs w:val="26"/>
                              </w:rPr>
                            </w:pPr>
                          </w:p>
                        </w:txbxContent>
                      </wps:txbx>
                      <wps:bodyPr lIns="91440" tIns="45720" rIns="91440" bIns="45720"/>
                    </wps:wsp>
                  </a:graphicData>
                </a:graphic>
              </wp:anchor>
            </w:drawing>
          </mc:Choice>
          <mc:Fallback>
            <w:pict>
              <v:shape id="D5B31913-B0FF-29C0-AA56BE7E4BC8" coordsize="21600,21600" style="position:absolute;width:517.85pt;height:131.25pt;margin-top:34.35pt;margin-left:-13.9pt;mso-wrap-distance-left:9.36pt;mso-wrap-distance-right:9.36pt;mso-wrap-distance-top:0pt;mso-wrap-distance-bottom:0pt;rotation:0.000000;z-index:9;" fillcolor="#ffffff" stroked="f" o:spt="1" path="m0,0 l0,21600 r21600,0 l21600,0 x e">
                <w10:wrap side="both"/>
                <v:fill type="solid" color="#ffffff" opacity="1.000000"/>
                <o:lock/>
              </v:shape>
            </w:pict>
          </mc:Fallback>
        </mc:AlternateContent>
      </w:r>
      <w:r>
        <w:rPr/>
        <w:drawing xmlns:mc="http://schemas.openxmlformats.org/markup-compatibility/2006">
          <wp:inline distT="0" distB="0" distL="118872" distR="118872">
            <wp:extent cx="5774690" cy="8604250"/>
            <wp:effectExtent l="0" t="0" r="0" b="0"/>
            <wp:docPr id="2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pic:cNvPicPr>
                      <a:picLocks noGrp="0" noSelect="0" noChangeAspect="0" noMove="0"/>
                    </pic:cNvPicPr>
                  </pic:nvPicPr>
                  <pic:blipFill>
                    <a:blip r:embed="rId22"/>
                    <a:srcRect/>
                    <a:stretch>
                      <a:fillRect/>
                    </a:stretch>
                  </pic:blipFill>
                  <pic:spPr>
                    <a:xfrm>
                      <a:off x="0" y="0"/>
                      <a:ext cx="5774900" cy="8604171"/>
                    </a:xfrm>
                    <a:prstGeom prst="rect">
                      <a:avLst/>
                    </a:prstGeom>
                  </pic:spPr>
                </pic:pic>
              </a:graphicData>
            </a:graphic>
          </wp:inline>
        </w:drawing>
      </w:r>
      <w:r>
        <w:rPr/>
        <mc:AlternateContent>
          <mc:Choice Requires="wps">
            <w:drawing xmlns:mc="http://schemas.openxmlformats.org/markup-compatibility/2006">
              <wp:anchor allowOverlap="1" behindDoc="0" distT="0" distB="0" distL="118872" distR="118872" layoutInCell="1" locked="0" relativeHeight="11" simplePos="0">
                <wp:simplePos x="0" y="0"/>
                <wp:positionH relativeFrom="column">
                  <wp:posOffset>3349625</wp:posOffset>
                </wp:positionH>
                <wp:positionV relativeFrom="paragraph">
                  <wp:posOffset>-471170</wp:posOffset>
                </wp:positionV>
                <wp:extent cx="2849245" cy="855345"/>
                <wp:effectExtent l="0" t="0" r="0" b="0"/>
                <wp:wrapNone/>
                <wp:docPr id="24" name="Shape 3"/>
                <wp:cNvGraphicFramePr>
                  <a:graphicFrameLocks xmlns:a="http://schemas.openxmlformats.org/drawingml/2006/main"/>
                </wp:cNvGraphicFramePr>
                <a:graphic xmlns:a="http://schemas.openxmlformats.org/drawingml/2006/main">
                  <a:graphicData uri="http://schemas.microsoft.com/office/word/2010/wordprocessingShape">
                    <wps:wsp>
                      <wps:cNvPr id="11" name="Shape 3"/>
                      <wps:cNvSpPr txBox="1"/>
                      <wps:spPr>
                        <a:xfrm>
                          <a:off x="0" y="0"/>
                          <a:ext cx="2849245" cy="855345"/>
                        </a:xfrm>
                        <a:prstGeom prst="rect">
                          <a:avLst/>
                        </a:prstGeom>
                        <a:solidFill>
                          <a:srgbClr val="FFFFFF"/>
                        </a:solidFill>
                        <a:ln>
                          <a:noFill/>
                          <a:miter/>
                        </a:ln>
                      </wps:spPr>
                      <wps:txbx id="3">
                        <w:txbxContent>
                          <w:p w14:paraId="00000249">
                            <w:pPr>
                              <w:pStyle w:val="ListParagraph"/>
                              <w:jc w:val="right"/>
                              <w:rPr>
                                <w:rFonts w:ascii="Times New Roman" w:cs="Times New Roman" w:hAnsi="Times New Roman"/>
                                <w:sz w:val="24"/>
                                <w:szCs w:val="24"/>
                              </w:rPr>
                            </w:pPr>
                            <w:r>
                              <w:rPr>
                                <w:rFonts w:ascii="Times New Roman" w:cs="Times New Roman" w:hAnsi="Times New Roman"/>
                                <w:sz w:val="24"/>
                                <w:szCs w:val="24"/>
                              </w:rPr>
                              <w:t>Приложение  3</w:t>
                            </w:r>
                          </w:p>
                          <w:p w14:paraId="0000024A">
                            <w:pPr>
                              <w:pStyle w:val="ListParagraph"/>
                              <w:jc w:val="right"/>
                              <w:rPr>
                                <w:rFonts w:ascii="Times New Roman" w:cs="Times New Roman" w:hAnsi="Times New Roman"/>
                                <w:sz w:val="24"/>
                                <w:szCs w:val="24"/>
                              </w:rPr>
                            </w:pPr>
                            <w:r>
                              <w:rPr>
                                <w:rFonts w:ascii="Times New Roman" w:cs="Times New Roman" w:hAnsi="Times New Roman"/>
                                <w:sz w:val="24"/>
                                <w:szCs w:val="24"/>
                              </w:rPr>
                              <w:t>к постановлению администрации сельского поселения Селиярово</w:t>
                            </w:r>
                          </w:p>
                          <w:p w14:paraId="0000024B">
                            <w:pPr>
                              <w:pStyle w:val="ListParagraph"/>
                              <w:jc w:val="right"/>
                              <w:rPr>
                                <w:rFonts w:ascii="Times New Roman" w:cs="Times New Roman" w:hAnsi="Times New Roman"/>
                                <w:sz w:val="24"/>
                                <w:szCs w:val="24"/>
                              </w:rPr>
                            </w:pPr>
                            <w:r>
                              <w:rPr>
                                <w:rFonts w:ascii="Times New Roman" w:cs="Times New Roman" w:hAnsi="Times New Roman"/>
                                <w:sz w:val="24"/>
                                <w:szCs w:val="24"/>
                              </w:rPr>
                              <w:t>от 00.00.0000 № 00</w:t>
                            </w:r>
                          </w:p>
                          <w:p w14:paraId="0000024C">
                            <w:pPr>
                              <w:pStyle w:val="Normal"/>
                              <w:rPr/>
                            </w:pPr>
                          </w:p>
                        </w:txbxContent>
                      </wps:txbx>
                      <wps:bodyPr lIns="91440" tIns="45720" rIns="91440" bIns="45720"/>
                    </wps:wsp>
                  </a:graphicData>
                </a:graphic>
              </wp:anchor>
            </w:drawing>
          </mc:Choice>
          <mc:Fallback>
            <w:pict>
              <v:shape id="A1F496EA-475E-C258-9F1442215569" coordsize="21600,21600" style="position:absolute;width:224.35pt;height:67.35pt;margin-top:-37.1pt;margin-left:263.75pt;mso-wrap-distance-left:9.36pt;mso-wrap-distance-right:9.36pt;mso-wrap-distance-top:0pt;mso-wrap-distance-bottom:0pt;rotation:0.000000;z-index:11;" fillcolor="#ffffff" stroked="f" o:spt="1" path="m0,0 l0,21600 r21600,0 l21600,0 x e">
                <w10:wrap side="both"/>
                <v:fill type="solid" color="#ffffff" opacity="1.000000"/>
                <o:lock/>
              </v:shape>
            </w:pict>
          </mc:Fallback>
        </mc:AlternateContent>
      </w:r>
    </w:p>
    <w:p w14:paraId="0000024D">
      <w:pPr>
        <w:pStyle w:val="Normal"/>
        <w:tabs>
          <w:tab w:val="left" w:leader="none" w:pos="7069"/>
        </w:tabs>
        <w:jc w:val="center"/>
        <w:rPr>
          <w:rFonts w:ascii="Times New Roman" w:cs="Times New Roman" w:hAnsi="Times New Roman"/>
          <w:sz w:val="28"/>
          <w:szCs w:val="28"/>
        </w:rPr>
      </w:pPr>
      <w:r>
        <w:rPr/>
        <w:drawing xmlns:mc="http://schemas.openxmlformats.org/markup-compatibility/2006">
          <wp:inline distT="0" distB="0" distL="118872" distR="118872">
            <wp:extent cx="6208579" cy="8773547"/>
            <wp:effectExtent l="0" t="0" r="0" b="0"/>
            <wp:docPr id="25"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4"/>
                    <pic:cNvPicPr>
                      <a:picLocks noGrp="0" noSelect="0" noChangeAspect="0" noMove="0"/>
                    </pic:cNvPicPr>
                  </pic:nvPicPr>
                  <pic:blipFill>
                    <a:blip r:embed="rId23"/>
                    <a:srcRect/>
                    <a:stretch>
                      <a:fillRect/>
                    </a:stretch>
                  </pic:blipFill>
                  <pic:spPr>
                    <a:xfrm>
                      <a:off x="0" y="0"/>
                      <a:ext cx="6208579" cy="8773547"/>
                    </a:xfrm>
                    <a:prstGeom prst="rect">
                      <a:avLst/>
                    </a:prstGeom>
                  </pic:spPr>
                </pic:pic>
              </a:graphicData>
            </a:graphic>
          </wp:inline>
        </w:drawing>
      </w:r>
      <w:r>
        <w:rPr/>
        <w:drawing xmlns:mc="http://schemas.openxmlformats.org/markup-compatibility/2006">
          <wp:inline distT="0" distB="0" distL="118872" distR="118872">
            <wp:extent cx="6208579" cy="8773547"/>
            <wp:effectExtent l="0" t="0" r="0" b="0"/>
            <wp:docPr id="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5"/>
                    <pic:cNvPicPr>
                      <a:picLocks noGrp="0" noSelect="0" noChangeAspect="0" noMove="0"/>
                    </pic:cNvPicPr>
                  </pic:nvPicPr>
                  <pic:blipFill>
                    <a:blip r:embed="rId24"/>
                    <a:srcRect/>
                    <a:stretch>
                      <a:fillRect/>
                    </a:stretch>
                  </pic:blipFill>
                  <pic:spPr>
                    <a:xfrm>
                      <a:off x="0" y="0"/>
                      <a:ext cx="6208579" cy="8773547"/>
                    </a:xfrm>
                    <a:prstGeom prst="rect">
                      <a:avLst/>
                    </a:prstGeom>
                  </pic:spPr>
                </pic:pic>
              </a:graphicData>
            </a:graphic>
          </wp:inline>
        </w:drawing>
      </w:r>
    </w:p>
    <w:p w14:paraId="0000024E">
      <w:pPr>
        <w:pStyle w:val="Normal"/>
        <w:jc w:val="right"/>
        <w:rPr>
          <w:spacing w:val="-8"/>
          <w:sz w:val="24"/>
          <w:szCs w:val="24"/>
        </w:rPr>
      </w:pPr>
    </w:p>
    <w:p w14:paraId="0000024F">
      <w:pPr>
        <w:pStyle w:val="ListParagraph"/>
        <w:ind w:left="-16" w:firstLine="736"/>
        <w:jc w:val="right"/>
        <w:rPr>
          <w:rFonts w:ascii="Times New Roman" w:cs="Times New Roman" w:hAnsi="Times New Roman"/>
          <w:sz w:val="24"/>
          <w:szCs w:val="24"/>
        </w:rPr>
      </w:pPr>
      <w:r>
        <w:rPr>
          <w:rFonts w:ascii="Times New Roman" w:cs="Times New Roman" w:hAnsi="Times New Roman"/>
          <w:sz w:val="24"/>
          <w:szCs w:val="24"/>
        </w:rPr>
        <w:t>Приложение 4</w:t>
      </w:r>
    </w:p>
    <w:p w14:paraId="00000250">
      <w:pPr>
        <w:pStyle w:val="ListParagraph"/>
        <w:ind w:left="-16" w:firstLine="736"/>
        <w:jc w:val="right"/>
        <w:rPr>
          <w:rFonts w:ascii="Times New Roman" w:cs="Times New Roman" w:hAnsi="Times New Roman"/>
          <w:sz w:val="24"/>
          <w:szCs w:val="24"/>
        </w:rPr>
      </w:pPr>
      <w:r>
        <w:rPr>
          <w:rFonts w:ascii="Times New Roman" w:cs="Times New Roman" w:hAnsi="Times New Roman"/>
          <w:sz w:val="24"/>
          <w:szCs w:val="24"/>
        </w:rPr>
        <w:t xml:space="preserve">к постановлению администрации </w:t>
      </w:r>
    </w:p>
    <w:p w14:paraId="00000251">
      <w:pPr>
        <w:pStyle w:val="ListParagraph"/>
        <w:ind w:left="-16" w:firstLine="736"/>
        <w:jc w:val="right"/>
        <w:rPr>
          <w:rFonts w:ascii="Times New Roman" w:cs="Times New Roman" w:hAnsi="Times New Roman"/>
          <w:sz w:val="24"/>
          <w:szCs w:val="24"/>
        </w:rPr>
      </w:pPr>
      <w:r>
        <w:rPr>
          <w:rFonts w:ascii="Times New Roman" w:cs="Times New Roman" w:hAnsi="Times New Roman"/>
          <w:sz w:val="24"/>
          <w:szCs w:val="24"/>
        </w:rPr>
        <w:t>сельского поселения Селиярово</w:t>
      </w:r>
    </w:p>
    <w:p w14:paraId="00000252">
      <w:pPr>
        <w:pStyle w:val="ListParagraph"/>
        <w:ind w:left="-16" w:firstLine="736"/>
        <w:jc w:val="right"/>
        <w:rPr>
          <w:rFonts w:ascii="Times New Roman" w:cs="Times New Roman" w:hAnsi="Times New Roman"/>
          <w:sz w:val="24"/>
          <w:szCs w:val="24"/>
        </w:rPr>
      </w:pPr>
      <w:r>
        <w:rPr>
          <w:rFonts w:ascii="Times New Roman" w:cs="Times New Roman" w:hAnsi="Times New Roman"/>
          <w:sz w:val="24"/>
          <w:szCs w:val="24"/>
        </w:rPr>
        <w:t>от 00.00.0000 № 00</w:t>
      </w:r>
    </w:p>
    <w:p w14:paraId="00000253">
      <w:pPr>
        <w:pStyle w:val="ListParagraph"/>
        <w:ind w:left="-16" w:firstLine="736"/>
        <w:jc w:val="right"/>
        <w:rPr>
          <w:rFonts w:ascii="Times New Roman" w:cs="Times New Roman" w:hAnsi="Times New Roman"/>
          <w:sz w:val="24"/>
          <w:szCs w:val="24"/>
        </w:rPr>
      </w:pPr>
    </w:p>
    <w:p w14:paraId="00000254">
      <w:pPr>
        <w:pStyle w:val="ListParagraph"/>
        <w:ind w:left="-16" w:firstLine="736"/>
        <w:jc w:val="center"/>
        <w:rPr>
          <w:rFonts w:ascii="Times New Roman" w:cs="Times New Roman" w:hAnsi="Times New Roman"/>
          <w:sz w:val="28"/>
          <w:szCs w:val="28"/>
        </w:rPr>
      </w:pPr>
      <w:r>
        <w:rPr>
          <w:rFonts w:ascii="Times New Roman" w:cs="Times New Roman" w:hAnsi="Times New Roman"/>
          <w:sz w:val="28"/>
          <w:szCs w:val="28"/>
        </w:rPr>
        <w:t xml:space="preserve">Положение о размещении </w:t>
      </w:r>
      <w:r>
        <w:rPr>
          <w:rFonts w:ascii="Times New Roman" w:cs="Times New Roman" w:hAnsi="Times New Roman"/>
          <w:sz w:val="28"/>
          <w:szCs w:val="28"/>
        </w:rPr>
        <w:t xml:space="preserve">линейного </w:t>
      </w:r>
      <w:r>
        <w:rPr>
          <w:rFonts w:ascii="Times New Roman" w:cs="Times New Roman" w:hAnsi="Times New Roman"/>
          <w:sz w:val="28"/>
          <w:szCs w:val="28"/>
        </w:rPr>
        <w:t>объекта</w:t>
      </w:r>
    </w:p>
    <w:p w14:paraId="00000255">
      <w:pPr>
        <w:pStyle w:val="ListParagraph"/>
        <w:ind w:left="-16" w:firstLine="736"/>
        <w:jc w:val="center"/>
        <w:rPr>
          <w:rFonts w:ascii="Times New Roman" w:cs="Times New Roman" w:hAnsi="Times New Roman"/>
          <w:sz w:val="28"/>
          <w:szCs w:val="28"/>
        </w:rPr>
      </w:pPr>
      <w:r>
        <w:rPr>
          <w:rFonts w:ascii="Times New Roman" w:cs="Times New Roman" w:hAnsi="Times New Roman"/>
          <w:sz w:val="28"/>
          <w:szCs w:val="28"/>
        </w:rPr>
        <w:t>«</w:t>
      </w:r>
      <w:r>
        <w:rPr>
          <w:rFonts w:ascii="Times New Roman" w:cs="Times New Roman" w:hAnsi="Times New Roman"/>
          <w:sz w:val="28"/>
          <w:szCs w:val="28"/>
        </w:rPr>
        <w:t xml:space="preserve">Линейные коммуникации для кустовой площадки № 2059У </w:t>
      </w:r>
    </w:p>
    <w:p w14:paraId="00000256">
      <w:pPr>
        <w:pStyle w:val="ListParagraph"/>
        <w:ind w:left="-16" w:firstLine="736"/>
        <w:jc w:val="center"/>
        <w:rPr>
          <w:rFonts w:ascii="Times New Roman" w:cs="Times New Roman" w:hAnsi="Times New Roman"/>
          <w:sz w:val="28"/>
          <w:szCs w:val="28"/>
        </w:rPr>
      </w:pPr>
      <w:r>
        <w:rPr>
          <w:rFonts w:ascii="Times New Roman" w:cs="Times New Roman" w:hAnsi="Times New Roman"/>
          <w:sz w:val="28"/>
          <w:szCs w:val="28"/>
        </w:rPr>
        <w:t>Приобского месторождения</w:t>
      </w:r>
      <w:r>
        <w:rPr>
          <w:rFonts w:ascii="Times New Roman" w:cs="Times New Roman" w:hAnsi="Times New Roman"/>
          <w:sz w:val="28"/>
          <w:szCs w:val="28"/>
        </w:rPr>
        <w:t>»</w:t>
      </w:r>
    </w:p>
    <w:p w14:paraId="00000257">
      <w:pPr>
        <w:pStyle w:val="ListParagraph"/>
        <w:ind w:left="-16" w:firstLine="736"/>
        <w:jc w:val="both"/>
        <w:rPr>
          <w:rFonts w:ascii="Times New Roman" w:cs="Times New Roman" w:hAnsi="Times New Roman"/>
          <w:sz w:val="28"/>
          <w:szCs w:val="28"/>
        </w:rPr>
      </w:pPr>
    </w:p>
    <w:p w14:paraId="00000258">
      <w:pPr>
        <w:pStyle w:val="ListParagraph"/>
        <w:ind w:left="-16" w:firstLine="736"/>
        <w:jc w:val="center"/>
        <w:rPr>
          <w:rFonts w:ascii="Times New Roman" w:cs="Times New Roman" w:hAnsi="Times New Roman"/>
          <w:sz w:val="28"/>
          <w:szCs w:val="28"/>
        </w:rPr>
      </w:pPr>
      <w:r>
        <w:rPr>
          <w:rFonts w:ascii="Times New Roman" w:cs="Times New Roman" w:hAnsi="Times New Roman"/>
          <w:sz w:val="28"/>
          <w:szCs w:val="28"/>
        </w:rPr>
        <w:t>Проект межевания</w:t>
      </w:r>
    </w:p>
    <w:p w14:paraId="00000259">
      <w:pPr>
        <w:pStyle w:val="ListParagraph"/>
        <w:ind w:left="-16" w:firstLine="736"/>
        <w:jc w:val="center"/>
        <w:rPr>
          <w:rFonts w:ascii="Times New Roman" w:cs="Times New Roman" w:hAnsi="Times New Roman"/>
          <w:sz w:val="28"/>
          <w:szCs w:val="28"/>
        </w:rPr>
      </w:pPr>
    </w:p>
    <w:p w14:paraId="0000025A">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В соответствии с частью 2 статьи 43 Градостроительного кодекса Российской Федерации подготовка проекта межевания территории осуществляется для:</w:t>
      </w:r>
    </w:p>
    <w:p w14:paraId="0000025B">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 xml:space="preserve"> </w:t>
      </w:r>
      <w:r>
        <w:rPr>
          <w:rFonts w:ascii="Times New Roman" w:cs="Times New Roman" w:hAnsi="Times New Roman"/>
          <w:sz w:val="28"/>
          <w:szCs w:val="28"/>
          <w:lang w:eastAsia="en-US"/>
        </w:rPr>
        <w:t>определения местоположения границ образуемых и изменяемых земельных участков;</w:t>
      </w:r>
    </w:p>
    <w:p w14:paraId="0000025C">
      <w:pPr>
        <w:pStyle w:val="ListParagraph"/>
        <w:ind w:left="-16" w:firstLine="736"/>
        <w:jc w:val="both"/>
        <w:rPr>
          <w:rFonts w:ascii="Times New Roman" w:cs="Times New Roman" w:hAnsi="Times New Roman"/>
          <w:sz w:val="28"/>
          <w:szCs w:val="28"/>
        </w:rPr>
      </w:pPr>
      <w:r>
        <w:rPr>
          <w:rFonts w:ascii="Times New Roman" w:cs="Times New Roman" w:hAnsi="Times New Roman"/>
          <w:sz w:val="28"/>
          <w:szCs w:val="28"/>
          <w:lang w:eastAsia="en-US"/>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r>
        <w:rPr>
          <w:rFonts w:ascii="Times New Roman" w:cs="Times New Roman" w:hAnsi="Times New Roman"/>
          <w:sz w:val="28"/>
          <w:szCs w:val="28"/>
        </w:rPr>
        <w:t xml:space="preserve"> </w:t>
      </w:r>
    </w:p>
    <w:p w14:paraId="0000025D">
      <w:pPr>
        <w:pStyle w:val="ListParagraph"/>
        <w:ind w:left="-16" w:firstLine="736"/>
        <w:jc w:val="both"/>
        <w:rPr>
          <w:rFonts w:ascii="Times New Roman" w:cs="Times New Roman" w:hAnsi="Times New Roman"/>
          <w:sz w:val="28"/>
          <w:szCs w:val="28"/>
        </w:rPr>
      </w:pPr>
    </w:p>
    <w:p w14:paraId="0000025E">
      <w:pPr>
        <w:pStyle w:val="ListParagraph"/>
        <w:ind w:left="-16" w:firstLine="736"/>
        <w:jc w:val="both"/>
        <w:rPr>
          <w:rFonts w:ascii="Times New Roman" w:cs="Times New Roman" w:hAnsi="Times New Roman"/>
          <w:sz w:val="28"/>
          <w:szCs w:val="28"/>
        </w:rPr>
      </w:pPr>
      <w:r>
        <w:rPr>
          <w:rFonts w:ascii="Times New Roman" w:cs="Times New Roman" w:hAnsi="Times New Roman"/>
          <w:sz w:val="28"/>
          <w:szCs w:val="28"/>
        </w:rPr>
        <w:t>2</w:t>
      </w:r>
      <w:r>
        <w:rPr>
          <w:rFonts w:ascii="Times New Roman" w:cs="Times New Roman" w:hAnsi="Times New Roman"/>
          <w:sz w:val="28"/>
          <w:szCs w:val="28"/>
        </w:rPr>
        <w:t>.1 Перечень и сведения о площади образуемых земельных участков, в том числе возможные способы их образования</w:t>
      </w:r>
      <w:r>
        <w:rPr>
          <w:rFonts w:ascii="Times New Roman" w:cs="Times New Roman" w:hAnsi="Times New Roman"/>
          <w:sz w:val="28"/>
          <w:szCs w:val="28"/>
        </w:rPr>
        <w:t xml:space="preserve"> </w:t>
      </w:r>
    </w:p>
    <w:p w14:paraId="0000025F">
      <w:pPr>
        <w:pStyle w:val="ListParagraph"/>
        <w:ind w:left="-16" w:firstLine="736"/>
        <w:jc w:val="both"/>
        <w:rPr>
          <w:rFonts w:ascii="Times New Roman" w:cs="Times New Roman" w:hAnsi="Times New Roman"/>
          <w:sz w:val="28"/>
          <w:szCs w:val="28"/>
        </w:rPr>
      </w:pPr>
    </w:p>
    <w:p w14:paraId="00000260">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Общая площадь образуемых земельных участков, необходимых для строительства и размещения проектируемого объекта, составляет 18,9066 га.</w:t>
      </w:r>
    </w:p>
    <w:p w14:paraId="00000261">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Образуемые земельные участки должны обеспечить:</w:t>
      </w:r>
    </w:p>
    <w:p w14:paraId="00000262">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w:t>
        <w:tab/>
        <w:t>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
    <w:p w14:paraId="00000263">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w:t>
        <w:tab/>
        <w:t>возможность долгосрочного использования земельного участка,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14:paraId="00000264">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w:t>
        <w:tab/>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14:paraId="00000265">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Образуемые земельные участки под строительство и эксплуатацию объекта: «Линейные</w:t>
      </w:r>
    </w:p>
    <w:p w14:paraId="00000266">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коммуникации для кустовой площадки № 2059У Приобского месторождения», сформированы на территории Ханты-Мансийского района и относятся к категории земель     </w:t>
      </w:r>
    </w:p>
    <w:p w14:paraId="00000267">
      <w:pPr>
        <w:pStyle w:val="ListParagraph"/>
        <w:ind w:left="-16" w:firstLine="736"/>
        <w:jc w:val="both"/>
        <w:rPr>
          <w:rFonts w:ascii="Times New Roman" w:cs="Times New Roman" w:hAnsi="Times New Roman"/>
          <w:sz w:val="28"/>
          <w:szCs w:val="28"/>
          <w:lang w:eastAsia="en-US"/>
        </w:rPr>
      </w:pPr>
      <w:r>
        <w:rPr>
          <w:rFonts w:ascii="Times New Roman" w:cs="Times New Roman" w:hAnsi="Times New Roman"/>
          <w:sz w:val="28"/>
          <w:szCs w:val="28"/>
          <w:lang w:eastAsia="en-US"/>
        </w:rPr>
        <w:t xml:space="preserve">            -    </w:t>
      </w:r>
      <w:r>
        <w:fldChar w:fldCharType="begin"/>
      </w:r>
      <w:r>
        <w:instrText xml:space="preserve"> HYPERLINK "http://www.consultant.ru/document/cons_doc_LAW_330851/533ee5fc98aee7416dbf5b5c15265ff54e020592/" \l "dst100705" </w:instrText>
      </w:r>
      <w:r>
        <w:fldChar w:fldCharType="separate"/>
      </w:r>
      <w:r>
        <w:rPr>
          <w:rFonts w:ascii="Times New Roman" w:cs="Times New Roman" w:hAnsi="Times New Roman"/>
          <w:sz w:val="28"/>
          <w:szCs w:val="28"/>
          <w:lang w:eastAsia="en-US"/>
        </w:rPr>
        <w:t>земел</w:t>
      </w:r>
      <w:r>
        <w:fldChar w:fldCharType="end"/>
      </w:r>
      <w:r>
        <w:rPr>
          <w:rFonts w:ascii="Times New Roman" w:cs="Times New Roman" w:hAnsi="Times New Roman"/>
          <w:sz w:val="28"/>
          <w:szCs w:val="28"/>
          <w:lang w:eastAsia="en-US"/>
        </w:rPr>
        <w:t>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0000268">
      <w:pPr>
        <w:pStyle w:val="ListParagraph"/>
        <w:ind w:left="-16" w:firstLine="736"/>
        <w:jc w:val="both"/>
        <w:rPr>
          <w:color w:val="000000"/>
          <w:sz w:val="24"/>
          <w:szCs w:val="24"/>
          <w:lang w:eastAsia="en-US"/>
        </w:rPr>
      </w:pPr>
      <w:r>
        <w:rPr>
          <w:rFonts w:ascii="Times New Roman" w:cs="Times New Roman" w:hAnsi="Times New Roman"/>
          <w:sz w:val="28"/>
          <w:szCs w:val="28"/>
          <w:lang w:eastAsia="en-US"/>
        </w:rPr>
        <w:t xml:space="preserve">         -      земель сельскохозяйственного назначения;</w:t>
      </w:r>
    </w:p>
    <w:p w14:paraId="00000269">
      <w:pPr>
        <w:pStyle w:val="Listcontinue2"/>
        <w:tabs>
          <w:tab w:val="center" w:leader="none" w:pos="4535"/>
          <w:tab w:val="right" w:leader="none" w:pos="9071"/>
        </w:tabs>
        <w:spacing w:after="0" w:line="360" w:lineRule="auto"/>
        <w:ind w:left="0"/>
        <w:jc w:val="right"/>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 xml:space="preserve">Таблица 1 </w:t>
      </w:r>
    </w:p>
    <w:p w14:paraId="0000026A">
      <w:pPr>
        <w:pStyle w:val="Listcontinue2"/>
        <w:spacing w:after="0" w:line="360" w:lineRule="auto"/>
        <w:ind w:left="0"/>
        <w:jc w:val="center"/>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Способ образования земельных участков:</w:t>
      </w:r>
    </w:p>
    <w:tbl>
      <w:tblPr>
        <w:tblW w:w="8867"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672"/>
        <w:gridCol w:w="1411"/>
        <w:gridCol w:w="4784"/>
      </w:tblGrid>
      <w:tr>
        <w:trPr>
          <w:wAfter w:w="0" w:type="dxa"/>
          <w:trHeight w:val="1164" w:hRule="atLeast"/>
          <w:tblHeader w:val="on"/>
        </w:trPr>
        <w:tc>
          <w:tcPr>
            <w:cnfStyle w:val="101000000000"/>
            <w:tcW w:w="2672" w:type="dxa"/>
            <w:tcBorders>
              <w:top w:val="single" w:color="auto" w:sz="4" w:space="0"/>
              <w:left w:val="single" w:color="auto" w:sz="4" w:space="0"/>
              <w:bottom w:val="single" w:color="auto" w:sz="4" w:space="0"/>
              <w:right w:val="single" w:color="auto" w:sz="4" w:space="0"/>
            </w:tcBorders>
            <w:vAlign w:val="center"/>
          </w:tcPr>
          <w:p w14:paraId="0000026B">
            <w:pPr>
              <w:pStyle w:val="Default"/>
              <w:jc w:val="center"/>
              <w:rPr>
                <w:rFonts w:ascii="Times New Roman" w:cs="Times New Roman" w:hAnsi="Times New Roman"/>
                <w:lang w:eastAsia="en-US"/>
              </w:rPr>
            </w:pPr>
            <w:r>
              <w:rPr>
                <w:rFonts w:ascii="Times New Roman" w:cs="Times New Roman" w:hAnsi="Times New Roman"/>
                <w:lang w:eastAsia="en-US"/>
              </w:rPr>
              <w:t xml:space="preserve">Кадастровый номер земельного участка </w:t>
            </w:r>
          </w:p>
        </w:tc>
        <w:tc>
          <w:tcPr>
            <w:cnfStyle w:val="100000000000"/>
            <w:tcW w:w="1411" w:type="dxa"/>
            <w:tcBorders>
              <w:top w:val="single" w:color="auto" w:sz="4" w:space="0"/>
              <w:left w:val="single" w:color="auto" w:sz="4" w:space="0"/>
              <w:bottom w:val="single" w:color="auto" w:sz="4" w:space="0"/>
              <w:right w:val="single" w:color="auto" w:sz="4" w:space="0"/>
            </w:tcBorders>
            <w:vAlign w:val="center"/>
          </w:tcPr>
          <w:p w14:paraId="0000026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Площадь земельного участка, га</w:t>
            </w:r>
          </w:p>
        </w:tc>
        <w:tc>
          <w:tcPr>
            <w:cnfStyle w:val="100000000000"/>
            <w:tcW w:w="4784" w:type="dxa"/>
            <w:tcBorders>
              <w:top w:val="single" w:color="auto" w:sz="4" w:space="0"/>
              <w:left w:val="single" w:color="auto" w:sz="4" w:space="0"/>
              <w:bottom w:val="single" w:color="auto" w:sz="4" w:space="0"/>
              <w:right w:val="single" w:color="auto" w:sz="4" w:space="0"/>
            </w:tcBorders>
            <w:vAlign w:val="center"/>
          </w:tcPr>
          <w:p w14:paraId="0000026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Способ образования</w:t>
            </w:r>
          </w:p>
        </w:tc>
      </w:tr>
      <w:tr>
        <w:trPr>
          <w:wAfter w:w="0" w:type="dxa"/>
          <w:trHeight w:val="407" w:hRule="atLeast"/>
          <w:tblHeader w:val="on"/>
        </w:trPr>
        <w:tc>
          <w:tcPr>
            <w:cnfStyle w:val="001000100000"/>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000026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86:02:0808002:ЗУ1</w:t>
            </w:r>
          </w:p>
        </w:tc>
        <w:tc>
          <w:tcPr>
            <w:cnfStyle w:val="000000100000"/>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0000026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0,0218</w:t>
            </w:r>
          </w:p>
        </w:tc>
        <w:tc>
          <w:tcPr>
            <w:cnfStyle w:val="000000100000"/>
            <w:tcW w:w="4784" w:type="dxa"/>
            <w:tcBorders>
              <w:top w:val="single" w:color="auto" w:sz="4" w:space="0"/>
              <w:left w:val="single" w:color="auto" w:sz="4" w:space="0"/>
              <w:bottom w:val="single" w:color="auto" w:sz="4" w:space="0"/>
              <w:right w:val="single" w:color="auto" w:sz="4" w:space="0"/>
            </w:tcBorders>
            <w:vAlign w:val="center"/>
          </w:tcPr>
          <w:p w14:paraId="00000270">
            <w:pPr>
              <w:pStyle w:val="Default"/>
              <w:jc w:val="both"/>
              <w:rPr>
                <w:rFonts w:ascii="Times New Roman" w:cs="Times New Roman" w:hAnsi="Times New Roman"/>
                <w:lang w:eastAsia="en-US"/>
              </w:rPr>
            </w:pPr>
            <w:r>
              <w:rPr>
                <w:rFonts w:ascii="Times New Roman" w:cs="Times New Roman" w:hAnsi="Times New Roman"/>
                <w:lang w:eastAsia="en-US"/>
              </w:rPr>
              <w:t>образование земельного участка из земель, находящихся в государственной или муниципальной собственности в кадастровом квартале 86:02:0808002</w:t>
            </w:r>
          </w:p>
        </w:tc>
      </w:tr>
      <w:tr>
        <w:trPr>
          <w:wAfter w:w="0" w:type="dxa"/>
          <w:trHeight w:val="407" w:hRule="atLeast"/>
          <w:tblHeader w:val="on"/>
        </w:trPr>
        <w:tc>
          <w:tcPr>
            <w:cnfStyle w:val="001000010000"/>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000027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86:02:0808002:390:ЗУ1</w:t>
            </w:r>
          </w:p>
        </w:tc>
        <w:tc>
          <w:tcPr>
            <w:cnfStyle w:val="000000010000"/>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0000027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2,3781</w:t>
            </w:r>
          </w:p>
        </w:tc>
        <w:tc>
          <w:tcPr>
            <w:cnfStyle w:val="000000010000"/>
            <w:tcW w:w="4784" w:type="dxa"/>
            <w:tcBorders>
              <w:top w:val="single" w:color="auto" w:sz="4" w:space="0"/>
              <w:left w:val="single" w:color="auto" w:sz="4" w:space="0"/>
              <w:bottom w:val="single" w:color="auto" w:sz="4" w:space="0"/>
              <w:right w:val="single" w:color="auto" w:sz="4" w:space="0"/>
            </w:tcBorders>
            <w:vAlign w:val="center"/>
          </w:tcPr>
          <w:p w14:paraId="00000273">
            <w:pPr>
              <w:pStyle w:val="Default"/>
              <w:jc w:val="both"/>
              <w:rPr>
                <w:rFonts w:ascii="Times New Roman" w:cs="Times New Roman" w:hAnsi="Times New Roman"/>
                <w:lang w:eastAsia="en-US"/>
              </w:rPr>
            </w:pPr>
            <w:r>
              <w:rPr>
                <w:rFonts w:ascii="Times New Roman" w:cs="Times New Roman" w:hAnsi="Times New Roman"/>
                <w:lang w:eastAsia="en-US"/>
              </w:rPr>
              <w:t xml:space="preserve">раздел земельного участка с кадастровым номером 86:02:0808002:390 с сохранением исходного земельного участка в измененных границах </w:t>
            </w:r>
          </w:p>
          <w:p w14:paraId="00000274">
            <w:pPr>
              <w:pStyle w:val="Default"/>
              <w:jc w:val="both"/>
              <w:rPr>
                <w:rFonts w:ascii="Times New Roman" w:cs="Times New Roman" w:hAnsi="Times New Roman"/>
                <w:lang w:eastAsia="en-US"/>
              </w:rPr>
            </w:pPr>
          </w:p>
        </w:tc>
      </w:tr>
      <w:tr>
        <w:trPr>
          <w:wAfter w:w="0" w:type="dxa"/>
          <w:trHeight w:val="407" w:hRule="atLeast"/>
          <w:tblHeader w:val="on"/>
        </w:trPr>
        <w:tc>
          <w:tcPr>
            <w:cnfStyle w:val="001000100000"/>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000027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86:02:0808002:390:ЗУ2</w:t>
            </w:r>
          </w:p>
        </w:tc>
        <w:tc>
          <w:tcPr>
            <w:cnfStyle w:val="000000100000"/>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0000027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10,5618</w:t>
            </w:r>
          </w:p>
        </w:tc>
        <w:tc>
          <w:tcPr>
            <w:cnfStyle w:val="000000100000"/>
            <w:tcW w:w="4784" w:type="dxa"/>
            <w:tcBorders>
              <w:top w:val="single" w:color="auto" w:sz="4" w:space="0"/>
              <w:left w:val="single" w:color="auto" w:sz="4" w:space="0"/>
              <w:bottom w:val="single" w:color="auto" w:sz="4" w:space="0"/>
              <w:right w:val="single" w:color="auto" w:sz="4" w:space="0"/>
            </w:tcBorders>
            <w:vAlign w:val="center"/>
          </w:tcPr>
          <w:p w14:paraId="00000277">
            <w:pPr>
              <w:pStyle w:val="Default"/>
              <w:jc w:val="both"/>
              <w:rPr>
                <w:rFonts w:ascii="Times New Roman" w:cs="Times New Roman" w:hAnsi="Times New Roman"/>
                <w:lang w:eastAsia="en-US"/>
              </w:rPr>
            </w:pPr>
            <w:r>
              <w:rPr>
                <w:rFonts w:ascii="Times New Roman" w:cs="Times New Roman" w:hAnsi="Times New Roman"/>
                <w:lang w:eastAsia="en-US"/>
              </w:rPr>
              <w:t xml:space="preserve">раздел земельного участка с кадастровым номером 86:02:0808002:390 с сохранением исходного земельного участка в измененных границах </w:t>
            </w:r>
          </w:p>
          <w:p w14:paraId="00000278">
            <w:pPr>
              <w:pStyle w:val="Default"/>
              <w:jc w:val="both"/>
              <w:rPr>
                <w:rFonts w:ascii="Times New Roman" w:cs="Times New Roman" w:hAnsi="Times New Roman"/>
                <w:lang w:eastAsia="en-US"/>
              </w:rPr>
            </w:pPr>
          </w:p>
        </w:tc>
      </w:tr>
      <w:tr>
        <w:trPr>
          <w:wAfter w:w="0" w:type="dxa"/>
          <w:trHeight w:val="407" w:hRule="atLeast"/>
          <w:tblHeader w:val="on"/>
        </w:trPr>
        <w:tc>
          <w:tcPr>
            <w:cnfStyle w:val="001000010000"/>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000027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86:02:0808002:390:ЗУ3</w:t>
            </w:r>
          </w:p>
        </w:tc>
        <w:tc>
          <w:tcPr>
            <w:cnfStyle w:val="000000010000"/>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0000027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1,5510</w:t>
            </w:r>
          </w:p>
        </w:tc>
        <w:tc>
          <w:tcPr>
            <w:cnfStyle w:val="000000010000"/>
            <w:tcW w:w="4784" w:type="dxa"/>
            <w:tcBorders>
              <w:top w:val="single" w:color="auto" w:sz="4" w:space="0"/>
              <w:left w:val="single" w:color="auto" w:sz="4" w:space="0"/>
              <w:bottom w:val="single" w:color="auto" w:sz="4" w:space="0"/>
              <w:right w:val="single" w:color="auto" w:sz="4" w:space="0"/>
            </w:tcBorders>
            <w:vAlign w:val="center"/>
          </w:tcPr>
          <w:p w14:paraId="0000027B">
            <w:pPr>
              <w:pStyle w:val="Default"/>
              <w:jc w:val="both"/>
              <w:rPr>
                <w:rFonts w:ascii="Times New Roman" w:cs="Times New Roman" w:hAnsi="Times New Roman"/>
                <w:lang w:eastAsia="en-US"/>
              </w:rPr>
            </w:pPr>
            <w:r>
              <w:rPr>
                <w:rFonts w:ascii="Times New Roman" w:cs="Times New Roman" w:hAnsi="Times New Roman"/>
                <w:lang w:eastAsia="en-US"/>
              </w:rPr>
              <w:t xml:space="preserve">раздел земельного участка с кадастровым номером 86:02:0808002:390 с сохранением исходного земельного участка в измененных границах </w:t>
            </w:r>
          </w:p>
          <w:p w14:paraId="0000027C">
            <w:pPr>
              <w:pStyle w:val="Default"/>
              <w:jc w:val="both"/>
              <w:rPr>
                <w:rFonts w:ascii="Times New Roman" w:cs="Times New Roman" w:hAnsi="Times New Roman"/>
                <w:lang w:eastAsia="en-US"/>
              </w:rPr>
            </w:pPr>
          </w:p>
        </w:tc>
      </w:tr>
      <w:tr>
        <w:trPr>
          <w:wAfter w:w="0" w:type="dxa"/>
          <w:trHeight w:val="407" w:hRule="atLeast"/>
          <w:tblHeader w:val="on"/>
        </w:trPr>
        <w:tc>
          <w:tcPr>
            <w:cnfStyle w:val="001000100000"/>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000027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86:02:0808002:390:ЗУ4</w:t>
            </w:r>
          </w:p>
        </w:tc>
        <w:tc>
          <w:tcPr>
            <w:cnfStyle w:val="000000100000"/>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0000027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4,3580</w:t>
            </w:r>
          </w:p>
        </w:tc>
        <w:tc>
          <w:tcPr>
            <w:cnfStyle w:val="000000100000"/>
            <w:tcW w:w="4784" w:type="dxa"/>
            <w:tcBorders>
              <w:top w:val="single" w:color="auto" w:sz="4" w:space="0"/>
              <w:left w:val="single" w:color="auto" w:sz="4" w:space="0"/>
              <w:bottom w:val="single" w:color="auto" w:sz="4" w:space="0"/>
              <w:right w:val="single" w:color="auto" w:sz="4" w:space="0"/>
            </w:tcBorders>
            <w:vAlign w:val="center"/>
          </w:tcPr>
          <w:p w14:paraId="0000027F">
            <w:pPr>
              <w:pStyle w:val="Default"/>
              <w:jc w:val="both"/>
              <w:rPr>
                <w:rFonts w:ascii="Times New Roman" w:cs="Times New Roman" w:hAnsi="Times New Roman"/>
                <w:lang w:eastAsia="en-US"/>
              </w:rPr>
            </w:pPr>
            <w:r>
              <w:rPr>
                <w:rFonts w:ascii="Times New Roman" w:cs="Times New Roman" w:hAnsi="Times New Roman"/>
                <w:lang w:eastAsia="en-US"/>
              </w:rPr>
              <w:t xml:space="preserve">раздел земельного участка с кадастровым номером 86:02:0808002:390 с сохранением исходного земельного участка в измененных границах </w:t>
            </w:r>
          </w:p>
          <w:p w14:paraId="00000280">
            <w:pPr>
              <w:pStyle w:val="Default"/>
              <w:jc w:val="both"/>
              <w:rPr>
                <w:rFonts w:ascii="Times New Roman" w:cs="Times New Roman" w:hAnsi="Times New Roman"/>
                <w:lang w:eastAsia="en-US"/>
              </w:rPr>
            </w:pPr>
          </w:p>
        </w:tc>
      </w:tr>
      <w:tr>
        <w:trPr>
          <w:wAfter w:w="0" w:type="dxa"/>
          <w:trHeight w:val="407" w:hRule="atLeast"/>
          <w:tblHeader w:val="on"/>
        </w:trPr>
        <w:tc>
          <w:tcPr>
            <w:cnfStyle w:val="001000010000"/>
            <w:tcW w:w="2672" w:type="dxa"/>
            <w:tcBorders>
              <w:top w:val="single" w:color="auto" w:sz="4" w:space="0"/>
              <w:left w:val="single" w:color="auto" w:sz="4" w:space="0"/>
              <w:bottom w:val="single" w:color="auto" w:sz="4" w:space="0"/>
              <w:right w:val="single" w:color="auto" w:sz="4" w:space="0"/>
            </w:tcBorders>
            <w:shd w:val="clear" w:color="auto" w:fill="auto"/>
            <w:vAlign w:val="center"/>
          </w:tcPr>
          <w:p w14:paraId="0000028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86:02:0808002:1597:ЗУ1</w:t>
            </w:r>
          </w:p>
        </w:tc>
        <w:tc>
          <w:tcPr>
            <w:cnfStyle w:val="000000010000"/>
            <w:tcW w:w="1411" w:type="dxa"/>
            <w:tcBorders>
              <w:top w:val="single" w:color="auto" w:sz="4" w:space="0"/>
              <w:left w:val="single" w:color="auto" w:sz="4" w:space="0"/>
              <w:bottom w:val="single" w:color="auto" w:sz="4" w:space="0"/>
              <w:right w:val="single" w:color="auto" w:sz="4" w:space="0"/>
            </w:tcBorders>
            <w:shd w:val="clear" w:color="auto" w:fill="auto"/>
            <w:vAlign w:val="center"/>
          </w:tcPr>
          <w:p w14:paraId="0000028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0,0359</w:t>
            </w:r>
          </w:p>
        </w:tc>
        <w:tc>
          <w:tcPr>
            <w:cnfStyle w:val="000000010000"/>
            <w:tcW w:w="4784" w:type="dxa"/>
            <w:tcBorders>
              <w:top w:val="single" w:color="auto" w:sz="4" w:space="0"/>
              <w:left w:val="single" w:color="auto" w:sz="4" w:space="0"/>
              <w:bottom w:val="single" w:color="auto" w:sz="4" w:space="0"/>
              <w:right w:val="single" w:color="auto" w:sz="4" w:space="0"/>
            </w:tcBorders>
            <w:vAlign w:val="center"/>
          </w:tcPr>
          <w:p w14:paraId="00000283">
            <w:pPr>
              <w:pStyle w:val="Default"/>
              <w:jc w:val="both"/>
              <w:rPr>
                <w:rFonts w:ascii="Times New Roman" w:cs="Times New Roman" w:hAnsi="Times New Roman"/>
                <w:lang w:eastAsia="en-US"/>
              </w:rPr>
            </w:pPr>
            <w:r>
              <w:rPr>
                <w:rFonts w:ascii="Times New Roman" w:cs="Times New Roman" w:hAnsi="Times New Roman"/>
                <w:lang w:eastAsia="en-US"/>
              </w:rPr>
              <w:t xml:space="preserve">раздел земельного участка с кадастровым номером 86:02:0808002:1597 с сохранением исходного земельного участка в измененных границах </w:t>
            </w:r>
          </w:p>
          <w:p w14:paraId="00000284">
            <w:pPr>
              <w:pStyle w:val="Default"/>
              <w:jc w:val="both"/>
              <w:rPr>
                <w:rFonts w:ascii="Times New Roman" w:cs="Times New Roman" w:hAnsi="Times New Roman"/>
                <w:lang w:eastAsia="en-US"/>
              </w:rPr>
            </w:pPr>
          </w:p>
        </w:tc>
      </w:tr>
    </w:tbl>
    <w:p w14:paraId="00000285">
      <w:pPr>
        <w:pStyle w:val="Listcontinue2"/>
        <w:spacing w:after="0"/>
        <w:ind w:left="0"/>
        <w:jc w:val="right"/>
        <w:rPr>
          <w:color w:val="000000"/>
          <w:lang w:eastAsia="en-US"/>
        </w:rPr>
      </w:pPr>
    </w:p>
    <w:p w14:paraId="00000286">
      <w:pPr>
        <w:pStyle w:val="Listcontinue2"/>
        <w:spacing w:after="0"/>
        <w:ind w:left="0"/>
        <w:jc w:val="right"/>
        <w:rPr>
          <w:color w:val="000000"/>
          <w:lang w:eastAsia="en-US"/>
        </w:rPr>
      </w:pPr>
    </w:p>
    <w:p w14:paraId="00000287">
      <w:pPr>
        <w:pStyle w:val="Default"/>
        <w:jc w:val="right"/>
        <w:rPr>
          <w:rFonts w:ascii="Times New Roman" w:cs="Times New Roman" w:hAnsi="Times New Roman"/>
          <w:sz w:val="28"/>
          <w:szCs w:val="28"/>
          <w:lang w:eastAsia="en-US"/>
        </w:rPr>
      </w:pPr>
      <w:r>
        <w:rPr>
          <w:rFonts w:ascii="Times New Roman" w:cs="Times New Roman" w:hAnsi="Times New Roman"/>
          <w:sz w:val="28"/>
          <w:szCs w:val="28"/>
          <w:lang w:eastAsia="en-US"/>
        </w:rPr>
        <w:t>Таблица 2</w:t>
      </w:r>
    </w:p>
    <w:p w14:paraId="00000288">
      <w:pPr>
        <w:pStyle w:val="Default"/>
        <w:jc w:val="center"/>
        <w:rPr>
          <w:rFonts w:ascii="Times New Roman" w:cs="Times New Roman" w:hAnsi="Times New Roman"/>
          <w:sz w:val="28"/>
          <w:szCs w:val="28"/>
          <w:lang w:eastAsia="en-US"/>
        </w:rPr>
      </w:pPr>
      <w:r>
        <w:rPr>
          <w:rFonts w:ascii="Times New Roman" w:cs="Times New Roman" w:hAnsi="Times New Roman"/>
          <w:sz w:val="28"/>
          <w:szCs w:val="28"/>
          <w:lang w:eastAsia="en-US"/>
        </w:rPr>
        <w:t>Способ  об  изменяемых  земельных участках:</w:t>
      </w:r>
    </w:p>
    <w:tbl>
      <w:tblPr>
        <w:tblW w:w="1003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tblPr>
      <w:tblGrid>
        <w:gridCol w:w="2584"/>
        <w:gridCol w:w="1635"/>
        <w:gridCol w:w="2977"/>
        <w:gridCol w:w="2835"/>
      </w:tblGrid>
      <w:tr>
        <w:trPr>
          <w:wAfter w:w="0" w:type="dxa"/>
          <w:trHeight w:val="744" w:hRule="atLeast"/>
          <w:tblHeader w:val="on"/>
        </w:trPr>
        <w:tc>
          <w:tcPr>
            <w:cnfStyle w:val="101000000000"/>
            <w:tcW w:w="2584" w:type="dxa"/>
            <w:shd w:val="clear" w:color="auto" w:fill="auto"/>
            <w:vAlign w:val="center"/>
          </w:tcPr>
          <w:p w14:paraId="00000289">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Кадастровый номер земельного участка</w:t>
            </w:r>
          </w:p>
        </w:tc>
        <w:tc>
          <w:tcPr>
            <w:cnfStyle w:val="100000000000"/>
            <w:tcW w:w="1635" w:type="dxa"/>
            <w:shd w:val="clear" w:color="auto" w:fill="auto"/>
            <w:vAlign w:val="center"/>
          </w:tcPr>
          <w:p w14:paraId="0000028A">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Площадь земельного участка, га</w:t>
            </w:r>
          </w:p>
        </w:tc>
        <w:tc>
          <w:tcPr>
            <w:cnfStyle w:val="100000000000"/>
            <w:tcW w:w="2977" w:type="dxa"/>
            <w:shd w:val="clear" w:color="auto" w:fill="auto"/>
            <w:vAlign w:val="center"/>
          </w:tcPr>
          <w:p w14:paraId="0000028B">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Категория земель</w:t>
            </w:r>
          </w:p>
        </w:tc>
        <w:tc>
          <w:tcPr>
            <w:cnfStyle w:val="100000000000"/>
            <w:tcW w:w="2835" w:type="dxa"/>
            <w:shd w:val="clear" w:color="auto" w:fill="auto"/>
            <w:vAlign w:val="center"/>
          </w:tcPr>
          <w:p w14:paraId="0000028C">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Адрес изменяемых земельных участков</w:t>
            </w:r>
          </w:p>
        </w:tc>
      </w:tr>
      <w:tr>
        <w:trPr>
          <w:wAfter w:w="0" w:type="dxa"/>
          <w:trHeight w:val="630" w:hRule="atLeast"/>
        </w:trPr>
        <w:tc>
          <w:tcPr>
            <w:cnfStyle w:val="001000100000"/>
            <w:tcW w:w="2584" w:type="dxa"/>
            <w:shd w:val="clear" w:color="auto" w:fill="auto"/>
            <w:vAlign w:val="center"/>
          </w:tcPr>
          <w:p w14:paraId="0000028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w:t>
            </w:r>
          </w:p>
        </w:tc>
        <w:tc>
          <w:tcPr>
            <w:cnfStyle w:val="000000100000"/>
            <w:tcW w:w="1635" w:type="dxa"/>
            <w:shd w:val="clear" w:color="auto" w:fill="auto"/>
            <w:vAlign w:val="center"/>
          </w:tcPr>
          <w:p w14:paraId="0000028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33 585 153</w:t>
            </w:r>
          </w:p>
        </w:tc>
        <w:tc>
          <w:tcPr>
            <w:cnfStyle w:val="000000100000"/>
            <w:tcW w:w="2977" w:type="dxa"/>
            <w:shd w:val="clear" w:color="auto" w:fill="auto"/>
            <w:vAlign w:val="center"/>
          </w:tcPr>
          <w:p w14:paraId="0000028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100000"/>
            <w:tcW w:w="2835" w:type="dxa"/>
            <w:shd w:val="clear" w:color="auto" w:fill="auto"/>
          </w:tcPr>
          <w:p w14:paraId="0000029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Ханты-Мансийский Автономный округ - Югра, Ханты-Мансийский р-н, в районе с.Селиярово</w:t>
            </w:r>
          </w:p>
        </w:tc>
      </w:tr>
      <w:tr>
        <w:trPr>
          <w:wAfter w:w="0" w:type="dxa"/>
          <w:trHeight w:val="630" w:hRule="atLeast"/>
        </w:trPr>
        <w:tc>
          <w:tcPr>
            <w:cnfStyle w:val="001000010000"/>
            <w:tcW w:w="2584" w:type="dxa"/>
            <w:shd w:val="clear" w:color="auto" w:fill="auto"/>
            <w:vAlign w:val="center"/>
          </w:tcPr>
          <w:p w14:paraId="0000029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86:02:0808002:1597</w:t>
            </w:r>
          </w:p>
        </w:tc>
        <w:tc>
          <w:tcPr>
            <w:cnfStyle w:val="000000010000"/>
            <w:tcW w:w="1635" w:type="dxa"/>
            <w:shd w:val="clear" w:color="auto" w:fill="auto"/>
            <w:vAlign w:val="center"/>
          </w:tcPr>
          <w:p w14:paraId="0000029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38 554</w:t>
            </w:r>
          </w:p>
        </w:tc>
        <w:tc>
          <w:tcPr>
            <w:cnfStyle w:val="000000010000"/>
            <w:tcW w:w="2977" w:type="dxa"/>
            <w:shd w:val="clear" w:color="auto" w:fill="auto"/>
          </w:tcPr>
          <w:p w14:paraId="00000293">
            <w:pPr>
              <w:pStyle w:val="Normal"/>
              <w:jc w:val="center"/>
              <w:rPr>
                <w:rFonts w:ascii="Times New Roman" w:cs="Times New Roman" w:hAnsi="Times New Roman"/>
                <w:color w:val="000000"/>
                <w:sz w:val="24"/>
                <w:szCs w:val="24"/>
                <w:lang w:eastAsia="en-US"/>
              </w:rPr>
            </w:pPr>
          </w:p>
          <w:p w14:paraId="0000029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промышленности*</w:t>
            </w:r>
          </w:p>
        </w:tc>
        <w:tc>
          <w:tcPr>
            <w:cnfStyle w:val="000000010000"/>
            <w:tcW w:w="2835" w:type="dxa"/>
            <w:shd w:val="clear" w:color="auto" w:fill="auto"/>
          </w:tcPr>
          <w:p w14:paraId="0000029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Ханты-Мансийский автономный округ - Югра, р-н Ханты-Мансийский, Приобское месторождение, правый берег</w:t>
            </w:r>
          </w:p>
        </w:tc>
      </w:tr>
    </w:tbl>
    <w:p w14:paraId="00000296">
      <w:pPr>
        <w:pStyle w:val="Default"/>
        <w:rPr>
          <w:rFonts w:ascii="Times New Roman" w:cs="Times New Roman" w:hAnsi="Times New Roman"/>
          <w:lang w:eastAsia="en-US"/>
        </w:rPr>
      </w:pPr>
      <w:r>
        <w:rPr>
          <w:rFonts w:ascii="Times New Roman" w:cs="Times New Roman" w:hAnsi="Times New Roman"/>
          <w:lang w:eastAsia="en-U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00000297">
      <w:pPr>
        <w:pStyle w:val="Listcontinue2"/>
        <w:spacing w:after="0"/>
        <w:ind w:left="0" w:firstLine="0"/>
        <w:jc w:val="right"/>
        <w:rPr>
          <w:color w:val="000000"/>
          <w:lang w:eastAsia="en-US"/>
        </w:rPr>
      </w:pPr>
    </w:p>
    <w:p w14:paraId="00000298">
      <w:pPr>
        <w:pStyle w:val="Listcontinue2"/>
        <w:spacing w:after="0"/>
        <w:ind w:left="0" w:firstLine="720"/>
        <w:jc w:val="right"/>
        <w:rPr>
          <w:color w:val="000000"/>
          <w:lang w:eastAsia="en-US"/>
        </w:rPr>
      </w:pPr>
    </w:p>
    <w:p w14:paraId="00000299">
      <w:pPr>
        <w:pStyle w:val="Listcontinue2"/>
        <w:spacing w:after="0"/>
        <w:ind w:left="0" w:firstLine="720"/>
        <w:jc w:val="right"/>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Таблица 3</w:t>
      </w:r>
    </w:p>
    <w:p w14:paraId="0000029A">
      <w:pPr>
        <w:pStyle w:val="Listcontinue2"/>
        <w:spacing w:after="0"/>
        <w:ind w:left="0" w:firstLine="720"/>
        <w:jc w:val="right"/>
        <w:rPr>
          <w:rFonts w:ascii="Times New Roman" w:cs="Times New Roman" w:hAnsi="Times New Roman"/>
          <w:color w:val="000000"/>
          <w:sz w:val="28"/>
          <w:szCs w:val="28"/>
          <w:lang w:eastAsia="en-US"/>
        </w:rPr>
      </w:pPr>
    </w:p>
    <w:p w14:paraId="0000029B">
      <w:pPr>
        <w:pStyle w:val="Listcontinue2"/>
        <w:spacing w:after="0"/>
        <w:ind w:left="0"/>
        <w:jc w:val="center"/>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Площади земельных участков, необходимые для</w:t>
      </w:r>
    </w:p>
    <w:p w14:paraId="0000029C">
      <w:pPr>
        <w:pStyle w:val="Listcontinue2"/>
        <w:spacing w:after="0"/>
        <w:ind w:left="0"/>
        <w:jc w:val="center"/>
        <w:rPr>
          <w:color w:val="000000"/>
          <w:lang w:eastAsia="en-US"/>
        </w:rPr>
      </w:pPr>
      <w:r>
        <w:rPr>
          <w:rFonts w:ascii="Times New Roman" w:cs="Times New Roman" w:hAnsi="Times New Roman"/>
          <w:color w:val="000000"/>
          <w:sz w:val="28"/>
          <w:szCs w:val="28"/>
          <w:lang w:eastAsia="en-US"/>
        </w:rPr>
        <w:t>строительства и эксплуатации проектируемого объекта</w:t>
      </w:r>
    </w:p>
    <w:tbl>
      <w:tblPr>
        <w:tblW w:w="5000" w:type="pct"/>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485"/>
        <w:gridCol w:w="3728"/>
        <w:gridCol w:w="1797"/>
        <w:gridCol w:w="1774"/>
        <w:gridCol w:w="1275"/>
      </w:tblGrid>
      <w:tr>
        <w:trPr>
          <w:wAfter w:w="0" w:type="dxa"/>
          <w:trHeight w:val="1164" w:hRule="atLeast"/>
          <w:tblHeader w:val="on"/>
        </w:trPr>
        <w:tc>
          <w:tcPr>
            <w:cnfStyle w:val="101000000000"/>
            <w:tcW w:w="268" w:type="pct"/>
            <w:tcBorders>
              <w:top w:val="single" w:color="auto" w:sz="4" w:space="0"/>
              <w:left w:val="single" w:color="auto" w:sz="4" w:space="0"/>
              <w:bottom w:val="single" w:color="auto" w:sz="4" w:space="0"/>
              <w:right w:val="single" w:color="auto" w:sz="4" w:space="0"/>
            </w:tcBorders>
            <w:vAlign w:val="center"/>
          </w:tcPr>
          <w:p w14:paraId="0000029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w:t>
            </w:r>
          </w:p>
        </w:tc>
        <w:tc>
          <w:tcPr>
            <w:cnfStyle w:val="100000000000"/>
            <w:tcW w:w="2057" w:type="pct"/>
            <w:tcBorders>
              <w:top w:val="single" w:color="auto" w:sz="4" w:space="0"/>
              <w:left w:val="single" w:color="auto" w:sz="4" w:space="0"/>
              <w:bottom w:val="single" w:color="auto" w:sz="4" w:space="0"/>
              <w:right w:val="single" w:color="auto" w:sz="4" w:space="0"/>
            </w:tcBorders>
            <w:vAlign w:val="center"/>
          </w:tcPr>
          <w:p w14:paraId="0000029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Наименование объекта</w:t>
            </w:r>
          </w:p>
        </w:tc>
        <w:tc>
          <w:tcPr>
            <w:cnfStyle w:val="100000000000"/>
            <w:tcW w:w="992" w:type="pct"/>
            <w:tcBorders>
              <w:top w:val="single" w:color="auto" w:sz="4" w:space="0"/>
              <w:left w:val="single" w:color="auto" w:sz="4" w:space="0"/>
              <w:bottom w:val="single" w:color="auto" w:sz="4" w:space="0"/>
              <w:right w:val="single" w:color="auto" w:sz="4" w:space="0"/>
            </w:tcBorders>
            <w:vAlign w:val="center"/>
          </w:tcPr>
          <w:p w14:paraId="0000029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Площадь вновь испрашиваемых земельных участков, га</w:t>
            </w:r>
          </w:p>
        </w:tc>
        <w:tc>
          <w:tcPr>
            <w:cnfStyle w:val="100000000000"/>
            <w:tcW w:w="979" w:type="pct"/>
            <w:tcBorders>
              <w:top w:val="single" w:color="auto" w:sz="4" w:space="0"/>
              <w:left w:val="single" w:color="auto" w:sz="4" w:space="0"/>
              <w:bottom w:val="single" w:color="auto" w:sz="4" w:space="0"/>
              <w:right w:val="single" w:color="auto" w:sz="4" w:space="0"/>
            </w:tcBorders>
            <w:vAlign w:val="center"/>
          </w:tcPr>
          <w:p w14:paraId="000002A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Площадь по земельным участкам, арендованные ранее, га</w:t>
            </w:r>
          </w:p>
        </w:tc>
        <w:tc>
          <w:tcPr>
            <w:cnfStyle w:val="100000000000"/>
            <w:tcW w:w="704" w:type="pct"/>
            <w:tcBorders>
              <w:top w:val="single" w:color="auto" w:sz="4" w:space="0"/>
              <w:left w:val="single" w:color="auto" w:sz="4" w:space="0"/>
              <w:bottom w:val="single" w:color="auto" w:sz="4" w:space="0"/>
              <w:right w:val="single" w:color="auto" w:sz="4" w:space="0"/>
            </w:tcBorders>
            <w:vAlign w:val="center"/>
          </w:tcPr>
          <w:p w14:paraId="000002A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Зона застройки, га</w:t>
            </w:r>
          </w:p>
        </w:tc>
      </w:tr>
      <w:tr>
        <w:trPr>
          <w:wAfter w:w="0" w:type="dxa"/>
          <w:trHeight w:val="858" w:hRule="atLeast"/>
          <w:tblHeader w:val="on"/>
        </w:trPr>
        <w:tc>
          <w:tcPr>
            <w:cnfStyle w:val="001000100000"/>
            <w:tcW w:w="268" w:type="pct"/>
            <w:tcBorders>
              <w:top w:val="single" w:color="auto" w:sz="4" w:space="0"/>
              <w:left w:val="single" w:color="auto" w:sz="4" w:space="0"/>
              <w:bottom w:val="single" w:color="auto" w:sz="4" w:space="0"/>
              <w:right w:val="single" w:color="auto" w:sz="4" w:space="0"/>
            </w:tcBorders>
            <w:vAlign w:val="center"/>
          </w:tcPr>
          <w:p w14:paraId="000002A2">
            <w:pPr>
              <w:pStyle w:val="ListParagraph"/>
              <w:numPr>
                <w:ilvl w:val="0"/>
                <w:numId w:val="5"/>
              </w:numPr>
              <w:ind w:left="142" w:firstLine="0"/>
              <w:jc w:val="center"/>
              <w:rPr>
                <w:rFonts w:ascii="Times New Roman" w:cs="Times New Roman" w:hAnsi="Times New Roman"/>
                <w:color w:val="000000"/>
                <w:lang w:eastAsia="en-US"/>
              </w:rPr>
            </w:pPr>
          </w:p>
        </w:tc>
        <w:tc>
          <w:tcPr>
            <w:cnfStyle w:val="000000100000"/>
            <w:tcW w:w="2057" w:type="pct"/>
            <w:tcBorders>
              <w:top w:val="single" w:color="auto" w:sz="4" w:space="0"/>
              <w:left w:val="single" w:color="auto" w:sz="4" w:space="0"/>
              <w:bottom w:val="single" w:color="auto" w:sz="4" w:space="0"/>
              <w:right w:val="single" w:color="auto" w:sz="4" w:space="0"/>
            </w:tcBorders>
          </w:tcPr>
          <w:p w14:paraId="000002A3">
            <w:pPr>
              <w:pStyle w:val="Normal"/>
              <w:jc w:val="both"/>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«Линейные коммуникации для кустовой площадки  № 2059У Приобского месторождения»</w:t>
            </w:r>
          </w:p>
        </w:tc>
        <w:tc>
          <w:tcPr>
            <w:cnfStyle w:val="000000100000"/>
            <w:tcW w:w="992" w:type="pct"/>
            <w:tcBorders>
              <w:top w:val="single" w:color="auto" w:sz="4" w:space="0"/>
              <w:left w:val="single" w:color="auto" w:sz="4" w:space="0"/>
              <w:bottom w:val="single" w:color="auto" w:sz="4" w:space="0"/>
              <w:right w:val="single" w:color="auto" w:sz="4" w:space="0"/>
            </w:tcBorders>
            <w:vAlign w:val="center"/>
          </w:tcPr>
          <w:p w14:paraId="000002A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18,9066</w:t>
            </w:r>
          </w:p>
        </w:tc>
        <w:tc>
          <w:tcPr>
            <w:cnfStyle w:val="000000100000"/>
            <w:tcW w:w="979" w:type="pct"/>
            <w:tcBorders>
              <w:top w:val="single" w:color="auto" w:sz="4" w:space="0"/>
              <w:left w:val="single" w:color="auto" w:sz="4" w:space="0"/>
              <w:bottom w:val="single" w:color="auto" w:sz="4" w:space="0"/>
              <w:right w:val="single" w:color="auto" w:sz="4" w:space="0"/>
            </w:tcBorders>
            <w:vAlign w:val="center"/>
          </w:tcPr>
          <w:p w14:paraId="000002A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5,3496</w:t>
            </w:r>
          </w:p>
        </w:tc>
        <w:tc>
          <w:tcPr>
            <w:cnfStyle w:val="000000100000"/>
            <w:tcW w:w="704" w:type="pct"/>
            <w:tcBorders>
              <w:top w:val="single" w:color="auto" w:sz="4" w:space="0"/>
              <w:left w:val="single" w:color="auto" w:sz="4" w:space="0"/>
              <w:bottom w:val="single" w:color="auto" w:sz="4" w:space="0"/>
              <w:right w:val="single" w:color="auto" w:sz="4" w:space="0"/>
            </w:tcBorders>
            <w:vAlign w:val="center"/>
          </w:tcPr>
          <w:p w14:paraId="000002A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24,2562</w:t>
            </w:r>
          </w:p>
        </w:tc>
      </w:tr>
    </w:tbl>
    <w:p w14:paraId="000002A7">
      <w:pPr>
        <w:pStyle w:val="Listcontinue2"/>
        <w:spacing w:after="0"/>
        <w:ind w:left="0"/>
        <w:jc w:val="right"/>
        <w:rPr>
          <w:color w:val="000000"/>
          <w:lang w:eastAsia="en-US"/>
        </w:rPr>
      </w:pPr>
    </w:p>
    <w:p w14:paraId="000002A8">
      <w:pPr>
        <w:pStyle w:val="Listcontinue2"/>
        <w:spacing w:after="0"/>
        <w:ind w:left="0"/>
        <w:jc w:val="right"/>
        <w:rPr>
          <w:color w:val="000000"/>
          <w:lang w:eastAsia="en-US"/>
        </w:rPr>
      </w:pPr>
    </w:p>
    <w:p w14:paraId="000002A9">
      <w:pPr>
        <w:pStyle w:val="Listcontinue2"/>
        <w:spacing w:after="0"/>
        <w:ind w:left="0"/>
        <w:jc w:val="right"/>
        <w:rPr>
          <w:color w:val="000000"/>
          <w:lang w:eastAsia="en-US"/>
        </w:rPr>
      </w:pPr>
    </w:p>
    <w:p w14:paraId="000002AA">
      <w:pPr>
        <w:pStyle w:val="Listcontinue2"/>
        <w:spacing w:after="0"/>
        <w:ind w:left="0"/>
        <w:jc w:val="right"/>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Таблица 4</w:t>
      </w:r>
    </w:p>
    <w:p w14:paraId="000002AB">
      <w:pPr>
        <w:pStyle w:val="Listcontinue2"/>
        <w:spacing w:after="0"/>
        <w:ind w:left="0" w:firstLine="720"/>
        <w:jc w:val="center"/>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 xml:space="preserve">Площади испрашиваемых земельных участков </w:t>
      </w:r>
    </w:p>
    <w:p w14:paraId="000002AC">
      <w:pPr>
        <w:pStyle w:val="Listcontinue2"/>
        <w:spacing w:after="0"/>
        <w:ind w:left="0" w:firstLine="720"/>
        <w:jc w:val="center"/>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под проектируемый объект</w:t>
      </w:r>
    </w:p>
    <w:p w14:paraId="000002AD">
      <w:pPr>
        <w:pStyle w:val="Listcontinue2"/>
        <w:spacing w:after="0"/>
        <w:ind w:left="0" w:firstLine="720"/>
        <w:jc w:val="center"/>
        <w:rPr>
          <w:color w:val="000000"/>
          <w:lang w:eastAsia="en-US"/>
        </w:rPr>
      </w:pPr>
    </w:p>
    <w:tbl>
      <w:tblPr>
        <w:tblW w:w="10270" w:type="dxa"/>
        <w:jc w:val="center"/>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tblPr>
      <w:tblGrid>
        <w:gridCol w:w="2943"/>
        <w:gridCol w:w="1985"/>
        <w:gridCol w:w="2263"/>
        <w:gridCol w:w="3079"/>
      </w:tblGrid>
      <w:tr>
        <w:trPr>
          <w:wAfter w:w="0" w:type="dxa"/>
          <w:tblHeader w:val="on"/>
        </w:trPr>
        <w:tc>
          <w:tcPr>
            <w:cnfStyle w:val="101000000000"/>
            <w:tcW w:w="2943" w:type="dxa"/>
            <w:shd w:val="clear" w:color="auto" w:fill="auto"/>
            <w:vAlign w:val="center"/>
          </w:tcPr>
          <w:p w14:paraId="000002AE">
            <w:pPr>
              <w:pStyle w:val="Normal"/>
              <w:ind w:firstLine="1"/>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 земельного участка</w:t>
            </w:r>
          </w:p>
        </w:tc>
        <w:tc>
          <w:tcPr>
            <w:cnfStyle w:val="100000000000"/>
            <w:tcW w:w="1985" w:type="dxa"/>
            <w:shd w:val="clear" w:color="auto" w:fill="auto"/>
            <w:vAlign w:val="center"/>
          </w:tcPr>
          <w:p w14:paraId="000002A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Испрашиваемая площадь</w:t>
            </w:r>
          </w:p>
          <w:p w14:paraId="000002B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земельного участка, га</w:t>
            </w:r>
          </w:p>
        </w:tc>
        <w:tc>
          <w:tcPr>
            <w:cnfStyle w:val="100000000000"/>
            <w:tcW w:w="2263" w:type="dxa"/>
            <w:shd w:val="clear" w:color="auto" w:fill="auto"/>
            <w:vAlign w:val="center"/>
          </w:tcPr>
          <w:p w14:paraId="000002B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Категория земель</w:t>
            </w:r>
          </w:p>
        </w:tc>
        <w:tc>
          <w:tcPr>
            <w:cnfStyle w:val="100000000000"/>
            <w:tcW w:w="3079" w:type="dxa"/>
            <w:vAlign w:val="center"/>
          </w:tcPr>
          <w:p w14:paraId="000002B2">
            <w:pPr>
              <w:pStyle w:val="Default"/>
              <w:jc w:val="center"/>
              <w:rPr>
                <w:rFonts w:ascii="Times New Roman" w:cs="Times New Roman" w:hAnsi="Times New Roman"/>
                <w:lang w:eastAsia="en-US"/>
              </w:rPr>
            </w:pPr>
            <w:r>
              <w:rPr>
                <w:rFonts w:ascii="Times New Roman" w:cs="Times New Roman" w:hAnsi="Times New Roman"/>
                <w:lang w:eastAsia="en-US"/>
              </w:rPr>
              <w:t>Адрес образуемых земельных участков</w:t>
            </w:r>
          </w:p>
        </w:tc>
      </w:tr>
      <w:tr>
        <w:trPr>
          <w:wAfter w:w="0" w:type="dxa"/>
          <w:tblHeader w:val="on"/>
        </w:trPr>
        <w:tc>
          <w:tcPr>
            <w:cnfStyle w:val="001000100000"/>
            <w:tcW w:w="2943" w:type="dxa"/>
            <w:shd w:val="clear" w:color="auto" w:fill="auto"/>
            <w:vAlign w:val="center"/>
          </w:tcPr>
          <w:p w14:paraId="000002B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86:02:0808002:ЗУ1</w:t>
            </w:r>
          </w:p>
        </w:tc>
        <w:tc>
          <w:tcPr>
            <w:cnfStyle w:val="000000100000"/>
            <w:tcW w:w="1985" w:type="dxa"/>
            <w:shd w:val="clear" w:color="auto" w:fill="auto"/>
            <w:vAlign w:val="center"/>
          </w:tcPr>
          <w:p w14:paraId="000002B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0,0218</w:t>
            </w:r>
          </w:p>
        </w:tc>
        <w:tc>
          <w:tcPr>
            <w:cnfStyle w:val="000000100000"/>
            <w:tcW w:w="2263" w:type="dxa"/>
            <w:shd w:val="clear" w:color="auto" w:fill="auto"/>
          </w:tcPr>
          <w:p w14:paraId="000002B5">
            <w:pPr>
              <w:pStyle w:val="Normal"/>
              <w:jc w:val="center"/>
              <w:rPr>
                <w:rFonts w:ascii="Times New Roman" w:cs="Times New Roman" w:hAnsi="Times New Roman"/>
                <w:color w:val="000000"/>
                <w:sz w:val="24"/>
                <w:szCs w:val="24"/>
                <w:lang w:eastAsia="en-US"/>
              </w:rPr>
            </w:pPr>
          </w:p>
          <w:p w14:paraId="000002B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промышленности*</w:t>
            </w:r>
          </w:p>
        </w:tc>
        <w:tc>
          <w:tcPr>
            <w:cnfStyle w:val="000000100000"/>
            <w:tcW w:w="3079" w:type="dxa"/>
          </w:tcPr>
          <w:p w14:paraId="000002B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Российская Федерация, Ханты-Мансийский автономный округ - Югра, Ханты-Мансийский район, Приобское месторождение</w:t>
            </w:r>
          </w:p>
        </w:tc>
      </w:tr>
      <w:tr>
        <w:trPr>
          <w:wAfter w:w="0" w:type="dxa"/>
          <w:tblHeader w:val="on"/>
        </w:trPr>
        <w:tc>
          <w:tcPr>
            <w:cnfStyle w:val="001000010000"/>
            <w:tcW w:w="2943" w:type="dxa"/>
            <w:shd w:val="clear" w:color="auto" w:fill="auto"/>
            <w:vAlign w:val="center"/>
          </w:tcPr>
          <w:p w14:paraId="000002B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86:02:0808002:390:ЗУ1</w:t>
            </w:r>
          </w:p>
        </w:tc>
        <w:tc>
          <w:tcPr>
            <w:cnfStyle w:val="000000010000"/>
            <w:tcW w:w="1985" w:type="dxa"/>
            <w:shd w:val="clear" w:color="auto" w:fill="auto"/>
            <w:vAlign w:val="center"/>
          </w:tcPr>
          <w:p w14:paraId="000002B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2,3781</w:t>
            </w:r>
          </w:p>
        </w:tc>
        <w:tc>
          <w:tcPr>
            <w:cnfStyle w:val="000000010000"/>
            <w:tcW w:w="2263" w:type="dxa"/>
            <w:shd w:val="clear" w:color="auto" w:fill="auto"/>
          </w:tcPr>
          <w:p w14:paraId="000002B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010000"/>
            <w:tcW w:w="3079" w:type="dxa"/>
          </w:tcPr>
          <w:p w14:paraId="000002B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Российская Федерация, Ханты-Мансийский автономный округ - Югра, Ханты-Мансийский район, Приобское месторождение</w:t>
            </w:r>
          </w:p>
        </w:tc>
      </w:tr>
      <w:tr>
        <w:trPr>
          <w:wAfter w:w="0" w:type="dxa"/>
          <w:tblHeader w:val="on"/>
        </w:trPr>
        <w:tc>
          <w:tcPr>
            <w:cnfStyle w:val="001000100000"/>
            <w:tcW w:w="2943" w:type="dxa"/>
            <w:shd w:val="clear" w:color="auto" w:fill="auto"/>
            <w:vAlign w:val="center"/>
          </w:tcPr>
          <w:p w14:paraId="000002B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86:02:0808002:390:ЗУ2</w:t>
            </w:r>
          </w:p>
        </w:tc>
        <w:tc>
          <w:tcPr>
            <w:cnfStyle w:val="000000100000"/>
            <w:tcW w:w="1985" w:type="dxa"/>
            <w:shd w:val="clear" w:color="auto" w:fill="auto"/>
            <w:vAlign w:val="center"/>
          </w:tcPr>
          <w:p w14:paraId="000002B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10,5618</w:t>
            </w:r>
          </w:p>
        </w:tc>
        <w:tc>
          <w:tcPr>
            <w:cnfStyle w:val="000000100000"/>
            <w:tcW w:w="2263" w:type="dxa"/>
            <w:shd w:val="clear" w:color="auto" w:fill="auto"/>
          </w:tcPr>
          <w:p w14:paraId="000002B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100000"/>
            <w:tcW w:w="3079" w:type="dxa"/>
          </w:tcPr>
          <w:p w14:paraId="000002B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Российская Федерация, Ханты-Мансийский автономный округ - Югра, Ханты-Мансийский район, Приобское месторождение</w:t>
            </w:r>
          </w:p>
        </w:tc>
      </w:tr>
      <w:tr>
        <w:trPr>
          <w:wAfter w:w="0" w:type="dxa"/>
          <w:tblHeader w:val="on"/>
        </w:trPr>
        <w:tc>
          <w:tcPr>
            <w:cnfStyle w:val="001000010000"/>
            <w:tcW w:w="2943" w:type="dxa"/>
            <w:shd w:val="clear" w:color="auto" w:fill="auto"/>
            <w:vAlign w:val="center"/>
          </w:tcPr>
          <w:p w14:paraId="000002C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86:02:0808002:390:ЗУ3</w:t>
            </w:r>
          </w:p>
        </w:tc>
        <w:tc>
          <w:tcPr>
            <w:cnfStyle w:val="000000010000"/>
            <w:tcW w:w="1985" w:type="dxa"/>
            <w:shd w:val="clear" w:color="auto" w:fill="auto"/>
            <w:vAlign w:val="center"/>
          </w:tcPr>
          <w:p w14:paraId="000002C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1,5510</w:t>
            </w:r>
          </w:p>
        </w:tc>
        <w:tc>
          <w:tcPr>
            <w:cnfStyle w:val="000000010000"/>
            <w:tcW w:w="2263" w:type="dxa"/>
            <w:shd w:val="clear" w:color="auto" w:fill="auto"/>
          </w:tcPr>
          <w:p w14:paraId="000002C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010000"/>
            <w:tcW w:w="3079" w:type="dxa"/>
          </w:tcPr>
          <w:p w14:paraId="000002C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Российская Федерация, Ханты-Мансийский автономный округ - Югра, Ханты-Мансийский район, Приобское месторождение</w:t>
            </w:r>
          </w:p>
        </w:tc>
      </w:tr>
      <w:tr>
        <w:trPr>
          <w:wAfter w:w="0" w:type="dxa"/>
          <w:tblHeader w:val="on"/>
        </w:trPr>
        <w:tc>
          <w:tcPr>
            <w:cnfStyle w:val="001000100000"/>
            <w:tcW w:w="2943" w:type="dxa"/>
            <w:shd w:val="clear" w:color="auto" w:fill="auto"/>
            <w:vAlign w:val="center"/>
          </w:tcPr>
          <w:p w14:paraId="000002C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86:02:0808002:390:ЗУ4</w:t>
            </w:r>
          </w:p>
        </w:tc>
        <w:tc>
          <w:tcPr>
            <w:cnfStyle w:val="000000100000"/>
            <w:tcW w:w="1985" w:type="dxa"/>
            <w:shd w:val="clear" w:color="auto" w:fill="auto"/>
            <w:vAlign w:val="center"/>
          </w:tcPr>
          <w:p w14:paraId="000002C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4,3580</w:t>
            </w:r>
          </w:p>
        </w:tc>
        <w:tc>
          <w:tcPr>
            <w:cnfStyle w:val="000000100000"/>
            <w:tcW w:w="2263" w:type="dxa"/>
            <w:shd w:val="clear" w:color="auto" w:fill="auto"/>
          </w:tcPr>
          <w:p w14:paraId="000002C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100000"/>
            <w:tcW w:w="3079" w:type="dxa"/>
          </w:tcPr>
          <w:p w14:paraId="000002C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Российская Федерация, Ханты-Мансийский автономный округ - Югра, Ханты-Мансийский район, Приобское месторождение</w:t>
            </w:r>
          </w:p>
        </w:tc>
      </w:tr>
      <w:tr>
        <w:trPr>
          <w:wAfter w:w="0" w:type="dxa"/>
          <w:tblHeader w:val="on"/>
        </w:trPr>
        <w:tc>
          <w:tcPr>
            <w:cnfStyle w:val="001000010000"/>
            <w:tcW w:w="2943" w:type="dxa"/>
            <w:shd w:val="clear" w:color="auto" w:fill="auto"/>
            <w:vAlign w:val="center"/>
          </w:tcPr>
          <w:p w14:paraId="000002C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86:02:0808002:1597:ЗУ1</w:t>
            </w:r>
          </w:p>
        </w:tc>
        <w:tc>
          <w:tcPr>
            <w:cnfStyle w:val="000000010000"/>
            <w:tcW w:w="1985" w:type="dxa"/>
            <w:shd w:val="clear" w:color="auto" w:fill="auto"/>
            <w:vAlign w:val="center"/>
          </w:tcPr>
          <w:p w14:paraId="000002C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0,0359</w:t>
            </w:r>
          </w:p>
        </w:tc>
        <w:tc>
          <w:tcPr>
            <w:cnfStyle w:val="000000010000"/>
            <w:tcW w:w="2263" w:type="dxa"/>
            <w:shd w:val="clear" w:color="auto" w:fill="auto"/>
          </w:tcPr>
          <w:p w14:paraId="000002C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промышленности*</w:t>
            </w:r>
          </w:p>
        </w:tc>
        <w:tc>
          <w:tcPr>
            <w:cnfStyle w:val="000000010000"/>
            <w:tcW w:w="3079" w:type="dxa"/>
          </w:tcPr>
          <w:p w14:paraId="000002C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Российская Федерация, Ханты-Мансийский автономный округ - Югра, Ханты-Мансийский район, Приобское месторождение</w:t>
            </w:r>
          </w:p>
        </w:tc>
      </w:tr>
    </w:tbl>
    <w:p w14:paraId="000002CC">
      <w:pPr>
        <w:pStyle w:val="Normal"/>
        <w:jc w:val="both"/>
        <w:rPr>
          <w:color w:val="000000"/>
          <w:sz w:val="24"/>
          <w:szCs w:val="24"/>
          <w:lang w:eastAsia="en-US"/>
        </w:rPr>
      </w:pPr>
      <w:r>
        <w:rPr>
          <w:rFonts w:ascii="Times New Roman" w:cs="Times New Roman" w:hAnsi="Times New Roman"/>
          <w:color w:val="000000"/>
          <w:sz w:val="24"/>
          <w:szCs w:val="24"/>
          <w:lang w:eastAsia="en-U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000002CD">
      <w:pPr>
        <w:pStyle w:val="Normal"/>
        <w:jc w:val="both"/>
        <w:rPr>
          <w:rFonts w:ascii="Times New Roman" w:cs="Times New Roman" w:hAnsi="Times New Roman"/>
          <w:b/>
          <w:sz w:val="28"/>
          <w:szCs w:val="28"/>
        </w:rPr>
      </w:pPr>
      <w:r>
        <w:rPr>
          <w:rFonts w:ascii="Times New Roman" w:cs="Times New Roman" w:hAnsi="Times New Roman"/>
          <w:b/>
          <w:sz w:val="28"/>
          <w:szCs w:val="28"/>
        </w:rPr>
        <w:t>5.2.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14:paraId="000002CE">
      <w:pPr>
        <w:pStyle w:val="Normal"/>
        <w:jc w:val="both"/>
        <w:rPr>
          <w:rFonts w:ascii="Times New Roman" w:cs="Times New Roman" w:hAnsi="Times New Roman"/>
          <w:sz w:val="28"/>
          <w:szCs w:val="28"/>
        </w:rPr>
      </w:pPr>
      <w:r>
        <w:rPr>
          <w:rFonts w:ascii="Times New Roman" w:cs="Times New Roman" w:hAnsi="Times New Roman"/>
          <w:color w:val="000000"/>
          <w:sz w:val="28"/>
          <w:szCs w:val="28"/>
          <w:lang w:eastAsia="en-US"/>
        </w:rPr>
        <w:t>Изъятие земельных участков для государственных и муниципальных нужд для размещения проектируемого объекта не требуется.</w:t>
      </w:r>
    </w:p>
    <w:p w14:paraId="000002CF">
      <w:pPr>
        <w:pStyle w:val="Normal"/>
        <w:jc w:val="both"/>
        <w:rPr>
          <w:rFonts w:ascii="Times New Roman" w:cs="Times New Roman" w:hAnsi="Times New Roman"/>
          <w:b/>
          <w:sz w:val="28"/>
          <w:szCs w:val="28"/>
        </w:rPr>
      </w:pPr>
      <w:r>
        <w:rPr>
          <w:rFonts w:ascii="Times New Roman" w:cs="Times New Roman" w:hAnsi="Times New Roman"/>
          <w:b/>
          <w:sz w:val="28"/>
          <w:szCs w:val="28"/>
        </w:rPr>
        <w:t>5.3. Вид разрешенного использования образуемых земельных участков в соответствии с проектом планировки территории</w:t>
      </w:r>
    </w:p>
    <w:p w14:paraId="000002D0">
      <w:pPr>
        <w:pStyle w:val="Normal"/>
        <w:jc w:val="both"/>
        <w:rPr>
          <w:rFonts w:ascii="Times New Roman" w:cs="Times New Roman" w:hAnsi="Times New Roman"/>
          <w:sz w:val="28"/>
          <w:szCs w:val="28"/>
        </w:rPr>
      </w:pPr>
    </w:p>
    <w:p w14:paraId="000002D1">
      <w:pPr>
        <w:pStyle w:val="Normal"/>
        <w:jc w:val="right"/>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Таблица 5</w:t>
      </w:r>
    </w:p>
    <w:p w14:paraId="000002D2">
      <w:pPr>
        <w:pStyle w:val="Normal"/>
        <w:jc w:val="center"/>
        <w:rPr>
          <w:color w:val="000000"/>
          <w:sz w:val="24"/>
          <w:szCs w:val="24"/>
          <w:lang w:eastAsia="en-US"/>
        </w:rPr>
      </w:pPr>
      <w:r>
        <w:rPr>
          <w:rFonts w:ascii="Times New Roman" w:cs="Times New Roman" w:hAnsi="Times New Roman"/>
          <w:color w:val="000000"/>
          <w:sz w:val="28"/>
          <w:szCs w:val="28"/>
          <w:lang w:eastAsia="en-US"/>
        </w:rPr>
        <w:t>Вид разрешенного использования образуемых земельных участков</w:t>
      </w:r>
    </w:p>
    <w:tbl>
      <w:tblPr>
        <w:tblW w:w="9541"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tblPr>
      <w:tblGrid>
        <w:gridCol w:w="2802"/>
        <w:gridCol w:w="1417"/>
        <w:gridCol w:w="2977"/>
        <w:gridCol w:w="2345"/>
      </w:tblGrid>
      <w:tr>
        <w:trPr>
          <w:wAfter w:w="0" w:type="dxa"/>
          <w:trHeight w:val="744" w:hRule="atLeast"/>
          <w:tblHeader w:val="on"/>
        </w:trPr>
        <w:tc>
          <w:tcPr>
            <w:cnfStyle w:val="101000000000"/>
            <w:tcW w:w="2802" w:type="dxa"/>
            <w:shd w:val="clear" w:color="auto" w:fill="auto"/>
            <w:vAlign w:val="center"/>
          </w:tcPr>
          <w:p w14:paraId="000002D3">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Кадастровый номер земельного участка</w:t>
            </w:r>
          </w:p>
        </w:tc>
        <w:tc>
          <w:tcPr>
            <w:cnfStyle w:val="100000000000"/>
            <w:tcW w:w="1417" w:type="dxa"/>
            <w:shd w:val="clear" w:color="auto" w:fill="auto"/>
            <w:vAlign w:val="center"/>
          </w:tcPr>
          <w:p w14:paraId="000002D4">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Площадь земельного участка, га</w:t>
            </w:r>
          </w:p>
        </w:tc>
        <w:tc>
          <w:tcPr>
            <w:cnfStyle w:val="100000000000"/>
            <w:tcW w:w="2977" w:type="dxa"/>
            <w:shd w:val="clear" w:color="auto" w:fill="auto"/>
            <w:vAlign w:val="center"/>
          </w:tcPr>
          <w:p w14:paraId="000002D5">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Категория земель</w:t>
            </w:r>
          </w:p>
        </w:tc>
        <w:tc>
          <w:tcPr>
            <w:cnfStyle w:val="100000000000"/>
            <w:tcW w:w="2345" w:type="dxa"/>
            <w:shd w:val="clear" w:color="auto" w:fill="auto"/>
            <w:vAlign w:val="center"/>
          </w:tcPr>
          <w:p w14:paraId="000002D6">
            <w:pPr>
              <w:pStyle w:val="Normal"/>
              <w:ind w:firstLine="28"/>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Вид разрешенного использования</w:t>
            </w:r>
          </w:p>
        </w:tc>
      </w:tr>
      <w:tr>
        <w:trPr>
          <w:wAfter w:w="0" w:type="dxa"/>
          <w:trHeight w:val="630" w:hRule="atLeast"/>
        </w:trPr>
        <w:tc>
          <w:tcPr>
            <w:cnfStyle w:val="001000100000"/>
            <w:tcW w:w="2802" w:type="dxa"/>
            <w:shd w:val="clear" w:color="auto" w:fill="auto"/>
            <w:vAlign w:val="center"/>
          </w:tcPr>
          <w:p w14:paraId="000002D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86:02:0808002:ЗУ1</w:t>
            </w:r>
          </w:p>
        </w:tc>
        <w:tc>
          <w:tcPr>
            <w:cnfStyle w:val="000000100000"/>
            <w:tcW w:w="1417" w:type="dxa"/>
            <w:shd w:val="clear" w:color="auto" w:fill="auto"/>
            <w:vAlign w:val="center"/>
          </w:tcPr>
          <w:p w14:paraId="000002D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0,0218</w:t>
            </w:r>
          </w:p>
        </w:tc>
        <w:tc>
          <w:tcPr>
            <w:cnfStyle w:val="000000100000"/>
            <w:tcW w:w="2977" w:type="dxa"/>
            <w:shd w:val="clear" w:color="auto" w:fill="auto"/>
          </w:tcPr>
          <w:p w14:paraId="000002D9">
            <w:pPr>
              <w:pStyle w:val="Normal"/>
              <w:jc w:val="center"/>
              <w:rPr>
                <w:rFonts w:ascii="Times New Roman" w:cs="Times New Roman" w:hAnsi="Times New Roman"/>
                <w:color w:val="000000"/>
                <w:sz w:val="24"/>
                <w:szCs w:val="24"/>
                <w:lang w:eastAsia="en-US"/>
              </w:rPr>
            </w:pPr>
          </w:p>
          <w:p w14:paraId="000002D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промышленности*</w:t>
            </w:r>
          </w:p>
        </w:tc>
        <w:tc>
          <w:tcPr>
            <w:cnfStyle w:val="000000100000"/>
            <w:tcW w:w="2345" w:type="dxa"/>
            <w:shd w:val="clear" w:color="auto" w:fill="auto"/>
          </w:tcPr>
          <w:p w14:paraId="000002DB">
            <w:pPr>
              <w:pStyle w:val="Normal"/>
              <w:jc w:val="center"/>
              <w:rPr>
                <w:rFonts w:ascii="Times New Roman" w:cs="Times New Roman" w:hAnsi="Times New Roman"/>
                <w:color w:val="000000"/>
                <w:sz w:val="24"/>
                <w:szCs w:val="24"/>
                <w:lang w:eastAsia="en-US"/>
              </w:rPr>
            </w:pPr>
          </w:p>
          <w:p w14:paraId="000002D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недропользование</w:t>
            </w:r>
          </w:p>
        </w:tc>
      </w:tr>
      <w:tr>
        <w:trPr>
          <w:wAfter w:w="0" w:type="dxa"/>
          <w:trHeight w:val="630" w:hRule="atLeast"/>
        </w:trPr>
        <w:tc>
          <w:tcPr>
            <w:cnfStyle w:val="001000010000"/>
            <w:tcW w:w="2802" w:type="dxa"/>
            <w:shd w:val="clear" w:color="auto" w:fill="auto"/>
            <w:vAlign w:val="center"/>
          </w:tcPr>
          <w:p w14:paraId="000002D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86:02:0808002:390:ЗУ1</w:t>
            </w:r>
          </w:p>
        </w:tc>
        <w:tc>
          <w:tcPr>
            <w:cnfStyle w:val="000000010000"/>
            <w:tcW w:w="1417" w:type="dxa"/>
            <w:shd w:val="clear" w:color="auto" w:fill="auto"/>
            <w:vAlign w:val="center"/>
          </w:tcPr>
          <w:p w14:paraId="000002D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2,3781</w:t>
            </w:r>
          </w:p>
        </w:tc>
        <w:tc>
          <w:tcPr>
            <w:cnfStyle w:val="000000010000"/>
            <w:tcW w:w="2977" w:type="dxa"/>
            <w:shd w:val="clear" w:color="auto" w:fill="auto"/>
          </w:tcPr>
          <w:p w14:paraId="000002D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010000"/>
            <w:tcW w:w="2345" w:type="dxa"/>
            <w:shd w:val="clear" w:color="auto" w:fill="auto"/>
          </w:tcPr>
          <w:p w14:paraId="000002E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недропользование</w:t>
            </w:r>
          </w:p>
        </w:tc>
      </w:tr>
      <w:tr>
        <w:trPr>
          <w:wAfter w:w="0" w:type="dxa"/>
          <w:trHeight w:val="630" w:hRule="atLeast"/>
        </w:trPr>
        <w:tc>
          <w:tcPr>
            <w:cnfStyle w:val="001000100000"/>
            <w:tcW w:w="2802" w:type="dxa"/>
            <w:shd w:val="clear" w:color="auto" w:fill="auto"/>
            <w:vAlign w:val="center"/>
          </w:tcPr>
          <w:p w14:paraId="000002E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86:02:0808002:390:ЗУ2</w:t>
            </w:r>
          </w:p>
        </w:tc>
        <w:tc>
          <w:tcPr>
            <w:cnfStyle w:val="000000100000"/>
            <w:tcW w:w="1417" w:type="dxa"/>
            <w:shd w:val="clear" w:color="auto" w:fill="auto"/>
            <w:vAlign w:val="center"/>
          </w:tcPr>
          <w:p w14:paraId="000002E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10,5618</w:t>
            </w:r>
          </w:p>
        </w:tc>
        <w:tc>
          <w:tcPr>
            <w:cnfStyle w:val="000000100000"/>
            <w:tcW w:w="2977" w:type="dxa"/>
            <w:shd w:val="clear" w:color="auto" w:fill="auto"/>
          </w:tcPr>
          <w:p w14:paraId="000002E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100000"/>
            <w:tcW w:w="2345" w:type="dxa"/>
            <w:shd w:val="clear" w:color="auto" w:fill="auto"/>
          </w:tcPr>
          <w:p w14:paraId="000002E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недропользование</w:t>
            </w:r>
          </w:p>
        </w:tc>
      </w:tr>
      <w:tr>
        <w:trPr>
          <w:wAfter w:w="0" w:type="dxa"/>
          <w:trHeight w:val="630" w:hRule="atLeast"/>
        </w:trPr>
        <w:tc>
          <w:tcPr>
            <w:cnfStyle w:val="001000010000"/>
            <w:tcW w:w="2802" w:type="dxa"/>
            <w:shd w:val="clear" w:color="auto" w:fill="auto"/>
            <w:vAlign w:val="center"/>
          </w:tcPr>
          <w:p w14:paraId="000002E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86:02:0808002:390:ЗУ3</w:t>
            </w:r>
          </w:p>
        </w:tc>
        <w:tc>
          <w:tcPr>
            <w:cnfStyle w:val="000000010000"/>
            <w:tcW w:w="1417" w:type="dxa"/>
            <w:shd w:val="clear" w:color="auto" w:fill="auto"/>
            <w:vAlign w:val="center"/>
          </w:tcPr>
          <w:p w14:paraId="000002E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1,5510</w:t>
            </w:r>
          </w:p>
        </w:tc>
        <w:tc>
          <w:tcPr>
            <w:cnfStyle w:val="000000010000"/>
            <w:tcW w:w="2977" w:type="dxa"/>
            <w:shd w:val="clear" w:color="auto" w:fill="auto"/>
          </w:tcPr>
          <w:p w14:paraId="000002E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010000"/>
            <w:tcW w:w="2345" w:type="dxa"/>
            <w:shd w:val="clear" w:color="auto" w:fill="auto"/>
          </w:tcPr>
          <w:p w14:paraId="000002E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недропользование</w:t>
            </w:r>
          </w:p>
        </w:tc>
      </w:tr>
      <w:tr>
        <w:trPr>
          <w:wAfter w:w="0" w:type="dxa"/>
          <w:trHeight w:val="630" w:hRule="atLeast"/>
        </w:trPr>
        <w:tc>
          <w:tcPr>
            <w:cnfStyle w:val="001000100000"/>
            <w:tcW w:w="2802" w:type="dxa"/>
            <w:shd w:val="clear" w:color="auto" w:fill="auto"/>
            <w:vAlign w:val="center"/>
          </w:tcPr>
          <w:p w14:paraId="000002E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86:02:0808002:390:ЗУ4</w:t>
            </w:r>
          </w:p>
        </w:tc>
        <w:tc>
          <w:tcPr>
            <w:cnfStyle w:val="000000100000"/>
            <w:tcW w:w="1417" w:type="dxa"/>
            <w:shd w:val="clear" w:color="auto" w:fill="auto"/>
            <w:vAlign w:val="center"/>
          </w:tcPr>
          <w:p w14:paraId="000002E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4,3580</w:t>
            </w:r>
          </w:p>
        </w:tc>
        <w:tc>
          <w:tcPr>
            <w:cnfStyle w:val="000000100000"/>
            <w:tcW w:w="2977" w:type="dxa"/>
            <w:shd w:val="clear" w:color="auto" w:fill="auto"/>
          </w:tcPr>
          <w:p w14:paraId="000002E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сельскохозяйственного назначения**</w:t>
            </w:r>
          </w:p>
        </w:tc>
        <w:tc>
          <w:tcPr>
            <w:cnfStyle w:val="000000100000"/>
            <w:tcW w:w="2345" w:type="dxa"/>
            <w:shd w:val="clear" w:color="auto" w:fill="auto"/>
          </w:tcPr>
          <w:p w14:paraId="000002E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недропользование</w:t>
            </w:r>
          </w:p>
        </w:tc>
      </w:tr>
      <w:tr>
        <w:trPr>
          <w:wAfter w:w="0" w:type="dxa"/>
          <w:trHeight w:val="630" w:hRule="atLeast"/>
        </w:trPr>
        <w:tc>
          <w:tcPr>
            <w:cnfStyle w:val="001000010000"/>
            <w:tcW w:w="2802" w:type="dxa"/>
            <w:shd w:val="clear" w:color="auto" w:fill="auto"/>
            <w:vAlign w:val="center"/>
          </w:tcPr>
          <w:p w14:paraId="000002E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86:02:0808002:1597:ЗУ1</w:t>
            </w:r>
          </w:p>
        </w:tc>
        <w:tc>
          <w:tcPr>
            <w:cnfStyle w:val="000000010000"/>
            <w:tcW w:w="1417" w:type="dxa"/>
            <w:shd w:val="clear" w:color="auto" w:fill="auto"/>
            <w:vAlign w:val="center"/>
          </w:tcPr>
          <w:p w14:paraId="000002E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0,0359</w:t>
            </w:r>
          </w:p>
        </w:tc>
        <w:tc>
          <w:tcPr>
            <w:cnfStyle w:val="000000010000"/>
            <w:tcW w:w="2977" w:type="dxa"/>
            <w:shd w:val="clear" w:color="auto" w:fill="auto"/>
          </w:tcPr>
          <w:p w14:paraId="000002E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Земли промышленности*</w:t>
            </w:r>
          </w:p>
        </w:tc>
        <w:tc>
          <w:tcPr>
            <w:cnfStyle w:val="000000010000"/>
            <w:tcW w:w="2345" w:type="dxa"/>
            <w:shd w:val="clear" w:color="auto" w:fill="auto"/>
          </w:tcPr>
          <w:p w14:paraId="000002F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недропользование</w:t>
            </w:r>
          </w:p>
        </w:tc>
      </w:tr>
    </w:tbl>
    <w:p w14:paraId="000002F1">
      <w:pPr>
        <w:pStyle w:val="Normal"/>
        <w:rPr>
          <w:color w:val="000000"/>
          <w:sz w:val="24"/>
          <w:szCs w:val="24"/>
          <w:lang w:eastAsia="en-US"/>
        </w:rPr>
      </w:pPr>
    </w:p>
    <w:p w14:paraId="000002F2">
      <w:pPr>
        <w:pStyle w:val="Normal"/>
        <w:jc w:val="both"/>
        <w:rPr>
          <w:rFonts w:ascii="Times New Roman" w:cs="Times New Roman" w:hAnsi="Times New Roman"/>
          <w:color w:val="000000"/>
          <w:sz w:val="24"/>
          <w:szCs w:val="24"/>
          <w:lang w:eastAsia="en-US"/>
        </w:rPr>
      </w:pPr>
      <w:r>
        <w:rPr>
          <w:rFonts w:ascii="Times New Roman" w:cs="Times New Roman" w:hAnsi="Times New Roman"/>
          <w:color w:val="000000"/>
          <w:sz w:val="28"/>
          <w:szCs w:val="28"/>
          <w:lang w:eastAsia="en-US"/>
        </w:rPr>
        <w:t>*</w:t>
      </w:r>
      <w:r>
        <w:rPr>
          <w:rFonts w:ascii="Times New Roman" w:cs="Times New Roman" w:hAnsi="Times New Roman"/>
          <w:color w:val="000000"/>
          <w:sz w:val="24"/>
          <w:szCs w:val="24"/>
          <w:lang w:eastAsia="en-US"/>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p w14:paraId="000002F3">
      <w:pPr>
        <w:pStyle w:val="Default"/>
        <w:jc w:val="both"/>
        <w:rPr>
          <w:rFonts w:ascii="Times New Roman" w:cs="Times New Roman" w:hAnsi="Times New Roman"/>
          <w:sz w:val="24"/>
          <w:szCs w:val="24"/>
          <w:lang w:eastAsia="en-US"/>
        </w:rPr>
      </w:pPr>
      <w:r>
        <w:rPr>
          <w:rFonts w:ascii="Times New Roman" w:cs="Times New Roman" w:hAnsi="Times New Roman"/>
          <w:sz w:val="24"/>
          <w:szCs w:val="24"/>
          <w:lang w:eastAsia="en-US"/>
        </w:rPr>
        <w:br w:type="textWrapping"/>
      </w:r>
      <w:r>
        <w:rPr>
          <w:rFonts w:ascii="Times New Roman" w:cs="Times New Roman" w:hAnsi="Times New Roman"/>
          <w:sz w:val="24"/>
          <w:szCs w:val="24"/>
          <w:lang w:eastAsia="en-US"/>
        </w:rPr>
        <w:t xml:space="preserve">**Вид разрешенного использования для образуемых участков на землях запаса выбран «недропользование» (код 6.1), так как данный участок образуется под размещение объектов недропользования ПАО «НК «Роснефть», осуществляющей деятельность на основании лицензии на право пользования недрами ХМН 16317 НР от 09.02.2017 г. </w:t>
      </w:r>
    </w:p>
    <w:p w14:paraId="000002F4">
      <w:pPr>
        <w:pStyle w:val="Default"/>
        <w:ind w:firstLine="736"/>
        <w:jc w:val="both"/>
        <w:rPr>
          <w:rFonts w:ascii="Times New Roman" w:cs="Times New Roman" w:hAnsi="Times New Roman"/>
          <w:sz w:val="28"/>
          <w:szCs w:val="28"/>
        </w:rPr>
      </w:pPr>
      <w:r>
        <w:rPr>
          <w:rFonts w:ascii="Times New Roman" w:cs="Times New Roman" w:hAnsi="Times New Roman"/>
          <w:sz w:val="28"/>
          <w:szCs w:val="28"/>
          <w:lang w:eastAsia="en-US"/>
        </w:rPr>
        <w:t xml:space="preserve">В последующем, для предоставления участка без проведения торгов, согласно ст. 39.6 Земельного кодекса РФ: «земельные участки, необходимые для проведения работ, связанных с пользованием недрами недропользователю», будет произведена процедура перевода земель в «Земли промышленности, энергетики, транспорта, связи, радиовещания </w:t>
      </w:r>
      <w:r>
        <w:rPr>
          <w:rFonts w:ascii="Times New Roman" w:cs="Times New Roman" w:hAnsi="Times New Roman"/>
          <w:color w:val="000000"/>
          <w:sz w:val="28"/>
          <w:szCs w:val="28"/>
          <w:lang w:eastAsia="en-US"/>
        </w:rPr>
        <w:t>телевидения, информатики, земли для обеспечения космической деятельности, земли обороны, безопасности и земли иного специального назначения», что соответствует указанному виду разрешенного использования.</w:t>
      </w:r>
    </w:p>
    <w:p w14:paraId="000002F5">
      <w:pPr>
        <w:pStyle w:val="Normal"/>
        <w:jc w:val="both"/>
        <w:rPr>
          <w:rFonts w:ascii="Times New Roman" w:cs="Times New Roman" w:hAnsi="Times New Roman"/>
          <w:b/>
          <w:sz w:val="28"/>
          <w:szCs w:val="28"/>
        </w:rPr>
      </w:pPr>
      <w:r>
        <w:rPr>
          <w:rFonts w:ascii="Times New Roman" w:cs="Times New Roman" w:hAnsi="Times New Roman"/>
          <w:b/>
          <w:sz w:val="28"/>
          <w:szCs w:val="28"/>
        </w:rPr>
        <w:t>5.4.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w:t>
      </w:r>
    </w:p>
    <w:p w14:paraId="000002F6">
      <w:pPr>
        <w:pStyle w:val="Normal"/>
        <w:jc w:val="both"/>
        <w:rPr>
          <w:rFonts w:ascii="Times New Roman" w:cs="Times New Roman" w:hAnsi="Times New Roman"/>
          <w:sz w:val="28"/>
          <w:szCs w:val="28"/>
        </w:rPr>
      </w:pPr>
    </w:p>
    <w:p w14:paraId="000002F7">
      <w:pPr>
        <w:pStyle w:val="Normal"/>
        <w:shd w:val="clear" w:color="auto" w:fill="ffffff"/>
        <w:spacing w:line="360" w:lineRule="auto"/>
        <w:ind w:firstLine="709"/>
        <w:jc w:val="both"/>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Образуемые участки на землях лесного фонда отсутствуют.</w:t>
      </w:r>
    </w:p>
    <w:p w14:paraId="000002F8">
      <w:pPr>
        <w:pStyle w:val="Normal"/>
        <w:jc w:val="both"/>
        <w:rPr>
          <w:rFonts w:ascii="Times New Roman" w:cs="Times New Roman" w:hAnsi="Times New Roman"/>
          <w:color w:val="000000"/>
          <w:sz w:val="28"/>
          <w:szCs w:val="28"/>
          <w:lang w:eastAsia="en-US"/>
        </w:rPr>
      </w:pPr>
    </w:p>
    <w:p w14:paraId="000002F9">
      <w:pPr>
        <w:pStyle w:val="Normal"/>
        <w:jc w:val="both"/>
        <w:rPr>
          <w:rFonts w:ascii="Times New Roman" w:cs="Times New Roman" w:hAnsi="Times New Roman"/>
          <w:b/>
          <w:sz w:val="28"/>
          <w:szCs w:val="28"/>
        </w:rPr>
      </w:pPr>
      <w:r>
        <w:rPr>
          <w:rFonts w:ascii="Times New Roman" w:cs="Times New Roman" w:hAnsi="Times New Roman"/>
          <w:b/>
          <w:sz w:val="28"/>
          <w:szCs w:val="28"/>
        </w:rPr>
        <w:t>5.5. Сведения о границах территории, в отношении которой утвержден проект межевания,</w:t>
      </w:r>
      <w:r>
        <w:rPr>
          <w:rFonts w:ascii="Times New Roman" w:cs="Times New Roman" w:hAnsi="Times New Roman"/>
          <w:b/>
          <w:sz w:val="28"/>
          <w:szCs w:val="28"/>
        </w:rPr>
        <w:t xml:space="preserve">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00002FA">
      <w:pPr>
        <w:pStyle w:val="Normal"/>
        <w:jc w:val="both"/>
        <w:rPr>
          <w:rFonts w:ascii="Times New Roman" w:cs="Times New Roman" w:hAnsi="Times New Roman"/>
          <w:b/>
          <w:sz w:val="28"/>
          <w:szCs w:val="28"/>
        </w:rPr>
      </w:pPr>
    </w:p>
    <w:p w14:paraId="000002FB">
      <w:pPr>
        <w:pStyle w:val="Normal"/>
        <w:shd w:val="clear" w:color="auto" w:fill="ffffff"/>
        <w:spacing w:line="360" w:lineRule="auto"/>
        <w:ind w:firstLine="709"/>
        <w:jc w:val="both"/>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Подготовка проекта межевания территории осуществляется в целях образования земельных участков из категории земель:</w:t>
      </w:r>
    </w:p>
    <w:p w14:paraId="000002FC">
      <w:pPr>
        <w:pStyle w:val="Normal"/>
        <w:spacing w:line="360" w:lineRule="auto"/>
        <w:ind w:firstLine="709"/>
        <w:jc w:val="both"/>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 xml:space="preserve">-  </w:t>
      </w:r>
      <w:r>
        <w:fldChar w:fldCharType="begin"/>
      </w:r>
      <w:r>
        <w:instrText xml:space="preserve"> HYPERLINK "http://www.consultant.ru/document/cons_doc_LAW_330851/533ee5fc98aee7416dbf5b5c15265ff54e020592/" \l "dst100705" </w:instrText>
      </w:r>
      <w:r>
        <w:fldChar w:fldCharType="separate"/>
      </w:r>
      <w:r>
        <w:rPr>
          <w:rFonts w:ascii="Times New Roman" w:cs="Times New Roman" w:hAnsi="Times New Roman"/>
          <w:color w:val="000000"/>
          <w:sz w:val="28"/>
          <w:szCs w:val="28"/>
          <w:lang w:eastAsia="en-US"/>
        </w:rPr>
        <w:t>земель</w:t>
      </w:r>
      <w:r>
        <w:fldChar w:fldCharType="end"/>
      </w:r>
      <w:r>
        <w:rPr>
          <w:rFonts w:ascii="Times New Roman" w:cs="Times New Roman" w:hAnsi="Times New Roman"/>
          <w:color w:val="000000"/>
          <w:sz w:val="28"/>
          <w:szCs w:val="28"/>
          <w:lang w:eastAsia="en-US"/>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00002FD">
      <w:pPr>
        <w:pStyle w:val="Normal"/>
        <w:spacing w:line="360" w:lineRule="auto"/>
        <w:ind w:firstLine="709"/>
        <w:jc w:val="both"/>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 земель сельскохозяйственного назначения.</w:t>
      </w:r>
    </w:p>
    <w:p w14:paraId="000002FE">
      <w:pPr>
        <w:pStyle w:val="Normal"/>
        <w:spacing w:line="360" w:lineRule="auto"/>
        <w:ind w:firstLine="454"/>
        <w:jc w:val="both"/>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 xml:space="preserve">  Координаты границ образуемых земельных участков, необходимых для размещения проектируемого объекта, в графических материалах определены в местной системе координат Ханты-Мансийского автономного округа  Югры МСК-86.</w:t>
      </w:r>
    </w:p>
    <w:p w14:paraId="000002FF">
      <w:pPr>
        <w:pStyle w:val="Normal"/>
        <w:shd w:val="clear" w:color="auto" w:fill="ffffff"/>
        <w:jc w:val="both"/>
        <w:rPr>
          <w:rFonts w:ascii="Times New Roman" w:cs="Times New Roman" w:hAnsi="Times New Roman"/>
          <w:color w:val="000000"/>
          <w:sz w:val="28"/>
          <w:szCs w:val="28"/>
          <w:lang w:eastAsia="en-US"/>
        </w:rPr>
      </w:pPr>
    </w:p>
    <w:p w14:paraId="00000300">
      <w:pPr>
        <w:pStyle w:val="Normal"/>
        <w:jc w:val="center"/>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Перечень координат  характерных точек образуемого</w:t>
      </w:r>
    </w:p>
    <w:p w14:paraId="00000301">
      <w:pPr>
        <w:pStyle w:val="Normal"/>
        <w:jc w:val="center"/>
        <w:rPr>
          <w:rFonts w:ascii="Times New Roman" w:cs="Times New Roman" w:hAnsi="Times New Roman"/>
          <w:color w:val="000000"/>
          <w:sz w:val="28"/>
          <w:szCs w:val="28"/>
          <w:lang w:eastAsia="en-US"/>
        </w:rPr>
      </w:pPr>
      <w:r>
        <w:rPr>
          <w:rFonts w:ascii="Times New Roman" w:cs="Times New Roman" w:hAnsi="Times New Roman"/>
          <w:color w:val="000000"/>
          <w:sz w:val="28"/>
          <w:szCs w:val="28"/>
          <w:lang w:eastAsia="en-US"/>
        </w:rPr>
        <w:t>земельного участка 86:02:0808002: ЗУ1</w:t>
      </w:r>
    </w:p>
    <w:p w14:paraId="00000302">
      <w:pPr>
        <w:pStyle w:val="Normal"/>
        <w:shd w:val="clear" w:color="auto" w:fill="ffffff"/>
        <w:jc w:val="center"/>
        <w:rPr>
          <w:color w:val="000000"/>
          <w:sz w:val="24"/>
          <w:szCs w:val="24"/>
          <w:lang w:eastAsia="en-US"/>
        </w:rPr>
      </w:pPr>
    </w:p>
    <w:tbl>
      <w:tblPr>
        <w:tblW w:w="0" w:type="auto"/>
        <w:jc w:val="center"/>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631"/>
        <w:gridCol w:w="2551"/>
        <w:gridCol w:w="2977"/>
      </w:tblGrid>
      <w:tr>
        <w:trPr>
          <w:wAfter w:w="0" w:type="dxa"/>
          <w:tblHeader w:val="on"/>
        </w:trPr>
        <w:tc>
          <w:tcPr>
            <w:cnfStyle w:val="101000000000"/>
            <w:tcW w:w="1631" w:type="dxa"/>
            <w:shd w:val="clear" w:color="auto" w:fill="auto"/>
            <w:vAlign w:val="center"/>
          </w:tcPr>
          <w:p w14:paraId="00000303">
            <w:pPr>
              <w:pStyle w:val="Normal"/>
              <w:jc w:val="center"/>
              <w:rPr>
                <w:rFonts w:ascii="Times New Roman" w:cs="Times New Roman" w:hAnsi="Times New Roman"/>
                <w:color w:val="000000"/>
                <w:sz w:val="24"/>
                <w:szCs w:val="24"/>
                <w:lang w:eastAsia="en-US"/>
              </w:rPr>
            </w:pPr>
          </w:p>
          <w:p w14:paraId="0000030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Номер</w:t>
            </w:r>
          </w:p>
        </w:tc>
        <w:tc>
          <w:tcPr>
            <w:cnfStyle w:val="100000000000"/>
            <w:tcW w:w="2551" w:type="dxa"/>
            <w:shd w:val="clear" w:color="auto" w:fill="auto"/>
            <w:vAlign w:val="center"/>
          </w:tcPr>
          <w:p w14:paraId="0000030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X</w:t>
            </w:r>
          </w:p>
        </w:tc>
        <w:tc>
          <w:tcPr>
            <w:cnfStyle w:val="100000000000"/>
            <w:tcW w:w="2977" w:type="dxa"/>
            <w:shd w:val="clear" w:color="auto" w:fill="auto"/>
            <w:vAlign w:val="center"/>
          </w:tcPr>
          <w:p w14:paraId="0000030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Y</w:t>
            </w:r>
          </w:p>
        </w:tc>
      </w:tr>
      <w:tr>
        <w:trPr>
          <w:wAfter w:w="0" w:type="dxa"/>
        </w:trPr>
        <w:tc>
          <w:tcPr>
            <w:cnfStyle w:val="001000100000"/>
            <w:tcW w:w="1631" w:type="dxa"/>
            <w:shd w:val="clear" w:color="auto" w:fill="auto"/>
          </w:tcPr>
          <w:p w14:paraId="0000030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0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995611.22</w:t>
            </w:r>
          </w:p>
        </w:tc>
        <w:tc>
          <w:tcPr>
            <w:cnfStyle w:val="000000100000"/>
            <w:tcW w:w="2977" w:type="dxa"/>
            <w:shd w:val="clear" w:color="auto" w:fill="auto"/>
          </w:tcPr>
          <w:p w14:paraId="0000030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2731962.67</w:t>
            </w:r>
          </w:p>
        </w:tc>
      </w:tr>
      <w:tr>
        <w:trPr>
          <w:wAfter w:w="0" w:type="dxa"/>
          <w:trHeight w:val="355" w:hRule="atLeast"/>
        </w:trPr>
        <w:tc>
          <w:tcPr>
            <w:cnfStyle w:val="001000010000"/>
            <w:tcW w:w="1631" w:type="dxa"/>
            <w:shd w:val="clear" w:color="auto" w:fill="auto"/>
          </w:tcPr>
          <w:p w14:paraId="0000030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w:t>
            </w:r>
          </w:p>
        </w:tc>
        <w:tc>
          <w:tcPr>
            <w:cnfStyle w:val="000000010000"/>
            <w:tcW w:w="2551" w:type="dxa"/>
            <w:shd w:val="clear" w:color="auto" w:fill="auto"/>
          </w:tcPr>
          <w:p w14:paraId="0000030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995673.02</w:t>
            </w:r>
          </w:p>
        </w:tc>
        <w:tc>
          <w:tcPr>
            <w:cnfStyle w:val="000000010000"/>
            <w:tcW w:w="2977" w:type="dxa"/>
            <w:shd w:val="clear" w:color="auto" w:fill="auto"/>
          </w:tcPr>
          <w:p w14:paraId="0000030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2731925.82</w:t>
            </w:r>
          </w:p>
        </w:tc>
      </w:tr>
      <w:tr>
        <w:trPr>
          <w:wAfter w:w="0" w:type="dxa"/>
        </w:trPr>
        <w:tc>
          <w:tcPr>
            <w:cnfStyle w:val="001000100000"/>
            <w:tcW w:w="1631" w:type="dxa"/>
            <w:shd w:val="clear" w:color="auto" w:fill="auto"/>
          </w:tcPr>
          <w:p w14:paraId="0000030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w:t>
            </w:r>
          </w:p>
        </w:tc>
        <w:tc>
          <w:tcPr>
            <w:cnfStyle w:val="000000100000"/>
            <w:tcW w:w="2551" w:type="dxa"/>
            <w:shd w:val="clear" w:color="auto" w:fill="auto"/>
          </w:tcPr>
          <w:p w14:paraId="0000030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995674.36</w:t>
            </w:r>
          </w:p>
        </w:tc>
        <w:tc>
          <w:tcPr>
            <w:cnfStyle w:val="000000100000"/>
            <w:tcW w:w="2977" w:type="dxa"/>
            <w:shd w:val="clear" w:color="auto" w:fill="auto"/>
          </w:tcPr>
          <w:p w14:paraId="0000030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2731932.09</w:t>
            </w:r>
          </w:p>
        </w:tc>
      </w:tr>
      <w:tr>
        <w:trPr>
          <w:wAfter w:w="0" w:type="dxa"/>
        </w:trPr>
        <w:tc>
          <w:tcPr>
            <w:cnfStyle w:val="001000010000"/>
            <w:tcW w:w="1631" w:type="dxa"/>
            <w:shd w:val="clear" w:color="auto" w:fill="auto"/>
          </w:tcPr>
          <w:p w14:paraId="0000031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010000"/>
            <w:tcW w:w="2551" w:type="dxa"/>
            <w:shd w:val="clear" w:color="auto" w:fill="auto"/>
          </w:tcPr>
          <w:p w14:paraId="0000031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995611.22</w:t>
            </w:r>
          </w:p>
        </w:tc>
        <w:tc>
          <w:tcPr>
            <w:cnfStyle w:val="000000010000"/>
            <w:tcW w:w="2977" w:type="dxa"/>
            <w:shd w:val="clear" w:color="auto" w:fill="auto"/>
          </w:tcPr>
          <w:p w14:paraId="0000031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2731962.67</w:t>
            </w:r>
          </w:p>
        </w:tc>
      </w:tr>
    </w:tbl>
    <w:p w14:paraId="00000313">
      <w:pPr>
        <w:pStyle w:val="Normal"/>
        <w:shd w:val="clear" w:color="auto" w:fill="ffffff"/>
        <w:jc w:val="center"/>
        <w:rPr>
          <w:color w:val="000000"/>
          <w:sz w:val="24"/>
          <w:szCs w:val="24"/>
          <w:lang w:eastAsia="en-US"/>
        </w:rPr>
      </w:pPr>
    </w:p>
    <w:p w14:paraId="00000314">
      <w:pPr>
        <w:pStyle w:val="Normal"/>
        <w:shd w:val="clear" w:color="auto" w:fill="ffffff"/>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Перечень координат  характерных точек образуемого</w:t>
      </w:r>
    </w:p>
    <w:p w14:paraId="0000031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земельного участка 86:02:0808002: 390:ЗУ1</w:t>
      </w:r>
    </w:p>
    <w:p w14:paraId="00000316">
      <w:pPr>
        <w:pStyle w:val="Normal"/>
        <w:shd w:val="clear" w:color="auto" w:fill="ffffff"/>
        <w:jc w:val="center"/>
        <w:rPr>
          <w:color w:val="000000"/>
          <w:sz w:val="24"/>
          <w:szCs w:val="24"/>
          <w:lang w:eastAsia="en-US"/>
        </w:rPr>
      </w:pPr>
    </w:p>
    <w:tbl>
      <w:tblPr>
        <w:tblW w:w="0" w:type="auto"/>
        <w:jc w:val="center"/>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631"/>
        <w:gridCol w:w="2551"/>
        <w:gridCol w:w="2977"/>
      </w:tblGrid>
      <w:tr>
        <w:trPr>
          <w:wAfter w:w="0" w:type="dxa"/>
          <w:tblHeader w:val="on"/>
        </w:trPr>
        <w:tc>
          <w:tcPr>
            <w:cnfStyle w:val="101000000000"/>
            <w:tcW w:w="1631" w:type="dxa"/>
            <w:shd w:val="clear" w:color="auto" w:fill="auto"/>
            <w:vAlign w:val="center"/>
          </w:tcPr>
          <w:p w14:paraId="00000317">
            <w:pPr>
              <w:pStyle w:val="Normal"/>
              <w:jc w:val="center"/>
              <w:rPr>
                <w:rFonts w:ascii="Times New Roman" w:cs="Times New Roman" w:hAnsi="Times New Roman"/>
                <w:color w:val="000000"/>
                <w:sz w:val="24"/>
                <w:szCs w:val="24"/>
                <w:lang w:eastAsia="en-US"/>
              </w:rPr>
            </w:pPr>
          </w:p>
          <w:p w14:paraId="0000031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Номер</w:t>
            </w:r>
          </w:p>
        </w:tc>
        <w:tc>
          <w:tcPr>
            <w:cnfStyle w:val="100000000000"/>
            <w:tcW w:w="2551" w:type="dxa"/>
            <w:shd w:val="clear" w:color="auto" w:fill="auto"/>
            <w:vAlign w:val="center"/>
          </w:tcPr>
          <w:p w14:paraId="0000031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X</w:t>
            </w:r>
          </w:p>
        </w:tc>
        <w:tc>
          <w:tcPr>
            <w:cnfStyle w:val="100000000000"/>
            <w:tcW w:w="2977" w:type="dxa"/>
            <w:shd w:val="clear" w:color="auto" w:fill="auto"/>
            <w:vAlign w:val="center"/>
          </w:tcPr>
          <w:p w14:paraId="0000031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Y</w:t>
            </w:r>
          </w:p>
        </w:tc>
      </w:tr>
      <w:tr>
        <w:trPr>
          <w:wAfter w:w="0" w:type="dxa"/>
        </w:trPr>
        <w:tc>
          <w:tcPr>
            <w:cnfStyle w:val="001000100000"/>
            <w:tcW w:w="1631" w:type="dxa"/>
            <w:shd w:val="clear" w:color="auto" w:fill="auto"/>
          </w:tcPr>
          <w:p w14:paraId="0000031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1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995745.85</w:t>
            </w:r>
          </w:p>
        </w:tc>
        <w:tc>
          <w:tcPr>
            <w:cnfStyle w:val="000000100000"/>
            <w:tcW w:w="2977" w:type="dxa"/>
            <w:shd w:val="clear" w:color="auto" w:fill="auto"/>
          </w:tcPr>
          <w:p w14:paraId="0000031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2731194.86</w:t>
            </w:r>
          </w:p>
        </w:tc>
      </w:tr>
      <w:tr>
        <w:trPr>
          <w:wAfter w:w="0" w:type="dxa"/>
          <w:trHeight w:val="355" w:hRule="atLeast"/>
        </w:trPr>
        <w:tc>
          <w:tcPr>
            <w:cnfStyle w:val="001000010000"/>
            <w:tcW w:w="1631" w:type="dxa"/>
            <w:shd w:val="clear" w:color="auto" w:fill="auto"/>
          </w:tcPr>
          <w:p w14:paraId="0000031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w:t>
            </w:r>
          </w:p>
        </w:tc>
        <w:tc>
          <w:tcPr>
            <w:cnfStyle w:val="000000010000"/>
            <w:tcW w:w="2551" w:type="dxa"/>
            <w:shd w:val="clear" w:color="auto" w:fill="auto"/>
          </w:tcPr>
          <w:p w14:paraId="0000031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995746.14</w:t>
            </w:r>
          </w:p>
        </w:tc>
        <w:tc>
          <w:tcPr>
            <w:cnfStyle w:val="000000010000"/>
            <w:tcW w:w="2977" w:type="dxa"/>
            <w:shd w:val="clear" w:color="auto" w:fill="auto"/>
          </w:tcPr>
          <w:p w14:paraId="0000032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2731163.28</w:t>
            </w:r>
          </w:p>
        </w:tc>
      </w:tr>
      <w:tr>
        <w:trPr>
          <w:wAfter w:w="0" w:type="dxa"/>
        </w:trPr>
        <w:tc>
          <w:tcPr>
            <w:cnfStyle w:val="001000100000"/>
            <w:tcW w:w="1631" w:type="dxa"/>
            <w:shd w:val="clear" w:color="auto" w:fill="auto"/>
          </w:tcPr>
          <w:p w14:paraId="0000032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w:t>
            </w:r>
          </w:p>
        </w:tc>
        <w:tc>
          <w:tcPr>
            <w:cnfStyle w:val="000000100000"/>
            <w:tcW w:w="2551" w:type="dxa"/>
            <w:shd w:val="clear" w:color="auto" w:fill="auto"/>
          </w:tcPr>
          <w:p w14:paraId="0000032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995748.49</w:t>
            </w:r>
          </w:p>
        </w:tc>
        <w:tc>
          <w:tcPr>
            <w:cnfStyle w:val="000000100000"/>
            <w:tcW w:w="2977" w:type="dxa"/>
            <w:shd w:val="clear" w:color="auto" w:fill="auto"/>
          </w:tcPr>
          <w:p w14:paraId="0000032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2731073.95</w:t>
            </w:r>
          </w:p>
        </w:tc>
      </w:tr>
      <w:tr>
        <w:trPr>
          <w:wAfter w:w="0" w:type="dxa"/>
        </w:trPr>
        <w:tc>
          <w:tcPr>
            <w:cnfStyle w:val="001000010000"/>
            <w:tcW w:w="1631" w:type="dxa"/>
            <w:shd w:val="clear" w:color="auto" w:fill="auto"/>
          </w:tcPr>
          <w:p w14:paraId="0000032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w:t>
            </w:r>
          </w:p>
        </w:tc>
        <w:tc>
          <w:tcPr>
            <w:cnfStyle w:val="000000010000"/>
            <w:tcW w:w="2551" w:type="dxa"/>
            <w:shd w:val="clear" w:color="auto" w:fill="auto"/>
          </w:tcPr>
          <w:p w14:paraId="0000032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995765.25</w:t>
            </w:r>
          </w:p>
        </w:tc>
        <w:tc>
          <w:tcPr>
            <w:cnfStyle w:val="000000010000"/>
            <w:tcW w:w="2977" w:type="dxa"/>
            <w:shd w:val="clear" w:color="auto" w:fill="auto"/>
          </w:tcPr>
          <w:p w14:paraId="0000032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2731036.09</w:t>
            </w:r>
          </w:p>
        </w:tc>
      </w:tr>
      <w:tr>
        <w:trPr>
          <w:wAfter w:w="0" w:type="dxa"/>
        </w:trPr>
        <w:tc>
          <w:tcPr>
            <w:cnfStyle w:val="001000100000"/>
            <w:tcW w:w="1631" w:type="dxa"/>
            <w:shd w:val="clear" w:color="auto" w:fill="auto"/>
          </w:tcPr>
          <w:p w14:paraId="0000032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5</w:t>
            </w:r>
          </w:p>
        </w:tc>
        <w:tc>
          <w:tcPr>
            <w:cnfStyle w:val="000000100000"/>
            <w:tcW w:w="2551" w:type="dxa"/>
            <w:shd w:val="clear" w:color="auto" w:fill="auto"/>
          </w:tcPr>
          <w:p w14:paraId="0000032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995793.31</w:t>
            </w:r>
          </w:p>
        </w:tc>
        <w:tc>
          <w:tcPr>
            <w:cnfStyle w:val="000000100000"/>
            <w:tcW w:w="2977" w:type="dxa"/>
            <w:shd w:val="clear" w:color="auto" w:fill="auto"/>
          </w:tcPr>
          <w:p w14:paraId="0000032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2731013.23</w:t>
            </w:r>
          </w:p>
        </w:tc>
      </w:tr>
      <w:tr>
        <w:trPr>
          <w:wAfter w:w="0" w:type="dxa"/>
        </w:trPr>
        <w:tc>
          <w:tcPr>
            <w:cnfStyle w:val="001000010000"/>
            <w:tcW w:w="1631" w:type="dxa"/>
            <w:shd w:val="clear" w:color="auto" w:fill="auto"/>
          </w:tcPr>
          <w:p w14:paraId="0000032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6</w:t>
            </w:r>
          </w:p>
        </w:tc>
        <w:tc>
          <w:tcPr>
            <w:cnfStyle w:val="000000010000"/>
            <w:tcW w:w="2551" w:type="dxa"/>
            <w:shd w:val="clear" w:color="auto" w:fill="auto"/>
          </w:tcPr>
          <w:p w14:paraId="0000032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995833.65</w:t>
            </w:r>
          </w:p>
        </w:tc>
        <w:tc>
          <w:tcPr>
            <w:cnfStyle w:val="000000010000"/>
            <w:tcW w:w="2977" w:type="dxa"/>
            <w:shd w:val="clear" w:color="auto" w:fill="auto"/>
          </w:tcPr>
          <w:p w14:paraId="0000032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2731002.26</w:t>
            </w:r>
          </w:p>
        </w:tc>
      </w:tr>
      <w:tr>
        <w:trPr>
          <w:wAfter w:w="0" w:type="dxa"/>
        </w:trPr>
        <w:tc>
          <w:tcPr>
            <w:cnfStyle w:val="001000100000"/>
            <w:tcW w:w="1631" w:type="dxa"/>
            <w:shd w:val="clear" w:color="auto" w:fill="auto"/>
          </w:tcPr>
          <w:p w14:paraId="0000032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7</w:t>
            </w:r>
          </w:p>
        </w:tc>
        <w:tc>
          <w:tcPr>
            <w:cnfStyle w:val="000000100000"/>
            <w:tcW w:w="2551" w:type="dxa"/>
            <w:shd w:val="clear" w:color="auto" w:fill="auto"/>
          </w:tcPr>
          <w:p w14:paraId="0000032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995874.87</w:t>
            </w:r>
          </w:p>
        </w:tc>
        <w:tc>
          <w:tcPr>
            <w:cnfStyle w:val="000000100000"/>
            <w:tcW w:w="2977" w:type="dxa"/>
            <w:shd w:val="clear" w:color="auto" w:fill="auto"/>
          </w:tcPr>
          <w:p w14:paraId="0000032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2730998.33</w:t>
            </w:r>
          </w:p>
        </w:tc>
      </w:tr>
      <w:tr>
        <w:trPr>
          <w:wAfter w:w="0" w:type="dxa"/>
        </w:trPr>
        <w:tc>
          <w:tcPr>
            <w:cnfStyle w:val="001000010000"/>
            <w:tcW w:w="1631" w:type="dxa"/>
            <w:shd w:val="clear" w:color="auto" w:fill="auto"/>
          </w:tcPr>
          <w:p w14:paraId="0000033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w:t>
            </w:r>
          </w:p>
        </w:tc>
        <w:tc>
          <w:tcPr>
            <w:cnfStyle w:val="000000010000"/>
            <w:tcW w:w="2551" w:type="dxa"/>
            <w:shd w:val="clear" w:color="auto" w:fill="auto"/>
          </w:tcPr>
          <w:p w14:paraId="0000033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995948.85</w:t>
            </w:r>
          </w:p>
        </w:tc>
        <w:tc>
          <w:tcPr>
            <w:cnfStyle w:val="000000010000"/>
            <w:tcW w:w="2977" w:type="dxa"/>
            <w:shd w:val="clear" w:color="auto" w:fill="auto"/>
          </w:tcPr>
          <w:p w14:paraId="0000033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2730991.28</w:t>
            </w:r>
          </w:p>
        </w:tc>
      </w:tr>
      <w:tr>
        <w:trPr>
          <w:wAfter w:w="0" w:type="dxa"/>
        </w:trPr>
        <w:tc>
          <w:tcPr>
            <w:cnfStyle w:val="001000100000"/>
            <w:tcW w:w="1631" w:type="dxa"/>
            <w:shd w:val="clear" w:color="auto" w:fill="auto"/>
          </w:tcPr>
          <w:p w14:paraId="0000033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w:t>
            </w:r>
          </w:p>
        </w:tc>
        <w:tc>
          <w:tcPr>
            <w:cnfStyle w:val="000000100000"/>
            <w:tcW w:w="2551" w:type="dxa"/>
            <w:shd w:val="clear" w:color="auto" w:fill="auto"/>
          </w:tcPr>
          <w:p w14:paraId="0000033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996043.31</w:t>
            </w:r>
          </w:p>
        </w:tc>
        <w:tc>
          <w:tcPr>
            <w:cnfStyle w:val="000000100000"/>
            <w:tcW w:w="2977" w:type="dxa"/>
            <w:shd w:val="clear" w:color="auto" w:fill="auto"/>
          </w:tcPr>
          <w:p w14:paraId="0000033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2730983.38</w:t>
            </w:r>
          </w:p>
        </w:tc>
      </w:tr>
      <w:tr>
        <w:trPr>
          <w:wAfter w:w="0" w:type="dxa"/>
        </w:trPr>
        <w:tc>
          <w:tcPr>
            <w:cnfStyle w:val="001000010000"/>
            <w:tcW w:w="1631" w:type="dxa"/>
            <w:shd w:val="clear" w:color="auto" w:fill="auto"/>
          </w:tcPr>
          <w:p w14:paraId="0000033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10</w:t>
            </w:r>
          </w:p>
        </w:tc>
        <w:tc>
          <w:tcPr>
            <w:cnfStyle w:val="000000010000"/>
            <w:tcW w:w="2551" w:type="dxa"/>
            <w:shd w:val="clear" w:color="auto" w:fill="auto"/>
          </w:tcPr>
          <w:p w14:paraId="0000033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996072.24</w:t>
            </w:r>
          </w:p>
        </w:tc>
        <w:tc>
          <w:tcPr>
            <w:cnfStyle w:val="000000010000"/>
            <w:tcW w:w="2977" w:type="dxa"/>
            <w:shd w:val="clear" w:color="auto" w:fill="auto"/>
          </w:tcPr>
          <w:p w14:paraId="0000033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2730980.96</w:t>
            </w:r>
          </w:p>
        </w:tc>
      </w:tr>
      <w:tr>
        <w:trPr>
          <w:wAfter w:w="0" w:type="dxa"/>
        </w:trPr>
        <w:tc>
          <w:tcPr>
            <w:cnfStyle w:val="001000100000"/>
            <w:tcW w:w="1631" w:type="dxa"/>
            <w:shd w:val="clear" w:color="auto" w:fill="auto"/>
          </w:tcPr>
          <w:p w14:paraId="0000033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11</w:t>
            </w:r>
          </w:p>
        </w:tc>
        <w:tc>
          <w:tcPr>
            <w:cnfStyle w:val="000000100000"/>
            <w:tcW w:w="2551" w:type="dxa"/>
            <w:shd w:val="clear" w:color="auto" w:fill="auto"/>
          </w:tcPr>
          <w:p w14:paraId="0000033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996106.02</w:t>
            </w:r>
          </w:p>
        </w:tc>
        <w:tc>
          <w:tcPr>
            <w:cnfStyle w:val="000000100000"/>
            <w:tcW w:w="2977" w:type="dxa"/>
            <w:shd w:val="clear" w:color="auto" w:fill="auto"/>
          </w:tcPr>
          <w:p w14:paraId="0000033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2730978.13</w:t>
            </w:r>
          </w:p>
        </w:tc>
      </w:tr>
      <w:tr>
        <w:trPr>
          <w:wAfter w:w="0" w:type="dxa"/>
        </w:trPr>
        <w:tc>
          <w:tcPr>
            <w:cnfStyle w:val="001000010000"/>
            <w:tcW w:w="1631" w:type="dxa"/>
            <w:shd w:val="clear" w:color="auto" w:fill="auto"/>
          </w:tcPr>
          <w:p w14:paraId="0000033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12</w:t>
            </w:r>
          </w:p>
        </w:tc>
        <w:tc>
          <w:tcPr>
            <w:cnfStyle w:val="000000010000"/>
            <w:tcW w:w="2551" w:type="dxa"/>
            <w:shd w:val="clear" w:color="auto" w:fill="auto"/>
          </w:tcPr>
          <w:p w14:paraId="0000033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996221.41</w:t>
            </w:r>
          </w:p>
        </w:tc>
        <w:tc>
          <w:tcPr>
            <w:cnfStyle w:val="000000010000"/>
            <w:tcW w:w="2977" w:type="dxa"/>
            <w:shd w:val="clear" w:color="auto" w:fill="auto"/>
          </w:tcPr>
          <w:p w14:paraId="0000033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2731081.20</w:t>
            </w:r>
          </w:p>
        </w:tc>
      </w:tr>
      <w:tr>
        <w:trPr>
          <w:wAfter w:w="0" w:type="dxa"/>
        </w:trPr>
        <w:tc>
          <w:tcPr>
            <w:cnfStyle w:val="001000100000"/>
            <w:tcW w:w="1631" w:type="dxa"/>
            <w:shd w:val="clear" w:color="auto" w:fill="auto"/>
          </w:tcPr>
          <w:p w14:paraId="0000033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13</w:t>
            </w:r>
          </w:p>
        </w:tc>
        <w:tc>
          <w:tcPr>
            <w:cnfStyle w:val="000000100000"/>
            <w:tcW w:w="2551" w:type="dxa"/>
            <w:shd w:val="clear" w:color="auto" w:fill="auto"/>
          </w:tcPr>
          <w:p w14:paraId="0000034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996237.28</w:t>
            </w:r>
          </w:p>
        </w:tc>
        <w:tc>
          <w:tcPr>
            <w:cnfStyle w:val="000000100000"/>
            <w:tcW w:w="2977" w:type="dxa"/>
            <w:shd w:val="clear" w:color="auto" w:fill="auto"/>
          </w:tcPr>
          <w:p w14:paraId="0000034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2731064.51</w:t>
            </w:r>
          </w:p>
        </w:tc>
      </w:tr>
      <w:tr>
        <w:trPr>
          <w:wAfter w:w="0" w:type="dxa"/>
        </w:trPr>
        <w:tc>
          <w:tcPr>
            <w:cnfStyle w:val="001000010000"/>
            <w:tcW w:w="1631" w:type="dxa"/>
            <w:shd w:val="clear" w:color="auto" w:fill="auto"/>
          </w:tcPr>
          <w:p w14:paraId="0000034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14</w:t>
            </w:r>
          </w:p>
        </w:tc>
        <w:tc>
          <w:tcPr>
            <w:cnfStyle w:val="000000010000"/>
            <w:tcW w:w="2551" w:type="dxa"/>
            <w:shd w:val="clear" w:color="auto" w:fill="auto"/>
          </w:tcPr>
          <w:p w14:paraId="0000034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996098.97</w:t>
            </w:r>
          </w:p>
        </w:tc>
        <w:tc>
          <w:tcPr>
            <w:cnfStyle w:val="000000010000"/>
            <w:tcW w:w="2977" w:type="dxa"/>
            <w:shd w:val="clear" w:color="auto" w:fill="auto"/>
          </w:tcPr>
          <w:p w14:paraId="0000034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2730941.47</w:t>
            </w:r>
          </w:p>
        </w:tc>
      </w:tr>
      <w:tr>
        <w:trPr>
          <w:wAfter w:w="0" w:type="dxa"/>
        </w:trPr>
        <w:tc>
          <w:tcPr>
            <w:cnfStyle w:val="001000100000"/>
            <w:tcW w:w="1631" w:type="dxa"/>
            <w:shd w:val="clear" w:color="auto" w:fill="auto"/>
          </w:tcPr>
          <w:p w14:paraId="0000034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15</w:t>
            </w:r>
          </w:p>
        </w:tc>
        <w:tc>
          <w:tcPr>
            <w:cnfStyle w:val="000000100000"/>
            <w:tcW w:w="2551" w:type="dxa"/>
            <w:shd w:val="clear" w:color="auto" w:fill="auto"/>
          </w:tcPr>
          <w:p w14:paraId="0000034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996050.58</w:t>
            </w:r>
          </w:p>
        </w:tc>
        <w:tc>
          <w:tcPr>
            <w:cnfStyle w:val="000000100000"/>
            <w:tcW w:w="2977" w:type="dxa"/>
            <w:shd w:val="clear" w:color="auto" w:fill="auto"/>
          </w:tcPr>
          <w:p w14:paraId="0000034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2730947.10</w:t>
            </w:r>
          </w:p>
        </w:tc>
      </w:tr>
      <w:tr>
        <w:trPr>
          <w:wAfter w:w="0" w:type="dxa"/>
        </w:trPr>
        <w:tc>
          <w:tcPr>
            <w:cnfStyle w:val="001000010000"/>
            <w:tcW w:w="1631" w:type="dxa"/>
            <w:shd w:val="clear" w:color="auto" w:fill="auto"/>
          </w:tcPr>
          <w:p w14:paraId="0000034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16</w:t>
            </w:r>
          </w:p>
        </w:tc>
        <w:tc>
          <w:tcPr>
            <w:cnfStyle w:val="000000010000"/>
            <w:tcW w:w="2551" w:type="dxa"/>
            <w:shd w:val="clear" w:color="auto" w:fill="auto"/>
          </w:tcPr>
          <w:p w14:paraId="0000034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996035.72</w:t>
            </w:r>
          </w:p>
        </w:tc>
        <w:tc>
          <w:tcPr>
            <w:cnfStyle w:val="000000010000"/>
            <w:tcW w:w="2977" w:type="dxa"/>
            <w:shd w:val="clear" w:color="auto" w:fill="auto"/>
          </w:tcPr>
          <w:p w14:paraId="0000034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2730948.47</w:t>
            </w:r>
          </w:p>
        </w:tc>
      </w:tr>
      <w:tr>
        <w:trPr>
          <w:wAfter w:w="0" w:type="dxa"/>
        </w:trPr>
        <w:tc>
          <w:tcPr>
            <w:cnfStyle w:val="001000100000"/>
            <w:tcW w:w="1631" w:type="dxa"/>
            <w:shd w:val="clear" w:color="auto" w:fill="auto"/>
          </w:tcPr>
          <w:p w14:paraId="0000034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17</w:t>
            </w:r>
          </w:p>
        </w:tc>
        <w:tc>
          <w:tcPr>
            <w:cnfStyle w:val="000000100000"/>
            <w:tcW w:w="2551" w:type="dxa"/>
            <w:shd w:val="clear" w:color="auto" w:fill="auto"/>
          </w:tcPr>
          <w:p w14:paraId="0000034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995985.11</w:t>
            </w:r>
          </w:p>
        </w:tc>
        <w:tc>
          <w:tcPr>
            <w:cnfStyle w:val="000000100000"/>
            <w:tcW w:w="2977" w:type="dxa"/>
            <w:shd w:val="clear" w:color="auto" w:fill="auto"/>
          </w:tcPr>
          <w:p w14:paraId="0000034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2730953.13</w:t>
            </w:r>
          </w:p>
        </w:tc>
      </w:tr>
      <w:tr>
        <w:trPr>
          <w:wAfter w:w="0" w:type="dxa"/>
        </w:trPr>
        <w:tc>
          <w:tcPr>
            <w:cnfStyle w:val="001000010000"/>
            <w:tcW w:w="1631" w:type="dxa"/>
            <w:shd w:val="clear" w:color="auto" w:fill="auto"/>
          </w:tcPr>
          <w:p w14:paraId="0000034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18</w:t>
            </w:r>
          </w:p>
        </w:tc>
        <w:tc>
          <w:tcPr>
            <w:cnfStyle w:val="000000010000"/>
            <w:tcW w:w="2551" w:type="dxa"/>
            <w:shd w:val="clear" w:color="auto" w:fill="auto"/>
          </w:tcPr>
          <w:p w14:paraId="0000034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995897.66</w:t>
            </w:r>
          </w:p>
        </w:tc>
        <w:tc>
          <w:tcPr>
            <w:cnfStyle w:val="000000010000"/>
            <w:tcW w:w="2977" w:type="dxa"/>
            <w:shd w:val="clear" w:color="auto" w:fill="auto"/>
          </w:tcPr>
          <w:p w14:paraId="0000035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2730960.79</w:t>
            </w:r>
          </w:p>
        </w:tc>
      </w:tr>
      <w:tr>
        <w:trPr>
          <w:wAfter w:w="0" w:type="dxa"/>
        </w:trPr>
        <w:tc>
          <w:tcPr>
            <w:cnfStyle w:val="001000100000"/>
            <w:tcW w:w="1631" w:type="dxa"/>
            <w:shd w:val="clear" w:color="auto" w:fill="auto"/>
          </w:tcPr>
          <w:p w14:paraId="0000035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19</w:t>
            </w:r>
          </w:p>
        </w:tc>
        <w:tc>
          <w:tcPr>
            <w:cnfStyle w:val="000000100000"/>
            <w:tcW w:w="2551" w:type="dxa"/>
            <w:shd w:val="clear" w:color="auto" w:fill="auto"/>
          </w:tcPr>
          <w:p w14:paraId="0000035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995848.04</w:t>
            </w:r>
          </w:p>
        </w:tc>
        <w:tc>
          <w:tcPr>
            <w:cnfStyle w:val="000000100000"/>
            <w:tcW w:w="2977" w:type="dxa"/>
            <w:shd w:val="clear" w:color="auto" w:fill="auto"/>
          </w:tcPr>
          <w:p w14:paraId="0000035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2730960.53</w:t>
            </w:r>
          </w:p>
        </w:tc>
      </w:tr>
      <w:tr>
        <w:trPr>
          <w:wAfter w:w="0" w:type="dxa"/>
        </w:trPr>
        <w:tc>
          <w:tcPr>
            <w:cnfStyle w:val="001000010000"/>
            <w:tcW w:w="1631" w:type="dxa"/>
            <w:shd w:val="clear" w:color="auto" w:fill="auto"/>
          </w:tcPr>
          <w:p w14:paraId="0000035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20</w:t>
            </w:r>
          </w:p>
        </w:tc>
        <w:tc>
          <w:tcPr>
            <w:cnfStyle w:val="000000010000"/>
            <w:tcW w:w="2551" w:type="dxa"/>
            <w:shd w:val="clear" w:color="auto" w:fill="auto"/>
          </w:tcPr>
          <w:p w14:paraId="0000035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995837.85</w:t>
            </w:r>
          </w:p>
        </w:tc>
        <w:tc>
          <w:tcPr>
            <w:cnfStyle w:val="000000010000"/>
            <w:tcW w:w="2977" w:type="dxa"/>
            <w:shd w:val="clear" w:color="auto" w:fill="auto"/>
          </w:tcPr>
          <w:p w14:paraId="0000035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2730960.47</w:t>
            </w:r>
          </w:p>
        </w:tc>
      </w:tr>
      <w:tr>
        <w:trPr>
          <w:wAfter w:w="0" w:type="dxa"/>
        </w:trPr>
        <w:tc>
          <w:tcPr>
            <w:cnfStyle w:val="001000100000"/>
            <w:tcW w:w="1631" w:type="dxa"/>
            <w:shd w:val="clear" w:color="auto" w:fill="auto"/>
          </w:tcPr>
          <w:p w14:paraId="0000035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21</w:t>
            </w:r>
          </w:p>
        </w:tc>
        <w:tc>
          <w:tcPr>
            <w:cnfStyle w:val="000000100000"/>
            <w:tcW w:w="2551" w:type="dxa"/>
            <w:shd w:val="clear" w:color="auto" w:fill="auto"/>
          </w:tcPr>
          <w:p w14:paraId="0000035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995772.89</w:t>
            </w:r>
          </w:p>
        </w:tc>
        <w:tc>
          <w:tcPr>
            <w:cnfStyle w:val="000000100000"/>
            <w:tcW w:w="2977" w:type="dxa"/>
            <w:shd w:val="clear" w:color="auto" w:fill="auto"/>
          </w:tcPr>
          <w:p w14:paraId="0000035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2730978.42</w:t>
            </w:r>
          </w:p>
        </w:tc>
      </w:tr>
      <w:tr>
        <w:trPr>
          <w:wAfter w:w="0" w:type="dxa"/>
        </w:trPr>
        <w:tc>
          <w:tcPr>
            <w:cnfStyle w:val="001000010000"/>
            <w:tcW w:w="1631" w:type="dxa"/>
            <w:shd w:val="clear" w:color="auto" w:fill="auto"/>
          </w:tcPr>
          <w:p w14:paraId="0000035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22</w:t>
            </w:r>
          </w:p>
        </w:tc>
        <w:tc>
          <w:tcPr>
            <w:cnfStyle w:val="000000010000"/>
            <w:tcW w:w="2551" w:type="dxa"/>
            <w:shd w:val="clear" w:color="auto" w:fill="auto"/>
          </w:tcPr>
          <w:p w14:paraId="0000035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995727.74</w:t>
            </w:r>
          </w:p>
        </w:tc>
        <w:tc>
          <w:tcPr>
            <w:cnfStyle w:val="000000010000"/>
            <w:tcW w:w="2977" w:type="dxa"/>
            <w:shd w:val="clear" w:color="auto" w:fill="auto"/>
          </w:tcPr>
          <w:p w14:paraId="0000035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2731020.87</w:t>
            </w:r>
          </w:p>
        </w:tc>
      </w:tr>
      <w:tr>
        <w:trPr>
          <w:wAfter w:w="0" w:type="dxa"/>
        </w:trPr>
        <w:tc>
          <w:tcPr>
            <w:cnfStyle w:val="001000100000"/>
            <w:tcW w:w="1631" w:type="dxa"/>
            <w:shd w:val="clear" w:color="auto" w:fill="auto"/>
          </w:tcPr>
          <w:p w14:paraId="0000035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23</w:t>
            </w:r>
          </w:p>
        </w:tc>
        <w:tc>
          <w:tcPr>
            <w:cnfStyle w:val="000000100000"/>
            <w:tcW w:w="2551" w:type="dxa"/>
            <w:shd w:val="clear" w:color="auto" w:fill="auto"/>
          </w:tcPr>
          <w:p w14:paraId="0000035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995711.43</w:t>
            </w:r>
          </w:p>
        </w:tc>
        <w:tc>
          <w:tcPr>
            <w:cnfStyle w:val="000000100000"/>
            <w:tcW w:w="2977" w:type="dxa"/>
            <w:shd w:val="clear" w:color="auto" w:fill="auto"/>
          </w:tcPr>
          <w:p w14:paraId="0000035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2731073.44</w:t>
            </w:r>
          </w:p>
        </w:tc>
      </w:tr>
      <w:tr>
        <w:trPr>
          <w:wAfter w:w="0" w:type="dxa"/>
        </w:trPr>
        <w:tc>
          <w:tcPr>
            <w:cnfStyle w:val="001000010000"/>
            <w:tcW w:w="1631" w:type="dxa"/>
            <w:shd w:val="clear" w:color="auto" w:fill="auto"/>
          </w:tcPr>
          <w:p w14:paraId="0000036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24</w:t>
            </w:r>
          </w:p>
        </w:tc>
        <w:tc>
          <w:tcPr>
            <w:cnfStyle w:val="000000010000"/>
            <w:tcW w:w="2551" w:type="dxa"/>
            <w:shd w:val="clear" w:color="auto" w:fill="auto"/>
          </w:tcPr>
          <w:p w14:paraId="0000036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995710.96</w:t>
            </w:r>
          </w:p>
        </w:tc>
        <w:tc>
          <w:tcPr>
            <w:cnfStyle w:val="000000010000"/>
            <w:tcW w:w="2977" w:type="dxa"/>
            <w:shd w:val="clear" w:color="auto" w:fill="auto"/>
          </w:tcPr>
          <w:p w14:paraId="0000036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2731157.05</w:t>
            </w:r>
          </w:p>
        </w:tc>
      </w:tr>
      <w:tr>
        <w:trPr>
          <w:wAfter w:w="0" w:type="dxa"/>
        </w:trPr>
        <w:tc>
          <w:tcPr>
            <w:cnfStyle w:val="001000100000"/>
            <w:tcW w:w="1631" w:type="dxa"/>
            <w:shd w:val="clear" w:color="auto" w:fill="auto"/>
          </w:tcPr>
          <w:p w14:paraId="0000036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25</w:t>
            </w:r>
          </w:p>
        </w:tc>
        <w:tc>
          <w:tcPr>
            <w:cnfStyle w:val="000000100000"/>
            <w:tcW w:w="2551" w:type="dxa"/>
            <w:shd w:val="clear" w:color="auto" w:fill="auto"/>
          </w:tcPr>
          <w:p w14:paraId="0000036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995707.68</w:t>
            </w:r>
          </w:p>
        </w:tc>
        <w:tc>
          <w:tcPr>
            <w:cnfStyle w:val="000000100000"/>
            <w:tcW w:w="2977" w:type="dxa"/>
            <w:shd w:val="clear" w:color="auto" w:fill="auto"/>
          </w:tcPr>
          <w:p w14:paraId="0000036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2731182.09</w:t>
            </w:r>
          </w:p>
        </w:tc>
      </w:tr>
      <w:tr>
        <w:trPr>
          <w:wAfter w:w="0" w:type="dxa"/>
        </w:trPr>
        <w:tc>
          <w:tcPr>
            <w:cnfStyle w:val="001000010000"/>
            <w:tcW w:w="1631" w:type="dxa"/>
            <w:shd w:val="clear" w:color="auto" w:fill="auto"/>
          </w:tcPr>
          <w:p w14:paraId="0000036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26</w:t>
            </w:r>
          </w:p>
        </w:tc>
        <w:tc>
          <w:tcPr>
            <w:cnfStyle w:val="000000010000"/>
            <w:tcW w:w="2551" w:type="dxa"/>
            <w:shd w:val="clear" w:color="auto" w:fill="auto"/>
          </w:tcPr>
          <w:p w14:paraId="0000036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995707.23</w:t>
            </w:r>
          </w:p>
        </w:tc>
        <w:tc>
          <w:tcPr>
            <w:cnfStyle w:val="000000010000"/>
            <w:tcW w:w="2977" w:type="dxa"/>
            <w:shd w:val="clear" w:color="auto" w:fill="auto"/>
          </w:tcPr>
          <w:p w14:paraId="0000036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2731194.42</w:t>
            </w:r>
          </w:p>
        </w:tc>
      </w:tr>
      <w:tr>
        <w:trPr>
          <w:wAfter w:w="0" w:type="dxa"/>
        </w:trPr>
        <w:tc>
          <w:tcPr>
            <w:cnfStyle w:val="001000100000"/>
            <w:tcW w:w="1631" w:type="dxa"/>
            <w:shd w:val="clear" w:color="auto" w:fill="auto"/>
          </w:tcPr>
          <w:p w14:paraId="0000036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6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995745.85</w:t>
            </w:r>
          </w:p>
        </w:tc>
        <w:tc>
          <w:tcPr>
            <w:cnfStyle w:val="000000100000"/>
            <w:tcW w:w="2977" w:type="dxa"/>
            <w:shd w:val="clear" w:color="auto" w:fill="auto"/>
          </w:tcPr>
          <w:p w14:paraId="0000036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2731194.86</w:t>
            </w:r>
          </w:p>
        </w:tc>
      </w:tr>
    </w:tbl>
    <w:p w14:paraId="0000036C">
      <w:pPr>
        <w:pStyle w:val="Normal"/>
        <w:jc w:val="center"/>
        <w:rPr>
          <w:color w:val="000000"/>
          <w:sz w:val="24"/>
          <w:szCs w:val="24"/>
          <w:lang w:eastAsia="en-US"/>
        </w:rPr>
      </w:pPr>
    </w:p>
    <w:p w14:paraId="0000036D">
      <w:pPr>
        <w:pStyle w:val="Normal"/>
        <w:jc w:val="center"/>
        <w:rPr>
          <w:color w:val="000000"/>
          <w:sz w:val="24"/>
          <w:szCs w:val="24"/>
          <w:lang w:eastAsia="en-US"/>
        </w:rPr>
      </w:pPr>
    </w:p>
    <w:p w14:paraId="0000036E">
      <w:pPr>
        <w:pStyle w:val="Normal"/>
        <w:shd w:val="clear" w:color="auto" w:fill="ffffff"/>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Перечень координат  характерных точек образуемого</w:t>
      </w:r>
    </w:p>
    <w:p w14:paraId="0000036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земельного участка 86:02:0808002:390:ЗУ2</w:t>
      </w:r>
    </w:p>
    <w:p w14:paraId="00000370">
      <w:pPr>
        <w:pStyle w:val="Normal"/>
        <w:shd w:val="clear" w:color="auto" w:fill="ffffff"/>
        <w:jc w:val="center"/>
        <w:rPr>
          <w:color w:val="000000"/>
          <w:sz w:val="24"/>
          <w:szCs w:val="24"/>
          <w:lang w:eastAsia="en-US"/>
        </w:rPr>
      </w:pPr>
    </w:p>
    <w:tbl>
      <w:tblPr>
        <w:tblW w:w="0" w:type="auto"/>
        <w:jc w:val="center"/>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631"/>
        <w:gridCol w:w="2551"/>
        <w:gridCol w:w="2977"/>
      </w:tblGrid>
      <w:tr>
        <w:trPr>
          <w:wAfter w:w="0" w:type="dxa"/>
          <w:tblHeader w:val="on"/>
        </w:trPr>
        <w:tc>
          <w:tcPr>
            <w:cnfStyle w:val="101000000000"/>
            <w:tcW w:w="1631" w:type="dxa"/>
            <w:shd w:val="clear" w:color="auto" w:fill="auto"/>
            <w:vAlign w:val="center"/>
          </w:tcPr>
          <w:p w14:paraId="00000371">
            <w:pPr>
              <w:pStyle w:val="Normal"/>
              <w:jc w:val="center"/>
              <w:rPr>
                <w:rFonts w:ascii="Times New Roman" w:cs="Times New Roman" w:hAnsi="Times New Roman"/>
                <w:color w:val="000000"/>
                <w:sz w:val="24"/>
                <w:szCs w:val="24"/>
                <w:lang w:eastAsia="en-US"/>
              </w:rPr>
            </w:pPr>
          </w:p>
          <w:p w14:paraId="0000037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Номер</w:t>
            </w:r>
          </w:p>
        </w:tc>
        <w:tc>
          <w:tcPr>
            <w:cnfStyle w:val="100000000000"/>
            <w:tcW w:w="2551" w:type="dxa"/>
            <w:shd w:val="clear" w:color="auto" w:fill="auto"/>
            <w:vAlign w:val="center"/>
          </w:tcPr>
          <w:p w14:paraId="0000037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X</w:t>
            </w:r>
          </w:p>
        </w:tc>
        <w:tc>
          <w:tcPr>
            <w:cnfStyle w:val="100000000000"/>
            <w:tcW w:w="2977" w:type="dxa"/>
            <w:shd w:val="clear" w:color="auto" w:fill="auto"/>
            <w:vAlign w:val="center"/>
          </w:tcPr>
          <w:p w14:paraId="0000037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Y</w:t>
            </w:r>
          </w:p>
        </w:tc>
      </w:tr>
      <w:tr>
        <w:trPr>
          <w:wAfter w:w="0" w:type="dxa"/>
        </w:trPr>
        <w:tc>
          <w:tcPr>
            <w:cnfStyle w:val="001000100000"/>
            <w:tcW w:w="1631" w:type="dxa"/>
            <w:shd w:val="clear" w:color="auto" w:fill="auto"/>
          </w:tcPr>
          <w:p w14:paraId="0000037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7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996223.94</w:t>
            </w:r>
          </w:p>
        </w:tc>
        <w:tc>
          <w:tcPr>
            <w:cnfStyle w:val="000000100000"/>
            <w:tcW w:w="2977" w:type="dxa"/>
            <w:shd w:val="clear" w:color="auto" w:fill="auto"/>
          </w:tcPr>
          <w:p w14:paraId="0000037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2730700.65</w:t>
            </w:r>
          </w:p>
        </w:tc>
      </w:tr>
      <w:tr>
        <w:trPr>
          <w:wAfter w:w="0" w:type="dxa"/>
          <w:trHeight w:val="355" w:hRule="atLeast"/>
        </w:trPr>
        <w:tc>
          <w:tcPr>
            <w:cnfStyle w:val="001000010000"/>
            <w:tcW w:w="1631" w:type="dxa"/>
            <w:shd w:val="clear" w:color="auto" w:fill="auto"/>
          </w:tcPr>
          <w:p w14:paraId="0000037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w:t>
            </w:r>
          </w:p>
        </w:tc>
        <w:tc>
          <w:tcPr>
            <w:cnfStyle w:val="000000010000"/>
            <w:tcW w:w="2551" w:type="dxa"/>
            <w:shd w:val="clear" w:color="auto" w:fill="auto"/>
          </w:tcPr>
          <w:p w14:paraId="0000037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996524.00</w:t>
            </w:r>
          </w:p>
        </w:tc>
        <w:tc>
          <w:tcPr>
            <w:cnfStyle w:val="000000010000"/>
            <w:tcW w:w="2977" w:type="dxa"/>
            <w:shd w:val="clear" w:color="auto" w:fill="auto"/>
          </w:tcPr>
          <w:p w14:paraId="0000037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2730967.59</w:t>
            </w:r>
          </w:p>
        </w:tc>
      </w:tr>
      <w:tr>
        <w:trPr>
          <w:wAfter w:w="0" w:type="dxa"/>
        </w:trPr>
        <w:tc>
          <w:tcPr>
            <w:cnfStyle w:val="001000100000"/>
            <w:tcW w:w="1631" w:type="dxa"/>
            <w:shd w:val="clear" w:color="auto" w:fill="auto"/>
          </w:tcPr>
          <w:p w14:paraId="0000037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w:t>
            </w:r>
          </w:p>
        </w:tc>
        <w:tc>
          <w:tcPr>
            <w:cnfStyle w:val="000000100000"/>
            <w:tcW w:w="2551" w:type="dxa"/>
            <w:shd w:val="clear" w:color="auto" w:fill="auto"/>
          </w:tcPr>
          <w:p w14:paraId="0000037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996349.20</w:t>
            </w:r>
          </w:p>
        </w:tc>
        <w:tc>
          <w:tcPr>
            <w:cnfStyle w:val="000000100000"/>
            <w:tcW w:w="2977" w:type="dxa"/>
            <w:shd w:val="clear" w:color="auto" w:fill="auto"/>
          </w:tcPr>
          <w:p w14:paraId="0000037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2731164.08</w:t>
            </w:r>
          </w:p>
        </w:tc>
      </w:tr>
      <w:tr>
        <w:trPr>
          <w:wAfter w:w="0" w:type="dxa"/>
        </w:trPr>
        <w:tc>
          <w:tcPr>
            <w:cnfStyle w:val="001000010000"/>
            <w:tcW w:w="1631" w:type="dxa"/>
            <w:shd w:val="clear" w:color="auto" w:fill="auto"/>
          </w:tcPr>
          <w:p w14:paraId="0000037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w:t>
            </w:r>
          </w:p>
        </w:tc>
        <w:tc>
          <w:tcPr>
            <w:cnfStyle w:val="000000010000"/>
            <w:tcW w:w="2551" w:type="dxa"/>
            <w:shd w:val="clear" w:color="auto" w:fill="auto"/>
          </w:tcPr>
          <w:p w14:paraId="0000037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996237.28</w:t>
            </w:r>
          </w:p>
        </w:tc>
        <w:tc>
          <w:tcPr>
            <w:cnfStyle w:val="000000010000"/>
            <w:tcW w:w="2977" w:type="dxa"/>
            <w:shd w:val="clear" w:color="auto" w:fill="auto"/>
          </w:tcPr>
          <w:p w14:paraId="0000038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2731064.51</w:t>
            </w:r>
          </w:p>
        </w:tc>
      </w:tr>
      <w:tr>
        <w:trPr>
          <w:wAfter w:w="0" w:type="dxa"/>
        </w:trPr>
        <w:tc>
          <w:tcPr>
            <w:cnfStyle w:val="001000100000"/>
            <w:tcW w:w="1631" w:type="dxa"/>
            <w:shd w:val="clear" w:color="auto" w:fill="auto"/>
          </w:tcPr>
          <w:p w14:paraId="0000038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5</w:t>
            </w:r>
          </w:p>
        </w:tc>
        <w:tc>
          <w:tcPr>
            <w:cnfStyle w:val="000000100000"/>
            <w:tcW w:w="2551" w:type="dxa"/>
            <w:shd w:val="clear" w:color="auto" w:fill="auto"/>
          </w:tcPr>
          <w:p w14:paraId="0000038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996098.97</w:t>
            </w:r>
          </w:p>
        </w:tc>
        <w:tc>
          <w:tcPr>
            <w:cnfStyle w:val="000000100000"/>
            <w:tcW w:w="2977" w:type="dxa"/>
            <w:shd w:val="clear" w:color="auto" w:fill="auto"/>
          </w:tcPr>
          <w:p w14:paraId="0000038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2730941.47</w:t>
            </w:r>
          </w:p>
        </w:tc>
      </w:tr>
      <w:tr>
        <w:trPr>
          <w:wAfter w:w="0" w:type="dxa"/>
        </w:trPr>
        <w:tc>
          <w:tcPr>
            <w:cnfStyle w:val="001000010000"/>
            <w:tcW w:w="1631" w:type="dxa"/>
            <w:shd w:val="clear" w:color="auto" w:fill="auto"/>
          </w:tcPr>
          <w:p w14:paraId="0000038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6</w:t>
            </w:r>
          </w:p>
        </w:tc>
        <w:tc>
          <w:tcPr>
            <w:cnfStyle w:val="000000010000"/>
            <w:tcW w:w="2551" w:type="dxa"/>
            <w:shd w:val="clear" w:color="auto" w:fill="auto"/>
          </w:tcPr>
          <w:p w14:paraId="0000038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996081.53</w:t>
            </w:r>
          </w:p>
        </w:tc>
        <w:tc>
          <w:tcPr>
            <w:cnfStyle w:val="000000010000"/>
            <w:tcW w:w="2977" w:type="dxa"/>
            <w:shd w:val="clear" w:color="auto" w:fill="auto"/>
          </w:tcPr>
          <w:p w14:paraId="0000038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2730925.96</w:t>
            </w:r>
          </w:p>
        </w:tc>
      </w:tr>
      <w:tr>
        <w:trPr>
          <w:wAfter w:w="0" w:type="dxa"/>
        </w:trPr>
        <w:tc>
          <w:tcPr>
            <w:cnfStyle w:val="001000100000"/>
            <w:tcW w:w="1631" w:type="dxa"/>
            <w:shd w:val="clear" w:color="auto" w:fill="auto"/>
          </w:tcPr>
          <w:p w14:paraId="0000038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7</w:t>
            </w:r>
          </w:p>
        </w:tc>
        <w:tc>
          <w:tcPr>
            <w:cnfStyle w:val="000000100000"/>
            <w:tcW w:w="2551" w:type="dxa"/>
            <w:shd w:val="clear" w:color="auto" w:fill="auto"/>
          </w:tcPr>
          <w:p w14:paraId="0000038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996049.15</w:t>
            </w:r>
          </w:p>
        </w:tc>
        <w:tc>
          <w:tcPr>
            <w:cnfStyle w:val="000000100000"/>
            <w:tcW w:w="2977" w:type="dxa"/>
            <w:shd w:val="clear" w:color="auto" w:fill="auto"/>
          </w:tcPr>
          <w:p w14:paraId="0000038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2730897.14</w:t>
            </w:r>
          </w:p>
        </w:tc>
      </w:tr>
      <w:tr>
        <w:trPr>
          <w:wAfter w:w="0" w:type="dxa"/>
        </w:trPr>
        <w:tc>
          <w:tcPr>
            <w:cnfStyle w:val="001000010000"/>
            <w:tcW w:w="1631" w:type="dxa"/>
            <w:shd w:val="clear" w:color="auto" w:fill="auto"/>
          </w:tcPr>
          <w:p w14:paraId="0000038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w:t>
            </w:r>
          </w:p>
        </w:tc>
        <w:tc>
          <w:tcPr>
            <w:cnfStyle w:val="000000010000"/>
            <w:tcW w:w="2551" w:type="dxa"/>
            <w:shd w:val="clear" w:color="auto" w:fill="auto"/>
          </w:tcPr>
          <w:p w14:paraId="0000038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996095.66</w:t>
            </w:r>
          </w:p>
        </w:tc>
        <w:tc>
          <w:tcPr>
            <w:cnfStyle w:val="000000010000"/>
            <w:tcW w:w="2977" w:type="dxa"/>
            <w:shd w:val="clear" w:color="auto" w:fill="auto"/>
          </w:tcPr>
          <w:p w14:paraId="0000038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2730844.86</w:t>
            </w:r>
          </w:p>
        </w:tc>
      </w:tr>
      <w:tr>
        <w:trPr>
          <w:wAfter w:w="0" w:type="dxa"/>
        </w:trPr>
        <w:tc>
          <w:tcPr>
            <w:cnfStyle w:val="001000100000"/>
            <w:tcW w:w="1631" w:type="dxa"/>
            <w:shd w:val="clear" w:color="auto" w:fill="auto"/>
          </w:tcPr>
          <w:p w14:paraId="0000038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8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996223.94</w:t>
            </w:r>
          </w:p>
        </w:tc>
        <w:tc>
          <w:tcPr>
            <w:cnfStyle w:val="000000100000"/>
            <w:tcW w:w="2977" w:type="dxa"/>
            <w:shd w:val="clear" w:color="auto" w:fill="auto"/>
          </w:tcPr>
          <w:p w14:paraId="0000038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2730700.65</w:t>
            </w:r>
          </w:p>
        </w:tc>
      </w:tr>
    </w:tbl>
    <w:p w14:paraId="00000390">
      <w:pPr>
        <w:pStyle w:val="Normal"/>
        <w:jc w:val="center"/>
        <w:rPr>
          <w:color w:val="000000"/>
          <w:sz w:val="24"/>
          <w:szCs w:val="24"/>
          <w:lang w:eastAsia="en-US"/>
        </w:rPr>
      </w:pPr>
    </w:p>
    <w:p w14:paraId="00000391">
      <w:pPr>
        <w:pStyle w:val="Normal"/>
        <w:shd w:val="clear" w:color="auto" w:fill="ffffff"/>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Перечень координат  характерных точек образуемого</w:t>
      </w:r>
    </w:p>
    <w:p w14:paraId="0000039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земельного участка 86:02:0808002: 390:ЗУ3</w:t>
      </w:r>
    </w:p>
    <w:p w14:paraId="00000393">
      <w:pPr>
        <w:pStyle w:val="Normal"/>
        <w:shd w:val="clear" w:color="auto" w:fill="ffffff"/>
        <w:jc w:val="center"/>
        <w:rPr>
          <w:color w:val="000000"/>
          <w:sz w:val="24"/>
          <w:szCs w:val="24"/>
          <w:lang w:eastAsia="en-US"/>
        </w:rPr>
      </w:pPr>
    </w:p>
    <w:tbl>
      <w:tblPr>
        <w:tblW w:w="0" w:type="auto"/>
        <w:jc w:val="center"/>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631"/>
        <w:gridCol w:w="2551"/>
        <w:gridCol w:w="2977"/>
      </w:tblGrid>
      <w:tr>
        <w:trPr>
          <w:wAfter w:w="0" w:type="dxa"/>
          <w:tblHeader w:val="on"/>
        </w:trPr>
        <w:tc>
          <w:tcPr>
            <w:cnfStyle w:val="101000000000"/>
            <w:tcW w:w="1631" w:type="dxa"/>
            <w:shd w:val="clear" w:color="auto" w:fill="auto"/>
            <w:vAlign w:val="center"/>
          </w:tcPr>
          <w:p w14:paraId="00000394">
            <w:pPr>
              <w:pStyle w:val="Normal"/>
              <w:jc w:val="center"/>
              <w:rPr>
                <w:rFonts w:ascii="Times New Roman" w:cs="Times New Roman" w:hAnsi="Times New Roman"/>
                <w:color w:val="000000"/>
                <w:sz w:val="24"/>
                <w:szCs w:val="24"/>
                <w:lang w:eastAsia="en-US"/>
              </w:rPr>
            </w:pPr>
          </w:p>
          <w:p w14:paraId="0000039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Номер</w:t>
            </w:r>
          </w:p>
        </w:tc>
        <w:tc>
          <w:tcPr>
            <w:cnfStyle w:val="100000000000"/>
            <w:tcW w:w="2551" w:type="dxa"/>
            <w:shd w:val="clear" w:color="auto" w:fill="auto"/>
            <w:vAlign w:val="center"/>
          </w:tcPr>
          <w:p w14:paraId="0000039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X</w:t>
            </w:r>
          </w:p>
        </w:tc>
        <w:tc>
          <w:tcPr>
            <w:cnfStyle w:val="100000000000"/>
            <w:tcW w:w="2977" w:type="dxa"/>
            <w:shd w:val="clear" w:color="auto" w:fill="auto"/>
            <w:vAlign w:val="center"/>
          </w:tcPr>
          <w:p w14:paraId="0000039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Y</w:t>
            </w:r>
          </w:p>
        </w:tc>
      </w:tr>
      <w:tr>
        <w:trPr>
          <w:wAfter w:w="0" w:type="dxa"/>
        </w:trPr>
        <w:tc>
          <w:tcPr>
            <w:cnfStyle w:val="001000100000"/>
            <w:tcW w:w="1631" w:type="dxa"/>
            <w:shd w:val="clear" w:color="auto" w:fill="auto"/>
          </w:tcPr>
          <w:p w14:paraId="0000039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9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995897.66</w:t>
            </w:r>
          </w:p>
        </w:tc>
        <w:tc>
          <w:tcPr>
            <w:cnfStyle w:val="000000100000"/>
            <w:tcW w:w="2977" w:type="dxa"/>
            <w:shd w:val="clear" w:color="auto" w:fill="auto"/>
          </w:tcPr>
          <w:p w14:paraId="0000039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2730960.79</w:t>
            </w:r>
          </w:p>
        </w:tc>
      </w:tr>
      <w:tr>
        <w:trPr>
          <w:wAfter w:w="0" w:type="dxa"/>
          <w:trHeight w:val="355" w:hRule="atLeast"/>
        </w:trPr>
        <w:tc>
          <w:tcPr>
            <w:cnfStyle w:val="001000010000"/>
            <w:tcW w:w="1631" w:type="dxa"/>
            <w:shd w:val="clear" w:color="auto" w:fill="auto"/>
          </w:tcPr>
          <w:p w14:paraId="0000039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w:t>
            </w:r>
          </w:p>
        </w:tc>
        <w:tc>
          <w:tcPr>
            <w:cnfStyle w:val="000000010000"/>
            <w:tcW w:w="2551" w:type="dxa"/>
            <w:shd w:val="clear" w:color="auto" w:fill="auto"/>
          </w:tcPr>
          <w:p w14:paraId="0000039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995985.11</w:t>
            </w:r>
          </w:p>
        </w:tc>
        <w:tc>
          <w:tcPr>
            <w:cnfStyle w:val="000000010000"/>
            <w:tcW w:w="2977" w:type="dxa"/>
            <w:shd w:val="clear" w:color="auto" w:fill="auto"/>
          </w:tcPr>
          <w:p w14:paraId="0000039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2730953.13</w:t>
            </w:r>
          </w:p>
        </w:tc>
      </w:tr>
      <w:tr>
        <w:trPr>
          <w:wAfter w:w="0" w:type="dxa"/>
        </w:trPr>
        <w:tc>
          <w:tcPr>
            <w:cnfStyle w:val="001000100000"/>
            <w:tcW w:w="1631" w:type="dxa"/>
            <w:shd w:val="clear" w:color="auto" w:fill="auto"/>
          </w:tcPr>
          <w:p w14:paraId="0000039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w:t>
            </w:r>
          </w:p>
        </w:tc>
        <w:tc>
          <w:tcPr>
            <w:cnfStyle w:val="000000100000"/>
            <w:tcW w:w="2551" w:type="dxa"/>
            <w:shd w:val="clear" w:color="auto" w:fill="auto"/>
          </w:tcPr>
          <w:p w14:paraId="0000039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996035.72</w:t>
            </w:r>
          </w:p>
        </w:tc>
        <w:tc>
          <w:tcPr>
            <w:cnfStyle w:val="000000100000"/>
            <w:tcW w:w="2977" w:type="dxa"/>
            <w:shd w:val="clear" w:color="auto" w:fill="auto"/>
          </w:tcPr>
          <w:p w14:paraId="000003A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2730948.47</w:t>
            </w:r>
          </w:p>
        </w:tc>
      </w:tr>
      <w:tr>
        <w:trPr>
          <w:wAfter w:w="0" w:type="dxa"/>
        </w:trPr>
        <w:tc>
          <w:tcPr>
            <w:cnfStyle w:val="001000010000"/>
            <w:tcW w:w="1631" w:type="dxa"/>
            <w:shd w:val="clear" w:color="auto" w:fill="auto"/>
          </w:tcPr>
          <w:p w14:paraId="000003A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w:t>
            </w:r>
          </w:p>
        </w:tc>
        <w:tc>
          <w:tcPr>
            <w:cnfStyle w:val="000000010000"/>
            <w:tcW w:w="2551" w:type="dxa"/>
            <w:shd w:val="clear" w:color="auto" w:fill="auto"/>
          </w:tcPr>
          <w:p w14:paraId="000003A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996050.58</w:t>
            </w:r>
          </w:p>
        </w:tc>
        <w:tc>
          <w:tcPr>
            <w:cnfStyle w:val="000000010000"/>
            <w:tcW w:w="2977" w:type="dxa"/>
            <w:shd w:val="clear" w:color="auto" w:fill="auto"/>
          </w:tcPr>
          <w:p w14:paraId="000003A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2730947.10</w:t>
            </w:r>
          </w:p>
        </w:tc>
      </w:tr>
      <w:tr>
        <w:trPr>
          <w:wAfter w:w="0" w:type="dxa"/>
        </w:trPr>
        <w:tc>
          <w:tcPr>
            <w:cnfStyle w:val="001000100000"/>
            <w:tcW w:w="1631" w:type="dxa"/>
            <w:shd w:val="clear" w:color="auto" w:fill="auto"/>
          </w:tcPr>
          <w:p w14:paraId="000003A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5</w:t>
            </w:r>
          </w:p>
        </w:tc>
        <w:tc>
          <w:tcPr>
            <w:cnfStyle w:val="000000100000"/>
            <w:tcW w:w="2551" w:type="dxa"/>
            <w:shd w:val="clear" w:color="auto" w:fill="auto"/>
          </w:tcPr>
          <w:p w14:paraId="000003A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996098.97</w:t>
            </w:r>
          </w:p>
        </w:tc>
        <w:tc>
          <w:tcPr>
            <w:cnfStyle w:val="000000100000"/>
            <w:tcW w:w="2977" w:type="dxa"/>
            <w:shd w:val="clear" w:color="auto" w:fill="auto"/>
          </w:tcPr>
          <w:p w14:paraId="000003A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2730941.47</w:t>
            </w:r>
          </w:p>
        </w:tc>
      </w:tr>
      <w:tr>
        <w:trPr>
          <w:wAfter w:w="0" w:type="dxa"/>
        </w:trPr>
        <w:tc>
          <w:tcPr>
            <w:cnfStyle w:val="001000010000"/>
            <w:tcW w:w="1631" w:type="dxa"/>
            <w:shd w:val="clear" w:color="auto" w:fill="auto"/>
          </w:tcPr>
          <w:p w14:paraId="000003A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6</w:t>
            </w:r>
          </w:p>
        </w:tc>
        <w:tc>
          <w:tcPr>
            <w:cnfStyle w:val="000000010000"/>
            <w:tcW w:w="2551" w:type="dxa"/>
            <w:shd w:val="clear" w:color="auto" w:fill="auto"/>
          </w:tcPr>
          <w:p w14:paraId="000003A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996081.53</w:t>
            </w:r>
          </w:p>
        </w:tc>
        <w:tc>
          <w:tcPr>
            <w:cnfStyle w:val="000000010000"/>
            <w:tcW w:w="2977" w:type="dxa"/>
            <w:shd w:val="clear" w:color="auto" w:fill="auto"/>
          </w:tcPr>
          <w:p w14:paraId="000003A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2730925.96</w:t>
            </w:r>
          </w:p>
        </w:tc>
      </w:tr>
      <w:tr>
        <w:trPr>
          <w:wAfter w:w="0" w:type="dxa"/>
        </w:trPr>
        <w:tc>
          <w:tcPr>
            <w:cnfStyle w:val="001000100000"/>
            <w:tcW w:w="1631" w:type="dxa"/>
            <w:shd w:val="clear" w:color="auto" w:fill="auto"/>
          </w:tcPr>
          <w:p w14:paraId="000003A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7</w:t>
            </w:r>
          </w:p>
        </w:tc>
        <w:tc>
          <w:tcPr>
            <w:cnfStyle w:val="000000100000"/>
            <w:tcW w:w="2551" w:type="dxa"/>
            <w:shd w:val="clear" w:color="auto" w:fill="auto"/>
          </w:tcPr>
          <w:p w14:paraId="000003A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996015.64</w:t>
            </w:r>
          </w:p>
        </w:tc>
        <w:tc>
          <w:tcPr>
            <w:cnfStyle w:val="000000100000"/>
            <w:tcW w:w="2977" w:type="dxa"/>
            <w:shd w:val="clear" w:color="auto" w:fill="auto"/>
          </w:tcPr>
          <w:p w14:paraId="000003A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2730930.61</w:t>
            </w:r>
          </w:p>
        </w:tc>
      </w:tr>
      <w:tr>
        <w:trPr>
          <w:wAfter w:w="0" w:type="dxa"/>
        </w:trPr>
        <w:tc>
          <w:tcPr>
            <w:cnfStyle w:val="001000010000"/>
            <w:tcW w:w="1631" w:type="dxa"/>
            <w:shd w:val="clear" w:color="auto" w:fill="auto"/>
          </w:tcPr>
          <w:p w14:paraId="000003A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w:t>
            </w:r>
          </w:p>
        </w:tc>
        <w:tc>
          <w:tcPr>
            <w:cnfStyle w:val="000000010000"/>
            <w:tcW w:w="2551" w:type="dxa"/>
            <w:shd w:val="clear" w:color="auto" w:fill="auto"/>
          </w:tcPr>
          <w:p w14:paraId="000003A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996000.99</w:t>
            </w:r>
          </w:p>
        </w:tc>
        <w:tc>
          <w:tcPr>
            <w:cnfStyle w:val="000000010000"/>
            <w:tcW w:w="2977" w:type="dxa"/>
            <w:shd w:val="clear" w:color="auto" w:fill="auto"/>
          </w:tcPr>
          <w:p w14:paraId="000003A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2730931.64</w:t>
            </w:r>
          </w:p>
        </w:tc>
      </w:tr>
      <w:tr>
        <w:trPr>
          <w:wAfter w:w="0" w:type="dxa"/>
        </w:trPr>
        <w:tc>
          <w:tcPr>
            <w:cnfStyle w:val="001000100000"/>
            <w:tcW w:w="1631" w:type="dxa"/>
            <w:shd w:val="clear" w:color="auto" w:fill="auto"/>
          </w:tcPr>
          <w:p w14:paraId="000003B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w:t>
            </w:r>
          </w:p>
        </w:tc>
        <w:tc>
          <w:tcPr>
            <w:cnfStyle w:val="000000100000"/>
            <w:tcW w:w="2551" w:type="dxa"/>
            <w:shd w:val="clear" w:color="auto" w:fill="auto"/>
          </w:tcPr>
          <w:p w14:paraId="000003B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995846.73</w:t>
            </w:r>
          </w:p>
        </w:tc>
        <w:tc>
          <w:tcPr>
            <w:cnfStyle w:val="000000100000"/>
            <w:tcW w:w="2977" w:type="dxa"/>
            <w:shd w:val="clear" w:color="auto" w:fill="auto"/>
          </w:tcPr>
          <w:p w14:paraId="000003B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2730942.53</w:t>
            </w:r>
          </w:p>
        </w:tc>
      </w:tr>
      <w:tr>
        <w:trPr>
          <w:wAfter w:w="0" w:type="dxa"/>
        </w:trPr>
        <w:tc>
          <w:tcPr>
            <w:cnfStyle w:val="001000010000"/>
            <w:tcW w:w="1631" w:type="dxa"/>
            <w:shd w:val="clear" w:color="auto" w:fill="auto"/>
          </w:tcPr>
          <w:p w14:paraId="000003B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10</w:t>
            </w:r>
          </w:p>
        </w:tc>
        <w:tc>
          <w:tcPr>
            <w:cnfStyle w:val="000000010000"/>
            <w:tcW w:w="2551" w:type="dxa"/>
            <w:shd w:val="clear" w:color="auto" w:fill="auto"/>
          </w:tcPr>
          <w:p w14:paraId="000003B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995848.04</w:t>
            </w:r>
          </w:p>
        </w:tc>
        <w:tc>
          <w:tcPr>
            <w:cnfStyle w:val="000000010000"/>
            <w:tcW w:w="2977" w:type="dxa"/>
            <w:shd w:val="clear" w:color="auto" w:fill="auto"/>
          </w:tcPr>
          <w:p w14:paraId="000003B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2730960.53</w:t>
            </w:r>
          </w:p>
        </w:tc>
      </w:tr>
      <w:tr>
        <w:trPr>
          <w:wAfter w:w="0" w:type="dxa"/>
        </w:trPr>
        <w:tc>
          <w:tcPr>
            <w:cnfStyle w:val="001000100000"/>
            <w:tcW w:w="1631" w:type="dxa"/>
            <w:shd w:val="clear" w:color="auto" w:fill="auto"/>
          </w:tcPr>
          <w:p w14:paraId="000003B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11</w:t>
            </w:r>
          </w:p>
        </w:tc>
        <w:tc>
          <w:tcPr>
            <w:cnfStyle w:val="000000100000"/>
            <w:tcW w:w="2551" w:type="dxa"/>
            <w:shd w:val="clear" w:color="auto" w:fill="auto"/>
          </w:tcPr>
          <w:p w14:paraId="000003B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995772.19</w:t>
            </w:r>
          </w:p>
        </w:tc>
        <w:tc>
          <w:tcPr>
            <w:cnfStyle w:val="000000100000"/>
            <w:tcW w:w="2977" w:type="dxa"/>
            <w:shd w:val="clear" w:color="auto" w:fill="auto"/>
          </w:tcPr>
          <w:p w14:paraId="000003B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2731195.16</w:t>
            </w:r>
          </w:p>
        </w:tc>
      </w:tr>
      <w:tr>
        <w:trPr>
          <w:wAfter w:w="0" w:type="dxa"/>
        </w:trPr>
        <w:tc>
          <w:tcPr>
            <w:cnfStyle w:val="001000010000"/>
            <w:tcW w:w="1631" w:type="dxa"/>
            <w:shd w:val="clear" w:color="auto" w:fill="auto"/>
          </w:tcPr>
          <w:p w14:paraId="000003B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12</w:t>
            </w:r>
          </w:p>
        </w:tc>
        <w:tc>
          <w:tcPr>
            <w:cnfStyle w:val="000000010000"/>
            <w:tcW w:w="2551" w:type="dxa"/>
            <w:shd w:val="clear" w:color="auto" w:fill="auto"/>
          </w:tcPr>
          <w:p w14:paraId="000003B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995772.88</w:t>
            </w:r>
          </w:p>
        </w:tc>
        <w:tc>
          <w:tcPr>
            <w:cnfStyle w:val="000000010000"/>
            <w:tcW w:w="2977" w:type="dxa"/>
            <w:shd w:val="clear" w:color="auto" w:fill="auto"/>
          </w:tcPr>
          <w:p w14:paraId="000003B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2731099.05</w:t>
            </w:r>
          </w:p>
        </w:tc>
      </w:tr>
      <w:tr>
        <w:trPr>
          <w:wAfter w:w="0" w:type="dxa"/>
        </w:trPr>
        <w:tc>
          <w:tcPr>
            <w:cnfStyle w:val="001000100000"/>
            <w:tcW w:w="1631" w:type="dxa"/>
            <w:shd w:val="clear" w:color="auto" w:fill="auto"/>
          </w:tcPr>
          <w:p w14:paraId="000003B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13</w:t>
            </w:r>
          </w:p>
        </w:tc>
        <w:tc>
          <w:tcPr>
            <w:cnfStyle w:val="000000100000"/>
            <w:tcW w:w="2551" w:type="dxa"/>
            <w:shd w:val="clear" w:color="auto" w:fill="auto"/>
          </w:tcPr>
          <w:p w14:paraId="000003B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995774.86</w:t>
            </w:r>
          </w:p>
        </w:tc>
        <w:tc>
          <w:tcPr>
            <w:cnfStyle w:val="000000100000"/>
            <w:tcW w:w="2977" w:type="dxa"/>
            <w:shd w:val="clear" w:color="auto" w:fill="auto"/>
          </w:tcPr>
          <w:p w14:paraId="000003B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2731088.80</w:t>
            </w:r>
          </w:p>
        </w:tc>
      </w:tr>
      <w:tr>
        <w:trPr>
          <w:wAfter w:w="0" w:type="dxa"/>
        </w:trPr>
        <w:tc>
          <w:tcPr>
            <w:cnfStyle w:val="001000010000"/>
            <w:tcW w:w="1631" w:type="dxa"/>
            <w:shd w:val="clear" w:color="auto" w:fill="auto"/>
          </w:tcPr>
          <w:p w14:paraId="000003B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14</w:t>
            </w:r>
          </w:p>
        </w:tc>
        <w:tc>
          <w:tcPr>
            <w:cnfStyle w:val="000000010000"/>
            <w:tcW w:w="2551" w:type="dxa"/>
            <w:shd w:val="clear" w:color="auto" w:fill="auto"/>
          </w:tcPr>
          <w:p w14:paraId="000003C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995786.59</w:t>
            </w:r>
          </w:p>
        </w:tc>
        <w:tc>
          <w:tcPr>
            <w:cnfStyle w:val="000000010000"/>
            <w:tcW w:w="2977" w:type="dxa"/>
            <w:shd w:val="clear" w:color="auto" w:fill="auto"/>
          </w:tcPr>
          <w:p w14:paraId="000003C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2731075.24</w:t>
            </w:r>
          </w:p>
        </w:tc>
      </w:tr>
      <w:tr>
        <w:trPr>
          <w:wAfter w:w="0" w:type="dxa"/>
        </w:trPr>
        <w:tc>
          <w:tcPr>
            <w:cnfStyle w:val="001000100000"/>
            <w:tcW w:w="1631" w:type="dxa"/>
            <w:shd w:val="clear" w:color="auto" w:fill="auto"/>
          </w:tcPr>
          <w:p w14:paraId="000003C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15</w:t>
            </w:r>
          </w:p>
        </w:tc>
        <w:tc>
          <w:tcPr>
            <w:cnfStyle w:val="000000100000"/>
            <w:tcW w:w="2551" w:type="dxa"/>
            <w:shd w:val="clear" w:color="auto" w:fill="auto"/>
          </w:tcPr>
          <w:p w14:paraId="000003C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995879.96</w:t>
            </w:r>
          </w:p>
        </w:tc>
        <w:tc>
          <w:tcPr>
            <w:cnfStyle w:val="000000100000"/>
            <w:tcW w:w="2977" w:type="dxa"/>
            <w:shd w:val="clear" w:color="auto" w:fill="auto"/>
          </w:tcPr>
          <w:p w14:paraId="000003C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2731068.46</w:t>
            </w:r>
          </w:p>
        </w:tc>
      </w:tr>
      <w:tr>
        <w:trPr>
          <w:wAfter w:w="0" w:type="dxa"/>
        </w:trPr>
        <w:tc>
          <w:tcPr>
            <w:cnfStyle w:val="001000010000"/>
            <w:tcW w:w="1631" w:type="dxa"/>
            <w:shd w:val="clear" w:color="auto" w:fill="auto"/>
          </w:tcPr>
          <w:p w14:paraId="000003C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16</w:t>
            </w:r>
          </w:p>
        </w:tc>
        <w:tc>
          <w:tcPr>
            <w:cnfStyle w:val="000000010000"/>
            <w:tcW w:w="2551" w:type="dxa"/>
            <w:shd w:val="clear" w:color="auto" w:fill="auto"/>
          </w:tcPr>
          <w:p w14:paraId="000003C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995876.56</w:t>
            </w:r>
          </w:p>
        </w:tc>
        <w:tc>
          <w:tcPr>
            <w:cnfStyle w:val="000000010000"/>
            <w:tcW w:w="2977" w:type="dxa"/>
            <w:shd w:val="clear" w:color="auto" w:fill="auto"/>
          </w:tcPr>
          <w:p w14:paraId="000003C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2731021.57</w:t>
            </w:r>
          </w:p>
        </w:tc>
      </w:tr>
      <w:tr>
        <w:trPr>
          <w:wAfter w:w="0" w:type="dxa"/>
        </w:trPr>
        <w:tc>
          <w:tcPr>
            <w:cnfStyle w:val="001000100000"/>
            <w:tcW w:w="1631" w:type="dxa"/>
            <w:shd w:val="clear" w:color="auto" w:fill="auto"/>
          </w:tcPr>
          <w:p w14:paraId="000003C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17</w:t>
            </w:r>
          </w:p>
        </w:tc>
        <w:tc>
          <w:tcPr>
            <w:cnfStyle w:val="000000100000"/>
            <w:tcW w:w="2551" w:type="dxa"/>
            <w:shd w:val="clear" w:color="auto" w:fill="auto"/>
          </w:tcPr>
          <w:p w14:paraId="000003C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995874.87</w:t>
            </w:r>
          </w:p>
        </w:tc>
        <w:tc>
          <w:tcPr>
            <w:cnfStyle w:val="000000100000"/>
            <w:tcW w:w="2977" w:type="dxa"/>
            <w:shd w:val="clear" w:color="auto" w:fill="auto"/>
          </w:tcPr>
          <w:p w14:paraId="000003C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2730998.33</w:t>
            </w:r>
          </w:p>
        </w:tc>
      </w:tr>
      <w:tr>
        <w:trPr>
          <w:wAfter w:w="0" w:type="dxa"/>
        </w:trPr>
        <w:tc>
          <w:tcPr>
            <w:cnfStyle w:val="001000010000"/>
            <w:tcW w:w="1631" w:type="dxa"/>
            <w:shd w:val="clear" w:color="auto" w:fill="auto"/>
          </w:tcPr>
          <w:p w14:paraId="000003C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18</w:t>
            </w:r>
          </w:p>
        </w:tc>
        <w:tc>
          <w:tcPr>
            <w:cnfStyle w:val="000000010000"/>
            <w:tcW w:w="2551" w:type="dxa"/>
            <w:shd w:val="clear" w:color="auto" w:fill="auto"/>
          </w:tcPr>
          <w:p w14:paraId="000003C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995833.65</w:t>
            </w:r>
          </w:p>
        </w:tc>
        <w:tc>
          <w:tcPr>
            <w:cnfStyle w:val="000000010000"/>
            <w:tcW w:w="2977" w:type="dxa"/>
            <w:shd w:val="clear" w:color="auto" w:fill="auto"/>
          </w:tcPr>
          <w:p w14:paraId="000003C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2731002.26</w:t>
            </w:r>
          </w:p>
        </w:tc>
      </w:tr>
      <w:tr>
        <w:trPr>
          <w:wAfter w:w="0" w:type="dxa"/>
        </w:trPr>
        <w:tc>
          <w:tcPr>
            <w:cnfStyle w:val="001000100000"/>
            <w:tcW w:w="1631" w:type="dxa"/>
            <w:shd w:val="clear" w:color="auto" w:fill="auto"/>
          </w:tcPr>
          <w:p w14:paraId="000003C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19</w:t>
            </w:r>
          </w:p>
        </w:tc>
        <w:tc>
          <w:tcPr>
            <w:cnfStyle w:val="000000100000"/>
            <w:tcW w:w="2551" w:type="dxa"/>
            <w:shd w:val="clear" w:color="auto" w:fill="auto"/>
          </w:tcPr>
          <w:p w14:paraId="000003C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995793.31</w:t>
            </w:r>
          </w:p>
        </w:tc>
        <w:tc>
          <w:tcPr>
            <w:cnfStyle w:val="000000100000"/>
            <w:tcW w:w="2977" w:type="dxa"/>
            <w:shd w:val="clear" w:color="auto" w:fill="auto"/>
          </w:tcPr>
          <w:p w14:paraId="000003D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2731013.23</w:t>
            </w:r>
          </w:p>
        </w:tc>
      </w:tr>
      <w:tr>
        <w:trPr>
          <w:wAfter w:w="0" w:type="dxa"/>
        </w:trPr>
        <w:tc>
          <w:tcPr>
            <w:cnfStyle w:val="001000010000"/>
            <w:tcW w:w="1631" w:type="dxa"/>
            <w:shd w:val="clear" w:color="auto" w:fill="auto"/>
          </w:tcPr>
          <w:p w14:paraId="000003D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20</w:t>
            </w:r>
          </w:p>
        </w:tc>
        <w:tc>
          <w:tcPr>
            <w:cnfStyle w:val="000000010000"/>
            <w:tcW w:w="2551" w:type="dxa"/>
            <w:shd w:val="clear" w:color="auto" w:fill="auto"/>
          </w:tcPr>
          <w:p w14:paraId="000003D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995765.25</w:t>
            </w:r>
          </w:p>
        </w:tc>
        <w:tc>
          <w:tcPr>
            <w:cnfStyle w:val="000000010000"/>
            <w:tcW w:w="2977" w:type="dxa"/>
            <w:shd w:val="clear" w:color="auto" w:fill="auto"/>
          </w:tcPr>
          <w:p w14:paraId="000003D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2731036.09</w:t>
            </w:r>
          </w:p>
        </w:tc>
      </w:tr>
      <w:tr>
        <w:trPr>
          <w:wAfter w:w="0" w:type="dxa"/>
        </w:trPr>
        <w:tc>
          <w:tcPr>
            <w:cnfStyle w:val="001000100000"/>
            <w:tcW w:w="1631" w:type="dxa"/>
            <w:shd w:val="clear" w:color="auto" w:fill="auto"/>
          </w:tcPr>
          <w:p w14:paraId="000003D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21</w:t>
            </w:r>
          </w:p>
        </w:tc>
        <w:tc>
          <w:tcPr>
            <w:cnfStyle w:val="000000100000"/>
            <w:tcW w:w="2551" w:type="dxa"/>
            <w:shd w:val="clear" w:color="auto" w:fill="auto"/>
          </w:tcPr>
          <w:p w14:paraId="000003D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995748.49</w:t>
            </w:r>
          </w:p>
        </w:tc>
        <w:tc>
          <w:tcPr>
            <w:cnfStyle w:val="000000100000"/>
            <w:tcW w:w="2977" w:type="dxa"/>
            <w:shd w:val="clear" w:color="auto" w:fill="auto"/>
          </w:tcPr>
          <w:p w14:paraId="000003D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2731073.95</w:t>
            </w:r>
          </w:p>
        </w:tc>
      </w:tr>
      <w:tr>
        <w:trPr>
          <w:wAfter w:w="0" w:type="dxa"/>
        </w:trPr>
        <w:tc>
          <w:tcPr>
            <w:cnfStyle w:val="001000010000"/>
            <w:tcW w:w="1631" w:type="dxa"/>
            <w:shd w:val="clear" w:color="auto" w:fill="auto"/>
          </w:tcPr>
          <w:p w14:paraId="000003D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22</w:t>
            </w:r>
          </w:p>
        </w:tc>
        <w:tc>
          <w:tcPr>
            <w:cnfStyle w:val="000000010000"/>
            <w:tcW w:w="2551" w:type="dxa"/>
            <w:shd w:val="clear" w:color="auto" w:fill="auto"/>
          </w:tcPr>
          <w:p w14:paraId="000003D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995746.14</w:t>
            </w:r>
          </w:p>
        </w:tc>
        <w:tc>
          <w:tcPr>
            <w:cnfStyle w:val="000000010000"/>
            <w:tcW w:w="2977" w:type="dxa"/>
            <w:shd w:val="clear" w:color="auto" w:fill="auto"/>
          </w:tcPr>
          <w:p w14:paraId="000003D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2731163.28</w:t>
            </w:r>
          </w:p>
        </w:tc>
      </w:tr>
      <w:tr>
        <w:trPr>
          <w:wAfter w:w="0" w:type="dxa"/>
        </w:trPr>
        <w:tc>
          <w:tcPr>
            <w:cnfStyle w:val="001000100000"/>
            <w:tcW w:w="1631" w:type="dxa"/>
            <w:shd w:val="clear" w:color="auto" w:fill="auto"/>
          </w:tcPr>
          <w:p w14:paraId="000003D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23</w:t>
            </w:r>
          </w:p>
        </w:tc>
        <w:tc>
          <w:tcPr>
            <w:cnfStyle w:val="000000100000"/>
            <w:tcW w:w="2551" w:type="dxa"/>
            <w:shd w:val="clear" w:color="auto" w:fill="auto"/>
          </w:tcPr>
          <w:p w14:paraId="000003D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995745.85</w:t>
            </w:r>
          </w:p>
        </w:tc>
        <w:tc>
          <w:tcPr>
            <w:cnfStyle w:val="000000100000"/>
            <w:tcW w:w="2977" w:type="dxa"/>
            <w:shd w:val="clear" w:color="auto" w:fill="auto"/>
          </w:tcPr>
          <w:p w14:paraId="000003D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2731194.86</w:t>
            </w:r>
          </w:p>
        </w:tc>
      </w:tr>
      <w:tr>
        <w:trPr>
          <w:wAfter w:w="0" w:type="dxa"/>
        </w:trPr>
        <w:tc>
          <w:tcPr>
            <w:cnfStyle w:val="001000010000"/>
            <w:tcW w:w="1631" w:type="dxa"/>
            <w:shd w:val="clear" w:color="auto" w:fill="auto"/>
          </w:tcPr>
          <w:p w14:paraId="000003D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010000"/>
            <w:tcW w:w="2551" w:type="dxa"/>
            <w:shd w:val="clear" w:color="auto" w:fill="auto"/>
          </w:tcPr>
          <w:p w14:paraId="000003D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995897.66</w:t>
            </w:r>
          </w:p>
        </w:tc>
        <w:tc>
          <w:tcPr>
            <w:cnfStyle w:val="000000010000"/>
            <w:tcW w:w="2977" w:type="dxa"/>
            <w:shd w:val="clear" w:color="auto" w:fill="auto"/>
          </w:tcPr>
          <w:p w14:paraId="000003D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2730960.79</w:t>
            </w:r>
          </w:p>
        </w:tc>
      </w:tr>
    </w:tbl>
    <w:p w14:paraId="000003E0">
      <w:pPr>
        <w:pStyle w:val="Normal"/>
        <w:shd w:val="clear" w:color="auto" w:fill="ffffff"/>
        <w:jc w:val="center"/>
        <w:rPr>
          <w:color w:val="000000"/>
          <w:sz w:val="24"/>
          <w:szCs w:val="24"/>
          <w:lang w:eastAsia="en-US"/>
        </w:rPr>
      </w:pPr>
    </w:p>
    <w:p w14:paraId="000003E1">
      <w:pPr>
        <w:pStyle w:val="Normal"/>
        <w:shd w:val="clear" w:color="auto" w:fill="ffffff"/>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Перечень координат  характерных точек образуемого</w:t>
      </w:r>
    </w:p>
    <w:p w14:paraId="000003E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земельного участка 86:02:0808002: 390:ЗУ4</w:t>
      </w:r>
    </w:p>
    <w:p w14:paraId="000003E3">
      <w:pPr>
        <w:pStyle w:val="Normal"/>
        <w:shd w:val="clear" w:color="auto" w:fill="ffffff"/>
        <w:jc w:val="center"/>
        <w:rPr>
          <w:color w:val="000000"/>
          <w:sz w:val="24"/>
          <w:szCs w:val="24"/>
          <w:lang w:eastAsia="en-US"/>
        </w:rPr>
      </w:pPr>
    </w:p>
    <w:tbl>
      <w:tblPr>
        <w:tblW w:w="0" w:type="auto"/>
        <w:jc w:val="center"/>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631"/>
        <w:gridCol w:w="2551"/>
        <w:gridCol w:w="2977"/>
      </w:tblGrid>
      <w:tr>
        <w:trPr>
          <w:wAfter w:w="0" w:type="dxa"/>
          <w:tblHeader w:val="on"/>
        </w:trPr>
        <w:tc>
          <w:tcPr>
            <w:cnfStyle w:val="101000000000"/>
            <w:tcW w:w="1631" w:type="dxa"/>
            <w:shd w:val="clear" w:color="auto" w:fill="auto"/>
            <w:vAlign w:val="center"/>
          </w:tcPr>
          <w:p w14:paraId="000003E4">
            <w:pPr>
              <w:pStyle w:val="Normal"/>
              <w:jc w:val="center"/>
              <w:rPr>
                <w:rFonts w:ascii="Times New Roman" w:cs="Times New Roman" w:hAnsi="Times New Roman"/>
                <w:color w:val="000000"/>
                <w:sz w:val="24"/>
                <w:szCs w:val="24"/>
                <w:lang w:eastAsia="en-US"/>
              </w:rPr>
            </w:pPr>
          </w:p>
          <w:p w14:paraId="000003E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Номер</w:t>
            </w:r>
          </w:p>
        </w:tc>
        <w:tc>
          <w:tcPr>
            <w:cnfStyle w:val="100000000000"/>
            <w:tcW w:w="2551" w:type="dxa"/>
            <w:shd w:val="clear" w:color="auto" w:fill="auto"/>
            <w:vAlign w:val="center"/>
          </w:tcPr>
          <w:p w14:paraId="000003E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X</w:t>
            </w:r>
          </w:p>
        </w:tc>
        <w:tc>
          <w:tcPr>
            <w:cnfStyle w:val="100000000000"/>
            <w:tcW w:w="2977" w:type="dxa"/>
            <w:shd w:val="clear" w:color="auto" w:fill="auto"/>
            <w:vAlign w:val="center"/>
          </w:tcPr>
          <w:p w14:paraId="000003E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Y</w:t>
            </w:r>
          </w:p>
        </w:tc>
      </w:tr>
      <w:tr>
        <w:trPr>
          <w:wAfter w:w="0" w:type="dxa"/>
        </w:trPr>
        <w:tc>
          <w:tcPr>
            <w:cnfStyle w:val="001000100000"/>
            <w:tcW w:w="1631" w:type="dxa"/>
            <w:shd w:val="clear" w:color="auto" w:fill="auto"/>
          </w:tcPr>
          <w:p w14:paraId="000003E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3E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996000.99</w:t>
            </w:r>
          </w:p>
        </w:tc>
        <w:tc>
          <w:tcPr>
            <w:cnfStyle w:val="000000100000"/>
            <w:tcW w:w="2977" w:type="dxa"/>
            <w:shd w:val="clear" w:color="auto" w:fill="auto"/>
          </w:tcPr>
          <w:p w14:paraId="000003E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2730931.64</w:t>
            </w:r>
          </w:p>
        </w:tc>
      </w:tr>
      <w:tr>
        <w:trPr>
          <w:wAfter w:w="0" w:type="dxa"/>
          <w:trHeight w:val="355" w:hRule="atLeast"/>
        </w:trPr>
        <w:tc>
          <w:tcPr>
            <w:cnfStyle w:val="001000010000"/>
            <w:tcW w:w="1631" w:type="dxa"/>
            <w:shd w:val="clear" w:color="auto" w:fill="auto"/>
          </w:tcPr>
          <w:p w14:paraId="000003E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w:t>
            </w:r>
          </w:p>
        </w:tc>
        <w:tc>
          <w:tcPr>
            <w:cnfStyle w:val="000000010000"/>
            <w:tcW w:w="2551" w:type="dxa"/>
            <w:shd w:val="clear" w:color="auto" w:fill="auto"/>
          </w:tcPr>
          <w:p w14:paraId="000003E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996015.64</w:t>
            </w:r>
          </w:p>
        </w:tc>
        <w:tc>
          <w:tcPr>
            <w:cnfStyle w:val="000000010000"/>
            <w:tcW w:w="2977" w:type="dxa"/>
            <w:shd w:val="clear" w:color="auto" w:fill="auto"/>
          </w:tcPr>
          <w:p w14:paraId="000003E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2730930.61</w:t>
            </w:r>
          </w:p>
        </w:tc>
      </w:tr>
      <w:tr>
        <w:trPr>
          <w:wAfter w:w="0" w:type="dxa"/>
        </w:trPr>
        <w:tc>
          <w:tcPr>
            <w:cnfStyle w:val="001000100000"/>
            <w:tcW w:w="1631" w:type="dxa"/>
            <w:shd w:val="clear" w:color="auto" w:fill="auto"/>
          </w:tcPr>
          <w:p w14:paraId="000003E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w:t>
            </w:r>
          </w:p>
        </w:tc>
        <w:tc>
          <w:tcPr>
            <w:cnfStyle w:val="000000100000"/>
            <w:tcW w:w="2551" w:type="dxa"/>
            <w:shd w:val="clear" w:color="auto" w:fill="auto"/>
          </w:tcPr>
          <w:p w14:paraId="000003E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996081.53</w:t>
            </w:r>
          </w:p>
        </w:tc>
        <w:tc>
          <w:tcPr>
            <w:cnfStyle w:val="000000100000"/>
            <w:tcW w:w="2977" w:type="dxa"/>
            <w:shd w:val="clear" w:color="auto" w:fill="auto"/>
          </w:tcPr>
          <w:p w14:paraId="000003F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2730925.96</w:t>
            </w:r>
          </w:p>
        </w:tc>
      </w:tr>
      <w:tr>
        <w:trPr>
          <w:wAfter w:w="0" w:type="dxa"/>
        </w:trPr>
        <w:tc>
          <w:tcPr>
            <w:cnfStyle w:val="001000010000"/>
            <w:tcW w:w="1631" w:type="dxa"/>
            <w:shd w:val="clear" w:color="auto" w:fill="auto"/>
          </w:tcPr>
          <w:p w14:paraId="000003F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w:t>
            </w:r>
          </w:p>
        </w:tc>
        <w:tc>
          <w:tcPr>
            <w:cnfStyle w:val="000000010000"/>
            <w:tcW w:w="2551" w:type="dxa"/>
            <w:shd w:val="clear" w:color="auto" w:fill="auto"/>
          </w:tcPr>
          <w:p w14:paraId="000003F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996049.15</w:t>
            </w:r>
          </w:p>
        </w:tc>
        <w:tc>
          <w:tcPr>
            <w:cnfStyle w:val="000000010000"/>
            <w:tcW w:w="2977" w:type="dxa"/>
            <w:shd w:val="clear" w:color="auto" w:fill="auto"/>
          </w:tcPr>
          <w:p w14:paraId="000003F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2730897.14</w:t>
            </w:r>
          </w:p>
        </w:tc>
      </w:tr>
      <w:tr>
        <w:trPr>
          <w:wAfter w:w="0" w:type="dxa"/>
        </w:trPr>
        <w:tc>
          <w:tcPr>
            <w:cnfStyle w:val="001000100000"/>
            <w:tcW w:w="1631" w:type="dxa"/>
            <w:shd w:val="clear" w:color="auto" w:fill="auto"/>
          </w:tcPr>
          <w:p w14:paraId="000003F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5</w:t>
            </w:r>
          </w:p>
        </w:tc>
        <w:tc>
          <w:tcPr>
            <w:cnfStyle w:val="000000100000"/>
            <w:tcW w:w="2551" w:type="dxa"/>
            <w:shd w:val="clear" w:color="auto" w:fill="auto"/>
          </w:tcPr>
          <w:p w14:paraId="000003F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996095.66</w:t>
            </w:r>
          </w:p>
        </w:tc>
        <w:tc>
          <w:tcPr>
            <w:cnfStyle w:val="000000100000"/>
            <w:tcW w:w="2977" w:type="dxa"/>
            <w:shd w:val="clear" w:color="auto" w:fill="auto"/>
          </w:tcPr>
          <w:p w14:paraId="000003F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2730844.86</w:t>
            </w:r>
          </w:p>
        </w:tc>
      </w:tr>
      <w:tr>
        <w:trPr>
          <w:wAfter w:w="0" w:type="dxa"/>
        </w:trPr>
        <w:tc>
          <w:tcPr>
            <w:cnfStyle w:val="001000010000"/>
            <w:tcW w:w="1631" w:type="dxa"/>
            <w:shd w:val="clear" w:color="auto" w:fill="auto"/>
          </w:tcPr>
          <w:p w14:paraId="000003F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6</w:t>
            </w:r>
          </w:p>
        </w:tc>
        <w:tc>
          <w:tcPr>
            <w:cnfStyle w:val="000000010000"/>
            <w:tcW w:w="2551" w:type="dxa"/>
            <w:shd w:val="clear" w:color="auto" w:fill="auto"/>
          </w:tcPr>
          <w:p w14:paraId="000003F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996071.75</w:t>
            </w:r>
          </w:p>
        </w:tc>
        <w:tc>
          <w:tcPr>
            <w:cnfStyle w:val="000000010000"/>
            <w:tcW w:w="2977" w:type="dxa"/>
            <w:shd w:val="clear" w:color="auto" w:fill="auto"/>
          </w:tcPr>
          <w:p w14:paraId="000003F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2730826.14</w:t>
            </w:r>
          </w:p>
        </w:tc>
      </w:tr>
      <w:tr>
        <w:trPr>
          <w:wAfter w:w="0" w:type="dxa"/>
        </w:trPr>
        <w:tc>
          <w:tcPr>
            <w:cnfStyle w:val="001000100000"/>
            <w:tcW w:w="1631" w:type="dxa"/>
            <w:shd w:val="clear" w:color="auto" w:fill="auto"/>
          </w:tcPr>
          <w:p w14:paraId="000003F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7</w:t>
            </w:r>
          </w:p>
        </w:tc>
        <w:tc>
          <w:tcPr>
            <w:cnfStyle w:val="000000100000"/>
            <w:tcW w:w="2551" w:type="dxa"/>
            <w:shd w:val="clear" w:color="auto" w:fill="auto"/>
          </w:tcPr>
          <w:p w14:paraId="000003F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996009.70</w:t>
            </w:r>
          </w:p>
        </w:tc>
        <w:tc>
          <w:tcPr>
            <w:cnfStyle w:val="000000100000"/>
            <w:tcW w:w="2977" w:type="dxa"/>
            <w:shd w:val="clear" w:color="auto" w:fill="auto"/>
          </w:tcPr>
          <w:p w14:paraId="000003F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2730890.42</w:t>
            </w:r>
          </w:p>
        </w:tc>
      </w:tr>
      <w:tr>
        <w:trPr>
          <w:wAfter w:w="0" w:type="dxa"/>
        </w:trPr>
        <w:tc>
          <w:tcPr>
            <w:cnfStyle w:val="001000010000"/>
            <w:tcW w:w="1631" w:type="dxa"/>
            <w:shd w:val="clear" w:color="auto" w:fill="auto"/>
          </w:tcPr>
          <w:p w14:paraId="000003F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8</w:t>
            </w:r>
          </w:p>
        </w:tc>
        <w:tc>
          <w:tcPr>
            <w:cnfStyle w:val="000000010000"/>
            <w:tcW w:w="2551" w:type="dxa"/>
            <w:shd w:val="clear" w:color="auto" w:fill="auto"/>
          </w:tcPr>
          <w:p w14:paraId="000003F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996010.95</w:t>
            </w:r>
          </w:p>
        </w:tc>
        <w:tc>
          <w:tcPr>
            <w:cnfStyle w:val="000000010000"/>
            <w:tcW w:w="2977" w:type="dxa"/>
            <w:shd w:val="clear" w:color="auto" w:fill="auto"/>
          </w:tcPr>
          <w:p w14:paraId="000003F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2730917.68</w:t>
            </w:r>
          </w:p>
        </w:tc>
      </w:tr>
      <w:tr>
        <w:trPr>
          <w:wAfter w:w="0" w:type="dxa"/>
        </w:trPr>
        <w:tc>
          <w:tcPr>
            <w:cnfStyle w:val="001000100000"/>
            <w:tcW w:w="1631" w:type="dxa"/>
            <w:shd w:val="clear" w:color="auto" w:fill="auto"/>
          </w:tcPr>
          <w:p w14:paraId="0000040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w:t>
            </w:r>
          </w:p>
        </w:tc>
        <w:tc>
          <w:tcPr>
            <w:cnfStyle w:val="000000100000"/>
            <w:tcW w:w="2551" w:type="dxa"/>
            <w:shd w:val="clear" w:color="auto" w:fill="auto"/>
          </w:tcPr>
          <w:p w14:paraId="0000040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996002.23</w:t>
            </w:r>
          </w:p>
        </w:tc>
        <w:tc>
          <w:tcPr>
            <w:cnfStyle w:val="000000100000"/>
            <w:tcW w:w="2977" w:type="dxa"/>
            <w:shd w:val="clear" w:color="auto" w:fill="auto"/>
          </w:tcPr>
          <w:p w14:paraId="0000040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2730918.67</w:t>
            </w:r>
          </w:p>
        </w:tc>
      </w:tr>
      <w:tr>
        <w:trPr>
          <w:wAfter w:w="0" w:type="dxa"/>
        </w:trPr>
        <w:tc>
          <w:tcPr>
            <w:cnfStyle w:val="001000010000"/>
            <w:tcW w:w="1631" w:type="dxa"/>
            <w:shd w:val="clear" w:color="auto" w:fill="auto"/>
          </w:tcPr>
          <w:p w14:paraId="0000040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10</w:t>
            </w:r>
          </w:p>
        </w:tc>
        <w:tc>
          <w:tcPr>
            <w:cnfStyle w:val="000000010000"/>
            <w:tcW w:w="2551" w:type="dxa"/>
            <w:shd w:val="clear" w:color="auto" w:fill="auto"/>
          </w:tcPr>
          <w:p w14:paraId="0000040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996000.51</w:t>
            </w:r>
          </w:p>
        </w:tc>
        <w:tc>
          <w:tcPr>
            <w:cnfStyle w:val="000000010000"/>
            <w:tcW w:w="2977" w:type="dxa"/>
            <w:shd w:val="clear" w:color="auto" w:fill="auto"/>
          </w:tcPr>
          <w:p w14:paraId="0000040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2730918.87</w:t>
            </w:r>
          </w:p>
        </w:tc>
      </w:tr>
      <w:tr>
        <w:trPr>
          <w:wAfter w:w="0" w:type="dxa"/>
        </w:trPr>
        <w:tc>
          <w:tcPr>
            <w:cnfStyle w:val="001000100000"/>
            <w:tcW w:w="1631" w:type="dxa"/>
            <w:shd w:val="clear" w:color="auto" w:fill="auto"/>
          </w:tcPr>
          <w:p w14:paraId="0000040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11</w:t>
            </w:r>
          </w:p>
        </w:tc>
        <w:tc>
          <w:tcPr>
            <w:cnfStyle w:val="000000100000"/>
            <w:tcW w:w="2551" w:type="dxa"/>
            <w:shd w:val="clear" w:color="auto" w:fill="auto"/>
          </w:tcPr>
          <w:p w14:paraId="0000040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995827.19</w:t>
            </w:r>
          </w:p>
        </w:tc>
        <w:tc>
          <w:tcPr>
            <w:cnfStyle w:val="000000100000"/>
            <w:tcW w:w="2977" w:type="dxa"/>
            <w:shd w:val="clear" w:color="auto" w:fill="auto"/>
          </w:tcPr>
          <w:p w14:paraId="0000040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2731766.01</w:t>
            </w:r>
          </w:p>
        </w:tc>
      </w:tr>
      <w:tr>
        <w:trPr>
          <w:wAfter w:w="0" w:type="dxa"/>
        </w:trPr>
        <w:tc>
          <w:tcPr>
            <w:cnfStyle w:val="001000010000"/>
            <w:tcW w:w="1631" w:type="dxa"/>
            <w:shd w:val="clear" w:color="auto" w:fill="auto"/>
          </w:tcPr>
          <w:p w14:paraId="0000040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12</w:t>
            </w:r>
          </w:p>
        </w:tc>
        <w:tc>
          <w:tcPr>
            <w:cnfStyle w:val="000000010000"/>
            <w:tcW w:w="2551" w:type="dxa"/>
            <w:shd w:val="clear" w:color="auto" w:fill="auto"/>
          </w:tcPr>
          <w:p w14:paraId="0000040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995829.02</w:t>
            </w:r>
          </w:p>
        </w:tc>
        <w:tc>
          <w:tcPr>
            <w:cnfStyle w:val="000000010000"/>
            <w:tcW w:w="2977" w:type="dxa"/>
            <w:shd w:val="clear" w:color="auto" w:fill="auto"/>
          </w:tcPr>
          <w:p w14:paraId="0000040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2731748.07</w:t>
            </w:r>
          </w:p>
        </w:tc>
      </w:tr>
      <w:tr>
        <w:trPr>
          <w:wAfter w:w="0" w:type="dxa"/>
        </w:trPr>
        <w:tc>
          <w:tcPr>
            <w:cnfStyle w:val="001000100000"/>
            <w:tcW w:w="1631" w:type="dxa"/>
            <w:shd w:val="clear" w:color="auto" w:fill="auto"/>
          </w:tcPr>
          <w:p w14:paraId="0000040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13</w:t>
            </w:r>
          </w:p>
        </w:tc>
        <w:tc>
          <w:tcPr>
            <w:cnfStyle w:val="000000100000"/>
            <w:tcW w:w="2551" w:type="dxa"/>
            <w:shd w:val="clear" w:color="auto" w:fill="auto"/>
          </w:tcPr>
          <w:p w14:paraId="0000040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995802.93</w:t>
            </w:r>
          </w:p>
        </w:tc>
        <w:tc>
          <w:tcPr>
            <w:cnfStyle w:val="000000100000"/>
            <w:tcW w:w="2977" w:type="dxa"/>
            <w:shd w:val="clear" w:color="auto" w:fill="auto"/>
          </w:tcPr>
          <w:p w14:paraId="0000040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2731508.90</w:t>
            </w:r>
          </w:p>
        </w:tc>
      </w:tr>
      <w:tr>
        <w:trPr>
          <w:wAfter w:w="0" w:type="dxa"/>
        </w:trPr>
        <w:tc>
          <w:tcPr>
            <w:cnfStyle w:val="001000010000"/>
            <w:tcW w:w="1631" w:type="dxa"/>
            <w:shd w:val="clear" w:color="auto" w:fill="auto"/>
          </w:tcPr>
          <w:p w14:paraId="0000040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14</w:t>
            </w:r>
          </w:p>
        </w:tc>
        <w:tc>
          <w:tcPr>
            <w:cnfStyle w:val="000000010000"/>
            <w:tcW w:w="2551" w:type="dxa"/>
            <w:shd w:val="clear" w:color="auto" w:fill="auto"/>
          </w:tcPr>
          <w:p w14:paraId="0000041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995804.25</w:t>
            </w:r>
          </w:p>
        </w:tc>
        <w:tc>
          <w:tcPr>
            <w:cnfStyle w:val="000000010000"/>
            <w:tcW w:w="2977" w:type="dxa"/>
            <w:shd w:val="clear" w:color="auto" w:fill="auto"/>
          </w:tcPr>
          <w:p w14:paraId="0000041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2731284.19</w:t>
            </w:r>
          </w:p>
        </w:tc>
      </w:tr>
      <w:tr>
        <w:trPr>
          <w:wAfter w:w="0" w:type="dxa"/>
        </w:trPr>
        <w:tc>
          <w:tcPr>
            <w:cnfStyle w:val="001000100000"/>
            <w:tcW w:w="1631" w:type="dxa"/>
            <w:shd w:val="clear" w:color="auto" w:fill="auto"/>
          </w:tcPr>
          <w:p w14:paraId="0000041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15</w:t>
            </w:r>
          </w:p>
        </w:tc>
        <w:tc>
          <w:tcPr>
            <w:cnfStyle w:val="000000100000"/>
            <w:tcW w:w="2551" w:type="dxa"/>
            <w:shd w:val="clear" w:color="auto" w:fill="auto"/>
          </w:tcPr>
          <w:p w14:paraId="0000041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995891.78</w:t>
            </w:r>
          </w:p>
        </w:tc>
        <w:tc>
          <w:tcPr>
            <w:cnfStyle w:val="000000100000"/>
            <w:tcW w:w="2977" w:type="dxa"/>
            <w:shd w:val="clear" w:color="auto" w:fill="auto"/>
          </w:tcPr>
          <w:p w14:paraId="0000041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2731247.18</w:t>
            </w:r>
          </w:p>
        </w:tc>
      </w:tr>
      <w:tr>
        <w:trPr>
          <w:wAfter w:w="0" w:type="dxa"/>
        </w:trPr>
        <w:tc>
          <w:tcPr>
            <w:cnfStyle w:val="001000010000"/>
            <w:tcW w:w="1631" w:type="dxa"/>
            <w:shd w:val="clear" w:color="auto" w:fill="auto"/>
          </w:tcPr>
          <w:p w14:paraId="0000041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16</w:t>
            </w:r>
          </w:p>
        </w:tc>
        <w:tc>
          <w:tcPr>
            <w:cnfStyle w:val="000000010000"/>
            <w:tcW w:w="2551" w:type="dxa"/>
            <w:shd w:val="clear" w:color="auto" w:fill="auto"/>
          </w:tcPr>
          <w:p w14:paraId="0000041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995929.51</w:t>
            </w:r>
          </w:p>
        </w:tc>
        <w:tc>
          <w:tcPr>
            <w:cnfStyle w:val="000000010000"/>
            <w:tcW w:w="2977" w:type="dxa"/>
            <w:shd w:val="clear" w:color="auto" w:fill="auto"/>
          </w:tcPr>
          <w:p w14:paraId="0000041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2731016.96</w:t>
            </w:r>
          </w:p>
        </w:tc>
      </w:tr>
      <w:tr>
        <w:trPr>
          <w:wAfter w:w="0" w:type="dxa"/>
        </w:trPr>
        <w:tc>
          <w:tcPr>
            <w:cnfStyle w:val="001000100000"/>
            <w:tcW w:w="1631" w:type="dxa"/>
            <w:shd w:val="clear" w:color="auto" w:fill="auto"/>
          </w:tcPr>
          <w:p w14:paraId="0000041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17</w:t>
            </w:r>
          </w:p>
        </w:tc>
        <w:tc>
          <w:tcPr>
            <w:cnfStyle w:val="000000100000"/>
            <w:tcW w:w="2551" w:type="dxa"/>
            <w:shd w:val="clear" w:color="auto" w:fill="auto"/>
          </w:tcPr>
          <w:p w14:paraId="0000041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995930.55</w:t>
            </w:r>
          </w:p>
        </w:tc>
        <w:tc>
          <w:tcPr>
            <w:cnfStyle w:val="000000100000"/>
            <w:tcW w:w="2977" w:type="dxa"/>
            <w:shd w:val="clear" w:color="auto" w:fill="auto"/>
          </w:tcPr>
          <w:p w14:paraId="0000041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2731010.62</w:t>
            </w:r>
          </w:p>
        </w:tc>
      </w:tr>
      <w:tr>
        <w:trPr>
          <w:wAfter w:w="0" w:type="dxa"/>
        </w:trPr>
        <w:tc>
          <w:tcPr>
            <w:cnfStyle w:val="001000010000"/>
            <w:tcW w:w="1631" w:type="dxa"/>
            <w:shd w:val="clear" w:color="auto" w:fill="auto"/>
          </w:tcPr>
          <w:p w14:paraId="0000041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18</w:t>
            </w:r>
          </w:p>
        </w:tc>
        <w:tc>
          <w:tcPr>
            <w:cnfStyle w:val="000000010000"/>
            <w:tcW w:w="2551" w:type="dxa"/>
            <w:shd w:val="clear" w:color="auto" w:fill="auto"/>
          </w:tcPr>
          <w:p w14:paraId="0000041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996004.53</w:t>
            </w:r>
          </w:p>
        </w:tc>
        <w:tc>
          <w:tcPr>
            <w:cnfStyle w:val="000000010000"/>
            <w:tcW w:w="2977" w:type="dxa"/>
            <w:shd w:val="clear" w:color="auto" w:fill="auto"/>
          </w:tcPr>
          <w:p w14:paraId="0000041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2731004.08</w:t>
            </w:r>
          </w:p>
        </w:tc>
      </w:tr>
      <w:tr>
        <w:trPr>
          <w:wAfter w:w="0" w:type="dxa"/>
        </w:trPr>
        <w:tc>
          <w:tcPr>
            <w:cnfStyle w:val="001000100000"/>
            <w:tcW w:w="1631" w:type="dxa"/>
            <w:shd w:val="clear" w:color="auto" w:fill="auto"/>
          </w:tcPr>
          <w:p w14:paraId="0000041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19</w:t>
            </w:r>
          </w:p>
        </w:tc>
        <w:tc>
          <w:tcPr>
            <w:cnfStyle w:val="000000100000"/>
            <w:tcW w:w="2551" w:type="dxa"/>
            <w:shd w:val="clear" w:color="auto" w:fill="auto"/>
          </w:tcPr>
          <w:p w14:paraId="0000041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996005.22</w:t>
            </w:r>
          </w:p>
        </w:tc>
        <w:tc>
          <w:tcPr>
            <w:cnfStyle w:val="000000100000"/>
            <w:tcW w:w="2977" w:type="dxa"/>
            <w:shd w:val="clear" w:color="auto" w:fill="auto"/>
          </w:tcPr>
          <w:p w14:paraId="0000042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2731010.36</w:t>
            </w:r>
          </w:p>
        </w:tc>
      </w:tr>
      <w:tr>
        <w:trPr>
          <w:wAfter w:w="0" w:type="dxa"/>
        </w:trPr>
        <w:tc>
          <w:tcPr>
            <w:cnfStyle w:val="001000010000"/>
            <w:tcW w:w="1631" w:type="dxa"/>
            <w:shd w:val="clear" w:color="auto" w:fill="auto"/>
          </w:tcPr>
          <w:p w14:paraId="0000042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20</w:t>
            </w:r>
          </w:p>
        </w:tc>
        <w:tc>
          <w:tcPr>
            <w:cnfStyle w:val="000000010000"/>
            <w:tcW w:w="2551" w:type="dxa"/>
            <w:shd w:val="clear" w:color="auto" w:fill="auto"/>
          </w:tcPr>
          <w:p w14:paraId="0000042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996005.79</w:t>
            </w:r>
          </w:p>
        </w:tc>
        <w:tc>
          <w:tcPr>
            <w:cnfStyle w:val="000000010000"/>
            <w:tcW w:w="2977" w:type="dxa"/>
            <w:shd w:val="clear" w:color="auto" w:fill="auto"/>
          </w:tcPr>
          <w:p w14:paraId="0000042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2731015.59</w:t>
            </w:r>
          </w:p>
        </w:tc>
      </w:tr>
      <w:tr>
        <w:trPr>
          <w:wAfter w:w="0" w:type="dxa"/>
        </w:trPr>
        <w:tc>
          <w:tcPr>
            <w:cnfStyle w:val="001000100000"/>
            <w:tcW w:w="1631" w:type="dxa"/>
            <w:shd w:val="clear" w:color="auto" w:fill="auto"/>
          </w:tcPr>
          <w:p w14:paraId="0000042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21</w:t>
            </w:r>
          </w:p>
        </w:tc>
        <w:tc>
          <w:tcPr>
            <w:cnfStyle w:val="000000100000"/>
            <w:tcW w:w="2551" w:type="dxa"/>
            <w:shd w:val="clear" w:color="auto" w:fill="auto"/>
          </w:tcPr>
          <w:p w14:paraId="0000042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996034.86</w:t>
            </w:r>
          </w:p>
        </w:tc>
        <w:tc>
          <w:tcPr>
            <w:cnfStyle w:val="000000100000"/>
            <w:tcW w:w="2977" w:type="dxa"/>
            <w:shd w:val="clear" w:color="auto" w:fill="auto"/>
          </w:tcPr>
          <w:p w14:paraId="0000042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2731012.91</w:t>
            </w:r>
          </w:p>
        </w:tc>
      </w:tr>
      <w:tr>
        <w:trPr>
          <w:wAfter w:w="0" w:type="dxa"/>
        </w:trPr>
        <w:tc>
          <w:tcPr>
            <w:cnfStyle w:val="001000010000"/>
            <w:tcW w:w="1631" w:type="dxa"/>
            <w:shd w:val="clear" w:color="auto" w:fill="auto"/>
          </w:tcPr>
          <w:p w14:paraId="0000042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22</w:t>
            </w:r>
          </w:p>
        </w:tc>
        <w:tc>
          <w:tcPr>
            <w:cnfStyle w:val="000000010000"/>
            <w:tcW w:w="2551" w:type="dxa"/>
            <w:shd w:val="clear" w:color="auto" w:fill="auto"/>
          </w:tcPr>
          <w:p w14:paraId="0000042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996035.02</w:t>
            </w:r>
          </w:p>
        </w:tc>
        <w:tc>
          <w:tcPr>
            <w:cnfStyle w:val="000000010000"/>
            <w:tcW w:w="2977" w:type="dxa"/>
            <w:shd w:val="clear" w:color="auto" w:fill="auto"/>
          </w:tcPr>
          <w:p w14:paraId="0000042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2731007.31</w:t>
            </w:r>
          </w:p>
        </w:tc>
      </w:tr>
      <w:tr>
        <w:trPr>
          <w:wAfter w:w="0" w:type="dxa"/>
        </w:trPr>
        <w:tc>
          <w:tcPr>
            <w:cnfStyle w:val="001000100000"/>
            <w:tcW w:w="1631" w:type="dxa"/>
            <w:shd w:val="clear" w:color="auto" w:fill="auto"/>
          </w:tcPr>
          <w:p w14:paraId="0000042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23</w:t>
            </w:r>
          </w:p>
        </w:tc>
        <w:tc>
          <w:tcPr>
            <w:cnfStyle w:val="000000100000"/>
            <w:tcW w:w="2551" w:type="dxa"/>
            <w:shd w:val="clear" w:color="auto" w:fill="auto"/>
          </w:tcPr>
          <w:p w14:paraId="0000042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996045.42</w:t>
            </w:r>
          </w:p>
        </w:tc>
        <w:tc>
          <w:tcPr>
            <w:cnfStyle w:val="000000100000"/>
            <w:tcW w:w="2977" w:type="dxa"/>
            <w:shd w:val="clear" w:color="auto" w:fill="auto"/>
          </w:tcPr>
          <w:p w14:paraId="0000042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2731004.98</w:t>
            </w:r>
          </w:p>
        </w:tc>
      </w:tr>
      <w:tr>
        <w:trPr>
          <w:wAfter w:w="0" w:type="dxa"/>
        </w:trPr>
        <w:tc>
          <w:tcPr>
            <w:cnfStyle w:val="001000010000"/>
            <w:tcW w:w="1631" w:type="dxa"/>
            <w:shd w:val="clear" w:color="auto" w:fill="auto"/>
          </w:tcPr>
          <w:p w14:paraId="0000042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24</w:t>
            </w:r>
          </w:p>
        </w:tc>
        <w:tc>
          <w:tcPr>
            <w:cnfStyle w:val="000000010000"/>
            <w:tcW w:w="2551" w:type="dxa"/>
            <w:shd w:val="clear" w:color="auto" w:fill="auto"/>
          </w:tcPr>
          <w:p w14:paraId="0000042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996043.31</w:t>
            </w:r>
          </w:p>
        </w:tc>
        <w:tc>
          <w:tcPr>
            <w:cnfStyle w:val="000000010000"/>
            <w:tcW w:w="2977" w:type="dxa"/>
            <w:shd w:val="clear" w:color="auto" w:fill="auto"/>
          </w:tcPr>
          <w:p w14:paraId="0000042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2730983.38</w:t>
            </w:r>
          </w:p>
        </w:tc>
      </w:tr>
      <w:tr>
        <w:trPr>
          <w:wAfter w:w="0" w:type="dxa"/>
        </w:trPr>
        <w:tc>
          <w:tcPr>
            <w:cnfStyle w:val="001000100000"/>
            <w:tcW w:w="1631" w:type="dxa"/>
            <w:shd w:val="clear" w:color="auto" w:fill="auto"/>
          </w:tcPr>
          <w:p w14:paraId="0000043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25</w:t>
            </w:r>
          </w:p>
        </w:tc>
        <w:tc>
          <w:tcPr>
            <w:cnfStyle w:val="000000100000"/>
            <w:tcW w:w="2551" w:type="dxa"/>
            <w:shd w:val="clear" w:color="auto" w:fill="auto"/>
          </w:tcPr>
          <w:p w14:paraId="0000043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995948.85</w:t>
            </w:r>
          </w:p>
        </w:tc>
        <w:tc>
          <w:tcPr>
            <w:cnfStyle w:val="000000100000"/>
            <w:tcW w:w="2977" w:type="dxa"/>
            <w:shd w:val="clear" w:color="auto" w:fill="auto"/>
          </w:tcPr>
          <w:p w14:paraId="0000043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2730991.28</w:t>
            </w:r>
          </w:p>
        </w:tc>
      </w:tr>
      <w:tr>
        <w:trPr>
          <w:wAfter w:w="0" w:type="dxa"/>
        </w:trPr>
        <w:tc>
          <w:tcPr>
            <w:cnfStyle w:val="001000010000"/>
            <w:tcW w:w="1631" w:type="dxa"/>
            <w:shd w:val="clear" w:color="auto" w:fill="auto"/>
          </w:tcPr>
          <w:p w14:paraId="0000043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26</w:t>
            </w:r>
          </w:p>
        </w:tc>
        <w:tc>
          <w:tcPr>
            <w:cnfStyle w:val="000000010000"/>
            <w:tcW w:w="2551" w:type="dxa"/>
            <w:shd w:val="clear" w:color="auto" w:fill="auto"/>
          </w:tcPr>
          <w:p w14:paraId="0000043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995874.87</w:t>
            </w:r>
          </w:p>
        </w:tc>
        <w:tc>
          <w:tcPr>
            <w:cnfStyle w:val="000000010000"/>
            <w:tcW w:w="2977" w:type="dxa"/>
            <w:shd w:val="clear" w:color="auto" w:fill="auto"/>
          </w:tcPr>
          <w:p w14:paraId="0000043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2730998.33</w:t>
            </w:r>
          </w:p>
        </w:tc>
      </w:tr>
      <w:tr>
        <w:trPr>
          <w:wAfter w:w="0" w:type="dxa"/>
        </w:trPr>
        <w:tc>
          <w:tcPr>
            <w:cnfStyle w:val="001000100000"/>
            <w:tcW w:w="1631" w:type="dxa"/>
            <w:shd w:val="clear" w:color="auto" w:fill="auto"/>
          </w:tcPr>
          <w:p w14:paraId="0000043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w:t>
            </w:r>
          </w:p>
        </w:tc>
        <w:tc>
          <w:tcPr>
            <w:cnfStyle w:val="000000100000"/>
            <w:tcW w:w="2551" w:type="dxa"/>
            <w:shd w:val="clear" w:color="auto" w:fill="auto"/>
          </w:tcPr>
          <w:p w14:paraId="0000043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995876.56</w:t>
            </w:r>
          </w:p>
        </w:tc>
        <w:tc>
          <w:tcPr>
            <w:cnfStyle w:val="000000100000"/>
            <w:tcW w:w="2977" w:type="dxa"/>
            <w:shd w:val="clear" w:color="auto" w:fill="auto"/>
          </w:tcPr>
          <w:p w14:paraId="0000043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2731021.57</w:t>
            </w:r>
          </w:p>
        </w:tc>
      </w:tr>
      <w:tr>
        <w:trPr>
          <w:wAfter w:w="0" w:type="dxa"/>
        </w:trPr>
        <w:tc>
          <w:tcPr>
            <w:cnfStyle w:val="001000010000"/>
            <w:tcW w:w="1631" w:type="dxa"/>
            <w:shd w:val="clear" w:color="auto" w:fill="auto"/>
          </w:tcPr>
          <w:p w14:paraId="0000043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28</w:t>
            </w:r>
          </w:p>
        </w:tc>
        <w:tc>
          <w:tcPr>
            <w:cnfStyle w:val="000000010000"/>
            <w:tcW w:w="2551" w:type="dxa"/>
            <w:shd w:val="clear" w:color="auto" w:fill="auto"/>
          </w:tcPr>
          <w:p w14:paraId="0000043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995879.96</w:t>
            </w:r>
          </w:p>
        </w:tc>
        <w:tc>
          <w:tcPr>
            <w:cnfStyle w:val="000000010000"/>
            <w:tcW w:w="2977" w:type="dxa"/>
            <w:shd w:val="clear" w:color="auto" w:fill="auto"/>
          </w:tcPr>
          <w:p w14:paraId="0000043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2731068.46</w:t>
            </w:r>
          </w:p>
        </w:tc>
      </w:tr>
      <w:tr>
        <w:trPr>
          <w:wAfter w:w="0" w:type="dxa"/>
        </w:trPr>
        <w:tc>
          <w:tcPr>
            <w:cnfStyle w:val="001000100000"/>
            <w:tcW w:w="1631" w:type="dxa"/>
            <w:shd w:val="clear" w:color="auto" w:fill="auto"/>
          </w:tcPr>
          <w:p w14:paraId="0000043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29</w:t>
            </w:r>
          </w:p>
        </w:tc>
        <w:tc>
          <w:tcPr>
            <w:cnfStyle w:val="000000100000"/>
            <w:tcW w:w="2551" w:type="dxa"/>
            <w:shd w:val="clear" w:color="auto" w:fill="auto"/>
          </w:tcPr>
          <w:p w14:paraId="0000043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995786.59</w:t>
            </w:r>
          </w:p>
        </w:tc>
        <w:tc>
          <w:tcPr>
            <w:cnfStyle w:val="000000100000"/>
            <w:tcW w:w="2977" w:type="dxa"/>
            <w:shd w:val="clear" w:color="auto" w:fill="auto"/>
          </w:tcPr>
          <w:p w14:paraId="0000043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2731075.24</w:t>
            </w:r>
          </w:p>
        </w:tc>
      </w:tr>
      <w:tr>
        <w:trPr>
          <w:wAfter w:w="0" w:type="dxa"/>
        </w:trPr>
        <w:tc>
          <w:tcPr>
            <w:cnfStyle w:val="001000010000"/>
            <w:tcW w:w="1631" w:type="dxa"/>
            <w:shd w:val="clear" w:color="auto" w:fill="auto"/>
          </w:tcPr>
          <w:p w14:paraId="0000043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30</w:t>
            </w:r>
          </w:p>
        </w:tc>
        <w:tc>
          <w:tcPr>
            <w:cnfStyle w:val="000000010000"/>
            <w:tcW w:w="2551" w:type="dxa"/>
            <w:shd w:val="clear" w:color="auto" w:fill="auto"/>
          </w:tcPr>
          <w:p w14:paraId="0000044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995774.86</w:t>
            </w:r>
          </w:p>
        </w:tc>
        <w:tc>
          <w:tcPr>
            <w:cnfStyle w:val="000000010000"/>
            <w:tcW w:w="2977" w:type="dxa"/>
            <w:shd w:val="clear" w:color="auto" w:fill="auto"/>
          </w:tcPr>
          <w:p w14:paraId="0000044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2731088.80</w:t>
            </w:r>
          </w:p>
        </w:tc>
      </w:tr>
      <w:tr>
        <w:trPr>
          <w:wAfter w:w="0" w:type="dxa"/>
        </w:trPr>
        <w:tc>
          <w:tcPr>
            <w:cnfStyle w:val="001000100000"/>
            <w:tcW w:w="1631" w:type="dxa"/>
            <w:shd w:val="clear" w:color="auto" w:fill="auto"/>
          </w:tcPr>
          <w:p w14:paraId="0000044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31</w:t>
            </w:r>
          </w:p>
        </w:tc>
        <w:tc>
          <w:tcPr>
            <w:cnfStyle w:val="000000100000"/>
            <w:tcW w:w="2551" w:type="dxa"/>
            <w:shd w:val="clear" w:color="auto" w:fill="auto"/>
          </w:tcPr>
          <w:p w14:paraId="0000044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995772.88</w:t>
            </w:r>
          </w:p>
        </w:tc>
        <w:tc>
          <w:tcPr>
            <w:cnfStyle w:val="000000100000"/>
            <w:tcW w:w="2977" w:type="dxa"/>
            <w:shd w:val="clear" w:color="auto" w:fill="auto"/>
          </w:tcPr>
          <w:p w14:paraId="0000044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2731099.05</w:t>
            </w:r>
          </w:p>
        </w:tc>
      </w:tr>
      <w:tr>
        <w:trPr>
          <w:wAfter w:w="0" w:type="dxa"/>
        </w:trPr>
        <w:tc>
          <w:tcPr>
            <w:cnfStyle w:val="001000010000"/>
            <w:tcW w:w="1631" w:type="dxa"/>
            <w:shd w:val="clear" w:color="auto" w:fill="auto"/>
          </w:tcPr>
          <w:p w14:paraId="0000044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32</w:t>
            </w:r>
          </w:p>
        </w:tc>
        <w:tc>
          <w:tcPr>
            <w:cnfStyle w:val="000000010000"/>
            <w:tcW w:w="2551" w:type="dxa"/>
            <w:shd w:val="clear" w:color="auto" w:fill="auto"/>
          </w:tcPr>
          <w:p w14:paraId="0000044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995772.19</w:t>
            </w:r>
          </w:p>
        </w:tc>
        <w:tc>
          <w:tcPr>
            <w:cnfStyle w:val="000000010000"/>
            <w:tcW w:w="2977" w:type="dxa"/>
            <w:shd w:val="clear" w:color="auto" w:fill="auto"/>
          </w:tcPr>
          <w:p w14:paraId="0000044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2731195.16</w:t>
            </w:r>
          </w:p>
        </w:tc>
      </w:tr>
      <w:tr>
        <w:trPr>
          <w:wAfter w:w="0" w:type="dxa"/>
        </w:trPr>
        <w:tc>
          <w:tcPr>
            <w:cnfStyle w:val="001000100000"/>
            <w:tcW w:w="1631" w:type="dxa"/>
            <w:shd w:val="clear" w:color="auto" w:fill="auto"/>
          </w:tcPr>
          <w:p w14:paraId="0000044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33</w:t>
            </w:r>
          </w:p>
        </w:tc>
        <w:tc>
          <w:tcPr>
            <w:cnfStyle w:val="000000100000"/>
            <w:tcW w:w="2551" w:type="dxa"/>
            <w:shd w:val="clear" w:color="auto" w:fill="auto"/>
          </w:tcPr>
          <w:p w14:paraId="0000044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995792.16</w:t>
            </w:r>
          </w:p>
        </w:tc>
        <w:tc>
          <w:tcPr>
            <w:cnfStyle w:val="000000100000"/>
            <w:tcW w:w="2977" w:type="dxa"/>
            <w:shd w:val="clear" w:color="auto" w:fill="auto"/>
          </w:tcPr>
          <w:p w14:paraId="0000044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2731195.39</w:t>
            </w:r>
          </w:p>
        </w:tc>
      </w:tr>
      <w:tr>
        <w:trPr>
          <w:wAfter w:w="0" w:type="dxa"/>
        </w:trPr>
        <w:tc>
          <w:tcPr>
            <w:cnfStyle w:val="001000010000"/>
            <w:tcW w:w="1631" w:type="dxa"/>
            <w:shd w:val="clear" w:color="auto" w:fill="auto"/>
          </w:tcPr>
          <w:p w14:paraId="0000044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34</w:t>
            </w:r>
          </w:p>
        </w:tc>
        <w:tc>
          <w:tcPr>
            <w:cnfStyle w:val="000000010000"/>
            <w:tcW w:w="2551" w:type="dxa"/>
            <w:shd w:val="clear" w:color="auto" w:fill="auto"/>
          </w:tcPr>
          <w:p w14:paraId="0000044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995787.21</w:t>
            </w:r>
          </w:p>
        </w:tc>
        <w:tc>
          <w:tcPr>
            <w:cnfStyle w:val="000000010000"/>
            <w:tcW w:w="2977" w:type="dxa"/>
            <w:shd w:val="clear" w:color="auto" w:fill="auto"/>
          </w:tcPr>
          <w:p w14:paraId="0000044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2731611.79</w:t>
            </w:r>
          </w:p>
        </w:tc>
      </w:tr>
      <w:tr>
        <w:trPr>
          <w:wAfter w:w="0" w:type="dxa"/>
        </w:trPr>
        <w:tc>
          <w:tcPr>
            <w:cnfStyle w:val="001000100000"/>
            <w:tcW w:w="1631" w:type="dxa"/>
            <w:shd w:val="clear" w:color="auto" w:fill="auto"/>
          </w:tcPr>
          <w:p w14:paraId="0000044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35</w:t>
            </w:r>
          </w:p>
        </w:tc>
        <w:tc>
          <w:tcPr>
            <w:cnfStyle w:val="000000100000"/>
            <w:tcW w:w="2551" w:type="dxa"/>
            <w:shd w:val="clear" w:color="auto" w:fill="auto"/>
          </w:tcPr>
          <w:p w14:paraId="0000044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995801.42</w:t>
            </w:r>
          </w:p>
        </w:tc>
        <w:tc>
          <w:tcPr>
            <w:cnfStyle w:val="000000100000"/>
            <w:tcW w:w="2977" w:type="dxa"/>
            <w:shd w:val="clear" w:color="auto" w:fill="auto"/>
          </w:tcPr>
          <w:p w14:paraId="0000045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2731629.36</w:t>
            </w:r>
          </w:p>
        </w:tc>
      </w:tr>
      <w:tr>
        <w:trPr>
          <w:wAfter w:w="0" w:type="dxa"/>
        </w:trPr>
        <w:tc>
          <w:tcPr>
            <w:cnfStyle w:val="001000010000"/>
            <w:tcW w:w="1631" w:type="dxa"/>
            <w:shd w:val="clear" w:color="auto" w:fill="auto"/>
          </w:tcPr>
          <w:p w14:paraId="0000045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36</w:t>
            </w:r>
          </w:p>
        </w:tc>
        <w:tc>
          <w:tcPr>
            <w:cnfStyle w:val="000000010000"/>
            <w:tcW w:w="2551" w:type="dxa"/>
            <w:shd w:val="clear" w:color="auto" w:fill="auto"/>
          </w:tcPr>
          <w:p w14:paraId="0000045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995801.53</w:t>
            </w:r>
          </w:p>
        </w:tc>
        <w:tc>
          <w:tcPr>
            <w:cnfStyle w:val="000000010000"/>
            <w:tcW w:w="2977" w:type="dxa"/>
            <w:shd w:val="clear" w:color="auto" w:fill="auto"/>
          </w:tcPr>
          <w:p w14:paraId="0000045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2731763.52</w:t>
            </w:r>
          </w:p>
        </w:tc>
      </w:tr>
      <w:tr>
        <w:trPr>
          <w:wAfter w:w="0" w:type="dxa"/>
        </w:trPr>
        <w:tc>
          <w:tcPr>
            <w:cnfStyle w:val="001000100000"/>
            <w:tcW w:w="1631" w:type="dxa"/>
            <w:shd w:val="clear" w:color="auto" w:fill="auto"/>
          </w:tcPr>
          <w:p w14:paraId="0000045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45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996000.99</w:t>
            </w:r>
          </w:p>
        </w:tc>
        <w:tc>
          <w:tcPr>
            <w:cnfStyle w:val="000000100000"/>
            <w:tcW w:w="2977" w:type="dxa"/>
            <w:shd w:val="clear" w:color="auto" w:fill="auto"/>
          </w:tcPr>
          <w:p w14:paraId="0000045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2730931.64</w:t>
            </w:r>
          </w:p>
        </w:tc>
      </w:tr>
    </w:tbl>
    <w:p w14:paraId="00000457">
      <w:pPr>
        <w:pStyle w:val="Normal"/>
        <w:shd w:val="clear" w:color="auto" w:fill="ffffff"/>
        <w:jc w:val="center"/>
        <w:rPr>
          <w:color w:val="000000"/>
          <w:sz w:val="24"/>
          <w:szCs w:val="24"/>
          <w:lang w:eastAsia="en-US"/>
        </w:rPr>
      </w:pPr>
    </w:p>
    <w:p w14:paraId="00000458">
      <w:pPr>
        <w:pStyle w:val="Normal"/>
        <w:shd w:val="clear" w:color="auto" w:fill="ffffff"/>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Перечень координат  характерных точек образуемого</w:t>
      </w:r>
    </w:p>
    <w:p w14:paraId="0000045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земельного участка 86:02:0808002: 1597:ЗУ1</w:t>
      </w:r>
    </w:p>
    <w:p w14:paraId="0000045A">
      <w:pPr>
        <w:pStyle w:val="Normal"/>
        <w:shd w:val="clear" w:color="auto" w:fill="ffffff"/>
        <w:jc w:val="center"/>
        <w:rPr>
          <w:color w:val="000000"/>
          <w:sz w:val="24"/>
          <w:szCs w:val="24"/>
          <w:lang w:eastAsia="en-US"/>
        </w:rPr>
      </w:pPr>
    </w:p>
    <w:tbl>
      <w:tblPr>
        <w:tblW w:w="0" w:type="auto"/>
        <w:jc w:val="center"/>
        <w:tblInd w:w="1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
        <w:tblLook w:val="04A0"/>
      </w:tblPr>
      <w:tblGrid>
        <w:gridCol w:w="1631"/>
        <w:gridCol w:w="2551"/>
        <w:gridCol w:w="2977"/>
      </w:tblGrid>
      <w:tr>
        <w:trPr>
          <w:wAfter w:w="0" w:type="dxa"/>
          <w:tblHeader w:val="on"/>
        </w:trPr>
        <w:tc>
          <w:tcPr>
            <w:cnfStyle w:val="101000000000"/>
            <w:tcW w:w="1631" w:type="dxa"/>
            <w:shd w:val="clear" w:color="auto" w:fill="auto"/>
            <w:vAlign w:val="center"/>
          </w:tcPr>
          <w:p w14:paraId="0000045B">
            <w:pPr>
              <w:pStyle w:val="Normal"/>
              <w:jc w:val="center"/>
              <w:rPr>
                <w:rFonts w:ascii="Times New Roman" w:cs="Times New Roman" w:hAnsi="Times New Roman"/>
                <w:color w:val="000000"/>
                <w:sz w:val="24"/>
                <w:szCs w:val="24"/>
                <w:lang w:eastAsia="en-US"/>
              </w:rPr>
            </w:pPr>
          </w:p>
          <w:p w14:paraId="0000045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Номер</w:t>
            </w:r>
          </w:p>
        </w:tc>
        <w:tc>
          <w:tcPr>
            <w:cnfStyle w:val="100000000000"/>
            <w:tcW w:w="2551" w:type="dxa"/>
            <w:shd w:val="clear" w:color="auto" w:fill="auto"/>
            <w:vAlign w:val="center"/>
          </w:tcPr>
          <w:p w14:paraId="0000045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X</w:t>
            </w:r>
          </w:p>
        </w:tc>
        <w:tc>
          <w:tcPr>
            <w:cnfStyle w:val="100000000000"/>
            <w:tcW w:w="2977" w:type="dxa"/>
            <w:shd w:val="clear" w:color="auto" w:fill="auto"/>
            <w:vAlign w:val="center"/>
          </w:tcPr>
          <w:p w14:paraId="0000045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Y</w:t>
            </w:r>
          </w:p>
        </w:tc>
      </w:tr>
      <w:tr>
        <w:trPr>
          <w:wAfter w:w="0" w:type="dxa"/>
        </w:trPr>
        <w:tc>
          <w:tcPr>
            <w:cnfStyle w:val="001000100000"/>
            <w:tcW w:w="1631" w:type="dxa"/>
            <w:shd w:val="clear" w:color="auto" w:fill="auto"/>
          </w:tcPr>
          <w:p w14:paraId="0000045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46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996027.61</w:t>
            </w:r>
          </w:p>
        </w:tc>
        <w:tc>
          <w:tcPr>
            <w:cnfStyle w:val="000000100000"/>
            <w:tcW w:w="2977" w:type="dxa"/>
            <w:shd w:val="clear" w:color="auto" w:fill="auto"/>
          </w:tcPr>
          <w:p w14:paraId="0000046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2732012.31</w:t>
            </w:r>
          </w:p>
        </w:tc>
      </w:tr>
      <w:tr>
        <w:trPr>
          <w:wAfter w:w="0" w:type="dxa"/>
          <w:trHeight w:val="355" w:hRule="atLeast"/>
        </w:trPr>
        <w:tc>
          <w:tcPr>
            <w:cnfStyle w:val="001000010000"/>
            <w:tcW w:w="1631" w:type="dxa"/>
            <w:shd w:val="clear" w:color="auto" w:fill="auto"/>
          </w:tcPr>
          <w:p w14:paraId="0000046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w:t>
            </w:r>
          </w:p>
        </w:tc>
        <w:tc>
          <w:tcPr>
            <w:cnfStyle w:val="000000010000"/>
            <w:tcW w:w="2551" w:type="dxa"/>
            <w:shd w:val="clear" w:color="auto" w:fill="auto"/>
          </w:tcPr>
          <w:p w14:paraId="0000046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996045.45</w:t>
            </w:r>
          </w:p>
        </w:tc>
        <w:tc>
          <w:tcPr>
            <w:cnfStyle w:val="000000010000"/>
            <w:tcW w:w="2977" w:type="dxa"/>
            <w:shd w:val="clear" w:color="auto" w:fill="auto"/>
          </w:tcPr>
          <w:p w14:paraId="00000464">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2732048.53</w:t>
            </w:r>
          </w:p>
        </w:tc>
      </w:tr>
      <w:tr>
        <w:trPr>
          <w:wAfter w:w="0" w:type="dxa"/>
        </w:trPr>
        <w:tc>
          <w:tcPr>
            <w:cnfStyle w:val="001000100000"/>
            <w:tcW w:w="1631" w:type="dxa"/>
            <w:shd w:val="clear" w:color="auto" w:fill="auto"/>
          </w:tcPr>
          <w:p w14:paraId="00000465">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3</w:t>
            </w:r>
          </w:p>
        </w:tc>
        <w:tc>
          <w:tcPr>
            <w:cnfStyle w:val="000000100000"/>
            <w:tcW w:w="2551" w:type="dxa"/>
            <w:shd w:val="clear" w:color="auto" w:fill="auto"/>
          </w:tcPr>
          <w:p w14:paraId="00000466">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996032.94</w:t>
            </w:r>
          </w:p>
        </w:tc>
        <w:tc>
          <w:tcPr>
            <w:cnfStyle w:val="000000100000"/>
            <w:tcW w:w="2977" w:type="dxa"/>
            <w:shd w:val="clear" w:color="auto" w:fill="auto"/>
          </w:tcPr>
          <w:p w14:paraId="00000467">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2732048.02</w:t>
            </w:r>
          </w:p>
        </w:tc>
      </w:tr>
      <w:tr>
        <w:trPr>
          <w:wAfter w:w="0" w:type="dxa"/>
        </w:trPr>
        <w:tc>
          <w:tcPr>
            <w:cnfStyle w:val="001000010000"/>
            <w:tcW w:w="1631" w:type="dxa"/>
            <w:shd w:val="clear" w:color="auto" w:fill="auto"/>
          </w:tcPr>
          <w:p w14:paraId="00000468">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4</w:t>
            </w:r>
          </w:p>
        </w:tc>
        <w:tc>
          <w:tcPr>
            <w:cnfStyle w:val="000000010000"/>
            <w:tcW w:w="2551" w:type="dxa"/>
            <w:shd w:val="clear" w:color="auto" w:fill="auto"/>
          </w:tcPr>
          <w:p w14:paraId="00000469">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996028.74</w:t>
            </w:r>
          </w:p>
        </w:tc>
        <w:tc>
          <w:tcPr>
            <w:cnfStyle w:val="000000010000"/>
            <w:tcW w:w="2977" w:type="dxa"/>
            <w:shd w:val="clear" w:color="auto" w:fill="auto"/>
          </w:tcPr>
          <w:p w14:paraId="0000046A">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2732050.16</w:t>
            </w:r>
          </w:p>
        </w:tc>
      </w:tr>
      <w:tr>
        <w:trPr>
          <w:wAfter w:w="0" w:type="dxa"/>
        </w:trPr>
        <w:tc>
          <w:tcPr>
            <w:cnfStyle w:val="001000100000"/>
            <w:tcW w:w="1631" w:type="dxa"/>
            <w:shd w:val="clear" w:color="auto" w:fill="auto"/>
          </w:tcPr>
          <w:p w14:paraId="0000046B">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5</w:t>
            </w:r>
          </w:p>
        </w:tc>
        <w:tc>
          <w:tcPr>
            <w:cnfStyle w:val="000000100000"/>
            <w:tcW w:w="2551" w:type="dxa"/>
            <w:shd w:val="clear" w:color="auto" w:fill="auto"/>
          </w:tcPr>
          <w:p w14:paraId="0000046C">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996031.34</w:t>
            </w:r>
          </w:p>
        </w:tc>
        <w:tc>
          <w:tcPr>
            <w:cnfStyle w:val="000000100000"/>
            <w:tcW w:w="2977" w:type="dxa"/>
            <w:shd w:val="clear" w:color="auto" w:fill="auto"/>
          </w:tcPr>
          <w:p w14:paraId="0000046D">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2732038.40</w:t>
            </w:r>
          </w:p>
        </w:tc>
      </w:tr>
      <w:tr>
        <w:trPr>
          <w:wAfter w:w="0" w:type="dxa"/>
        </w:trPr>
        <w:tc>
          <w:tcPr>
            <w:cnfStyle w:val="001000010000"/>
            <w:tcW w:w="1631" w:type="dxa"/>
            <w:shd w:val="clear" w:color="auto" w:fill="auto"/>
          </w:tcPr>
          <w:p w14:paraId="0000046E">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6</w:t>
            </w:r>
          </w:p>
        </w:tc>
        <w:tc>
          <w:tcPr>
            <w:cnfStyle w:val="000000010000"/>
            <w:tcW w:w="2551" w:type="dxa"/>
            <w:shd w:val="clear" w:color="auto" w:fill="auto"/>
          </w:tcPr>
          <w:p w14:paraId="0000046F">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996019.57</w:t>
            </w:r>
          </w:p>
        </w:tc>
        <w:tc>
          <w:tcPr>
            <w:cnfStyle w:val="000000010000"/>
            <w:tcW w:w="2977" w:type="dxa"/>
            <w:shd w:val="clear" w:color="auto" w:fill="auto"/>
          </w:tcPr>
          <w:p w14:paraId="00000470">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2732016.33</w:t>
            </w:r>
          </w:p>
        </w:tc>
      </w:tr>
      <w:tr>
        <w:trPr>
          <w:wAfter w:w="0" w:type="dxa"/>
        </w:trPr>
        <w:tc>
          <w:tcPr>
            <w:cnfStyle w:val="001000100000"/>
            <w:tcW w:w="1631" w:type="dxa"/>
            <w:shd w:val="clear" w:color="auto" w:fill="auto"/>
          </w:tcPr>
          <w:p w14:paraId="00000471">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1</w:t>
            </w:r>
          </w:p>
        </w:tc>
        <w:tc>
          <w:tcPr>
            <w:cnfStyle w:val="000000100000"/>
            <w:tcW w:w="2551" w:type="dxa"/>
            <w:shd w:val="clear" w:color="auto" w:fill="auto"/>
          </w:tcPr>
          <w:p w14:paraId="00000472">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996027.61</w:t>
            </w:r>
          </w:p>
        </w:tc>
        <w:tc>
          <w:tcPr>
            <w:cnfStyle w:val="000000100000"/>
            <w:tcW w:w="2977" w:type="dxa"/>
            <w:shd w:val="clear" w:color="auto" w:fill="auto"/>
          </w:tcPr>
          <w:p w14:paraId="00000473">
            <w:pPr>
              <w:pStyle w:val="Normal"/>
              <w:jc w:val="center"/>
              <w:rPr>
                <w:rFonts w:ascii="Times New Roman" w:cs="Times New Roman" w:hAnsi="Times New Roman"/>
                <w:color w:val="000000"/>
                <w:sz w:val="24"/>
                <w:szCs w:val="24"/>
                <w:lang w:eastAsia="en-US"/>
              </w:rPr>
            </w:pPr>
            <w:r>
              <w:rPr>
                <w:rFonts w:ascii="Times New Roman" w:cs="Times New Roman" w:hAnsi="Times New Roman"/>
                <w:color w:val="000000"/>
                <w:sz w:val="24"/>
                <w:szCs w:val="24"/>
                <w:lang w:eastAsia="en-US"/>
              </w:rPr>
              <w:t>2732012.31</w:t>
            </w:r>
          </w:p>
        </w:tc>
      </w:tr>
    </w:tbl>
    <w:p w14:paraId="00000474">
      <w:pPr>
        <w:pStyle w:val="Normal"/>
        <w:jc w:val="center"/>
        <w:rPr>
          <w:color w:val="000000"/>
          <w:sz w:val="24"/>
          <w:szCs w:val="24"/>
          <w:lang w:eastAsia="en-US"/>
        </w:rPr>
      </w:pPr>
    </w:p>
    <w:p w14:paraId="00000475">
      <w:pPr>
        <w:pStyle w:val="Normal"/>
        <w:shd w:val="clear" w:color="auto" w:fill="ffffff"/>
        <w:jc w:val="center"/>
        <w:rPr>
          <w:color w:val="000000"/>
          <w:sz w:val="24"/>
          <w:szCs w:val="24"/>
          <w:lang w:eastAsia="en-US"/>
        </w:rPr>
      </w:pPr>
    </w:p>
    <w:p w14:paraId="00000476">
      <w:pPr>
        <w:pStyle w:val="Normal"/>
        <w:shd w:val="clear" w:color="auto" w:fill="ffffff"/>
        <w:jc w:val="center"/>
        <w:rPr>
          <w:color w:val="000000"/>
          <w:sz w:val="24"/>
          <w:szCs w:val="24"/>
          <w:lang w:eastAsia="en-US"/>
        </w:rPr>
      </w:pPr>
    </w:p>
    <w:p w14:paraId="00000477">
      <w:pPr>
        <w:pStyle w:val="Normal"/>
        <w:tabs>
          <w:tab w:val="left" w:leader="none" w:pos="7069"/>
        </w:tabs>
        <w:jc w:val="center"/>
        <w:rPr>
          <w:rFonts w:ascii="Times New Roman" w:cs="Times New Roman" w:hAnsi="Times New Roman"/>
          <w:sz w:val="28"/>
          <w:szCs w:val="28"/>
        </w:rPr>
      </w:pPr>
    </w:p>
    <w:sectPr>
      <w:pgSz w:w="11906" w:h="16838"/>
      <w:pgMar w:top="1418" w:right="1247" w:bottom="1134" w:left="1588" w:header="709" w:footer="709" w:gutter="0"/>
      <w:cols w:space="708"/>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00000000" w:usb1="00000000" w:usb2="00000009" w:usb3="00000000" w:csb0="000001ff" w:csb1="00000000"/>
  </w:font>
  <w:font w:name="Times New Roman">
    <w:panose1 w:val="02020603050405020304"/>
    <w:charset w:val="cc"/>
    <w:family w:val="roman"/>
    <w:pitch w:val="variable"/>
    <w:sig w:usb0="00000000" w:usb1="00000000" w:usb2="00000009" w:usb3="00000000" w:csb0="000001ff" w:csb1="00000000"/>
  </w:font>
  <w:font w:name="Calibri Light">
    <w:panose1 w:val="020f0302020204030204"/>
    <w:charset w:val="cc"/>
    <w:family w:val="swiss"/>
    <w:pitch w:val="variable"/>
    <w:sig w:usb0="00000000" w:usb1="00000000" w:usb2="00000009" w:usb3="00000000" w:csb0="000001ff" w:csb1="00000000"/>
  </w:font>
  <w:font w:name="Courier New">
    <w:panose1 w:val="02070309020205020404"/>
    <w:charset w:val="cc"/>
    <w:family w:val="modern"/>
    <w:pitch w:val="fixed"/>
    <w:sig w:usb0="00000000" w:usb1="00000000" w:usb2="00000009"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roman"/>
    <w:pitch w:val="variable"/>
    <w:sig w:usb0="61002a87" w:usb1="80000000" w:usb2="00000008" w:usb3="00000000" w:csb0="000001ff" w:csb1="00000000"/>
  </w:font>
  <w:font w:name="Verdana">
    <w:panose1 w:val="020b0604030504040204"/>
    <w:charset w:val="00"/>
    <w:family w:val="roman"/>
    <w:pitch w:val="variable"/>
    <w:sig w:usb0="a10006ff" w:usb1="4000205b" w:usb2="00000010" w:usb3="00000000" w:csb0="0000019f" w:csb1="00000000"/>
  </w:font>
  <w:font w:name="Symbol">
    <w:panose1 w:val="05050102010706020507"/>
    <w:charset w:val="02"/>
    <w:family w:val="roman"/>
    <w:notTrueType w:val="on"/>
    <w:pitch w:val="variable"/>
  </w:font>
  <w:font w:name="Wingdings">
    <w:panose1 w:val="05000000000000000000"/>
    <w:charset w:val="02"/>
    <w:family w:val="auto"/>
    <w:notTrueType w:val="on"/>
    <w:pitch w:val="variable"/>
  </w:font>
  <w:font w:name="Helvetica Neue">
    <w:charset w:val="00"/>
    <w:family w:val="swiss"/>
    <w:pitch w:val="variable"/>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
    <w:multiLevelType w:val="multilevel"/>
    <w:lvl w:ilvl="0" w:tentative="0">
      <w:start w:val="1"/>
      <w:numFmt w:val="upperRoman"/>
      <w:suff w:val="tab"/>
      <w:lvlText w:val="%1."/>
      <w:lvlJc w:val="left"/>
      <w:pPr>
        <w:ind w:left="1800" w:hanging="720"/>
      </w:pPr>
      <w:rPr>
        <w:rFonts w:hint="default"/>
      </w:rPr>
    </w:lvl>
    <w:lvl w:ilvl="1" w:tentative="0">
      <w:start w:val="1"/>
      <w:numFmt w:val="decimal"/>
      <w:isLgl w:val="on"/>
      <w:suff w:val="tab"/>
      <w:lvlText w:val="%1.%2"/>
      <w:lvlJc w:val="left"/>
      <w:pPr>
        <w:ind w:left="1455" w:hanging="375"/>
      </w:pPr>
      <w:rPr>
        <w:rFonts w:hint="default"/>
      </w:rPr>
    </w:lvl>
    <w:lvl w:ilvl="2" w:tentative="0">
      <w:start w:val="1"/>
      <w:numFmt w:val="decimal"/>
      <w:isLgl w:val="on"/>
      <w:suff w:val="tab"/>
      <w:lvlText w:val="%1.%2.%3"/>
      <w:lvlJc w:val="left"/>
      <w:pPr>
        <w:ind w:left="1800" w:hanging="720"/>
      </w:pPr>
      <w:rPr>
        <w:rFonts w:hint="default"/>
      </w:rPr>
    </w:lvl>
    <w:lvl w:ilvl="3" w:tentative="0">
      <w:start w:val="1"/>
      <w:numFmt w:val="decimal"/>
      <w:isLgl w:val="on"/>
      <w:suff w:val="tab"/>
      <w:lvlText w:val="%1.%2.%3.%4"/>
      <w:lvlJc w:val="left"/>
      <w:pPr>
        <w:ind w:left="2160" w:hanging="1080"/>
      </w:pPr>
      <w:rPr>
        <w:rFonts w:hint="default"/>
      </w:rPr>
    </w:lvl>
    <w:lvl w:ilvl="4" w:tentative="0">
      <w:start w:val="1"/>
      <w:numFmt w:val="decimal"/>
      <w:isLgl w:val="on"/>
      <w:suff w:val="tab"/>
      <w:lvlText w:val="%1.%2.%3.%4.%5"/>
      <w:lvlJc w:val="left"/>
      <w:pPr>
        <w:ind w:left="2160" w:hanging="1080"/>
      </w:pPr>
      <w:rPr>
        <w:rFonts w:hint="default"/>
      </w:rPr>
    </w:lvl>
    <w:lvl w:ilvl="5" w:tentative="0">
      <w:start w:val="1"/>
      <w:numFmt w:val="decimal"/>
      <w:isLgl w:val="on"/>
      <w:suff w:val="tab"/>
      <w:lvlText w:val="%1.%2.%3.%4.%5.%6"/>
      <w:lvlJc w:val="left"/>
      <w:pPr>
        <w:ind w:left="2520" w:hanging="1440"/>
      </w:pPr>
      <w:rPr>
        <w:rFonts w:hint="default"/>
      </w:rPr>
    </w:lvl>
    <w:lvl w:ilvl="6" w:tentative="0">
      <w:start w:val="1"/>
      <w:numFmt w:val="decimal"/>
      <w:isLgl w:val="on"/>
      <w:suff w:val="tab"/>
      <w:lvlText w:val="%1.%2.%3.%4.%5.%6.%7"/>
      <w:lvlJc w:val="left"/>
      <w:pPr>
        <w:ind w:left="2520" w:hanging="1440"/>
      </w:pPr>
      <w:rPr>
        <w:rFonts w:hint="default"/>
      </w:rPr>
    </w:lvl>
    <w:lvl w:ilvl="7" w:tentative="0">
      <w:start w:val="1"/>
      <w:numFmt w:val="decimal"/>
      <w:isLgl w:val="on"/>
      <w:suff w:val="tab"/>
      <w:lvlText w:val="%1.%2.%3.%4.%5.%6.%7.%8"/>
      <w:lvlJc w:val="left"/>
      <w:pPr>
        <w:ind w:left="2880" w:hanging="1800"/>
      </w:pPr>
      <w:rPr>
        <w:rFonts w:hint="default"/>
      </w:rPr>
    </w:lvl>
    <w:lvl w:ilvl="8" w:tentative="0">
      <w:start w:val="1"/>
      <w:numFmt w:val="decimal"/>
      <w:isLgl w:val="on"/>
      <w:suff w:val="tab"/>
      <w:lvlText w:val="%1.%2.%3.%4.%5.%6.%7.%8.%9"/>
      <w:lvlJc w:val="left"/>
      <w:pPr>
        <w:ind w:left="3240" w:hanging="2160"/>
      </w:pPr>
      <w:rPr>
        <w:rFonts w:hint="default"/>
      </w:rPr>
    </w:lvl>
  </w:abstractNum>
  <w:abstractNum w:abstractNumId="2">
    <w:multiLevelType w:val="multilevel"/>
    <w:lvl w:ilvl="0" w:tentative="0">
      <w:start w:val="1"/>
      <w:numFmt w:val="decimal"/>
      <w:suff w:val="tab"/>
      <w:lvlText w:val="%1."/>
      <w:lvlJc w:val="left"/>
      <w:pPr>
        <w:ind w:left="450" w:hanging="450"/>
      </w:pPr>
      <w:rPr>
        <w:rFonts w:hint="default"/>
      </w:rPr>
    </w:lvl>
    <w:lvl w:ilvl="1" w:tentative="0">
      <w:start w:val="1"/>
      <w:numFmt w:val="decimal"/>
      <w:suff w:val="tab"/>
      <w:lvlText w:val="%1.%2."/>
      <w:lvlJc w:val="left"/>
      <w:pPr>
        <w:ind w:left="1800" w:hanging="720"/>
      </w:pPr>
      <w:rPr>
        <w:rFonts w:hint="default"/>
      </w:rPr>
    </w:lvl>
    <w:lvl w:ilvl="2" w:tentative="0">
      <w:start w:val="1"/>
      <w:numFmt w:val="decimal"/>
      <w:suff w:val="tab"/>
      <w:lvlText w:val="%1.%2.%3."/>
      <w:lvlJc w:val="left"/>
      <w:pPr>
        <w:ind w:left="2880" w:hanging="720"/>
      </w:pPr>
      <w:rPr>
        <w:rFonts w:hint="default"/>
      </w:rPr>
    </w:lvl>
    <w:lvl w:ilvl="3" w:tentative="0">
      <w:start w:val="1"/>
      <w:numFmt w:val="decimal"/>
      <w:suff w:val="tab"/>
      <w:lvlText w:val="%1.%2.%3.%4."/>
      <w:lvlJc w:val="left"/>
      <w:pPr>
        <w:ind w:left="4320" w:hanging="1080"/>
      </w:pPr>
      <w:rPr>
        <w:rFonts w:hint="default"/>
      </w:rPr>
    </w:lvl>
    <w:lvl w:ilvl="4" w:tentative="0">
      <w:start w:val="1"/>
      <w:numFmt w:val="decimal"/>
      <w:suff w:val="tab"/>
      <w:lvlText w:val="%1.%2.%3.%4.%5."/>
      <w:lvlJc w:val="left"/>
      <w:pPr>
        <w:ind w:left="5400" w:hanging="1080"/>
      </w:pPr>
      <w:rPr>
        <w:rFonts w:hint="default"/>
      </w:rPr>
    </w:lvl>
    <w:lvl w:ilvl="5" w:tentative="0">
      <w:start w:val="1"/>
      <w:numFmt w:val="decimal"/>
      <w:suff w:val="tab"/>
      <w:lvlText w:val="%1.%2.%3.%4.%5.%6."/>
      <w:lvlJc w:val="left"/>
      <w:pPr>
        <w:ind w:left="6840" w:hanging="1440"/>
      </w:pPr>
      <w:rPr>
        <w:rFonts w:hint="default"/>
      </w:rPr>
    </w:lvl>
    <w:lvl w:ilvl="6" w:tentative="0">
      <w:start w:val="1"/>
      <w:numFmt w:val="decimal"/>
      <w:suff w:val="tab"/>
      <w:lvlText w:val="%1.%2.%3.%4.%5.%6.%7."/>
      <w:lvlJc w:val="left"/>
      <w:pPr>
        <w:ind w:left="8280" w:hanging="1800"/>
      </w:pPr>
      <w:rPr>
        <w:rFonts w:hint="default"/>
      </w:rPr>
    </w:lvl>
    <w:lvl w:ilvl="7" w:tentative="0">
      <w:start w:val="1"/>
      <w:numFmt w:val="decimal"/>
      <w:suff w:val="tab"/>
      <w:lvlText w:val="%1.%2.%3.%4.%5.%6.%7.%8."/>
      <w:lvlJc w:val="left"/>
      <w:pPr>
        <w:ind w:left="9360" w:hanging="1800"/>
      </w:pPr>
      <w:rPr>
        <w:rFonts w:hint="default"/>
      </w:rPr>
    </w:lvl>
    <w:lvl w:ilvl="8" w:tentative="0">
      <w:start w:val="1"/>
      <w:numFmt w:val="decimal"/>
      <w:suff w:val="tab"/>
      <w:lvlText w:val="%1.%2.%3.%4.%5.%6.%7.%8.%9."/>
      <w:lvlJc w:val="left"/>
      <w:pPr>
        <w:ind w:left="10800" w:hanging="2160"/>
      </w:pPr>
      <w:rPr>
        <w:rFonts w:hint="default"/>
      </w:rPr>
    </w:lvl>
  </w:abstractNum>
  <w:abstractNum w:abstractNumId="3">
    <w:multiLevelType w:val="hybridMultilevel"/>
    <w:lvl w:ilvl="0" w:tentative="0">
      <w:start w:val="2"/>
      <w:numFmt w:val="upperRoman"/>
      <w:suff w:val="tab"/>
      <w:lvlText w:val="%1."/>
      <w:lvlJc w:val="left"/>
      <w:pPr>
        <w:ind w:left="1800" w:hanging="720"/>
      </w:pPr>
      <w:rPr>
        <w:rFonts w:hint="default"/>
      </w:rPr>
    </w:lvl>
    <w:lvl w:ilvl="1" w:tentative="1">
      <w:start w:val="1"/>
      <w:numFmt w:val="lowerLetter"/>
      <w:suff w:val="tab"/>
      <w:lvlText w:val="%2."/>
      <w:lvlJc w:val="left"/>
      <w:pPr>
        <w:ind w:left="2160" w:hanging="360"/>
      </w:pPr>
      <w:rPr/>
    </w:lvl>
    <w:lvl w:ilvl="2" w:tentative="1">
      <w:start w:val="1"/>
      <w:numFmt w:val="lowerRoman"/>
      <w:suff w:val="tab"/>
      <w:lvlText w:val="%3."/>
      <w:lvlJc w:val="right"/>
      <w:pPr>
        <w:ind w:left="2880" w:hanging="180"/>
      </w:pPr>
      <w:rPr/>
    </w:lvl>
    <w:lvl w:ilvl="3" w:tentative="1">
      <w:start w:val="1"/>
      <w:numFmt w:val="decimal"/>
      <w:suff w:val="tab"/>
      <w:lvlText w:val="%4."/>
      <w:lvlJc w:val="left"/>
      <w:pPr>
        <w:ind w:left="3600" w:hanging="360"/>
      </w:pPr>
      <w:rPr/>
    </w:lvl>
    <w:lvl w:ilvl="4" w:tentative="1">
      <w:start w:val="1"/>
      <w:numFmt w:val="lowerLetter"/>
      <w:suff w:val="tab"/>
      <w:lvlText w:val="%5."/>
      <w:lvlJc w:val="left"/>
      <w:pPr>
        <w:ind w:left="4320" w:hanging="360"/>
      </w:pPr>
      <w:rPr/>
    </w:lvl>
    <w:lvl w:ilvl="5" w:tentative="1">
      <w:start w:val="1"/>
      <w:numFmt w:val="lowerRoman"/>
      <w:suff w:val="tab"/>
      <w:lvlText w:val="%6."/>
      <w:lvlJc w:val="right"/>
      <w:pPr>
        <w:ind w:left="5040" w:hanging="180"/>
      </w:pPr>
      <w:rPr/>
    </w:lvl>
    <w:lvl w:ilvl="6" w:tentative="1">
      <w:start w:val="1"/>
      <w:numFmt w:val="decimal"/>
      <w:suff w:val="tab"/>
      <w:lvlText w:val="%7."/>
      <w:lvlJc w:val="left"/>
      <w:pPr>
        <w:ind w:left="5760" w:hanging="360"/>
      </w:pPr>
      <w:rPr/>
    </w:lvl>
    <w:lvl w:ilvl="7" w:tentative="1">
      <w:start w:val="1"/>
      <w:numFmt w:val="lowerLetter"/>
      <w:suff w:val="tab"/>
      <w:lvlText w:val="%8."/>
      <w:lvlJc w:val="left"/>
      <w:pPr>
        <w:ind w:left="6480" w:hanging="360"/>
      </w:pPr>
      <w:rPr/>
    </w:lvl>
    <w:lvl w:ilvl="8" w:tentative="1">
      <w:start w:val="1"/>
      <w:numFmt w:val="lowerRoman"/>
      <w:suff w:val="tab"/>
      <w:lvlText w:val="%9."/>
      <w:lvlJc w:val="right"/>
      <w:pPr>
        <w:ind w:left="7200" w:hanging="180"/>
      </w:pPr>
      <w:rPr/>
    </w:lvl>
  </w:abstractNum>
  <w:abstractNum w:abstractNumId="4">
    <w:multiLevelType w:val="hybridMultilevel"/>
    <w:lvl w:ilvl="0" w:tentative="0">
      <w:start w:val="1"/>
      <w:numFmt w:val="decimal"/>
      <w:suff w:val="tab"/>
      <w:lvlText w:val="%1"/>
      <w:lvlJc w:val="left"/>
      <w:pPr>
        <w:ind w:left="720" w:hanging="360"/>
      </w:pPr>
      <w:rPr>
        <w:rFonts w:hint="default"/>
      </w:rPr>
    </w:lvl>
    <w:lvl w:ilvl="1" w:tentative="1">
      <w:start w:val="1"/>
      <w:numFmt w:val="lowerLetter"/>
      <w:suff w:val="tab"/>
      <w:lvlText w:val="%2."/>
      <w:lvlJc w:val="left"/>
      <w:pPr>
        <w:ind w:left="1440" w:hanging="360"/>
      </w:pPr>
      <w:rPr/>
    </w:lvl>
    <w:lvl w:ilvl="2" w:tentative="1">
      <w:start w:val="1"/>
      <w:numFmt w:val="lowerRoman"/>
      <w:suff w:val="tab"/>
      <w:lvlText w:val="%3."/>
      <w:lvlJc w:val="right"/>
      <w:pPr>
        <w:ind w:left="2160" w:hanging="180"/>
      </w:pPr>
      <w:rPr/>
    </w:lvl>
    <w:lvl w:ilvl="3" w:tentative="1">
      <w:start w:val="1"/>
      <w:numFmt w:val="decimal"/>
      <w:suff w:val="tab"/>
      <w:lvlText w:val="%4."/>
      <w:lvlJc w:val="left"/>
      <w:pPr>
        <w:ind w:left="2880" w:hanging="360"/>
      </w:pPr>
      <w:rPr/>
    </w:lvl>
    <w:lvl w:ilvl="4" w:tentative="1">
      <w:start w:val="1"/>
      <w:numFmt w:val="lowerLetter"/>
      <w:suff w:val="tab"/>
      <w:lvlText w:val="%5."/>
      <w:lvlJc w:val="left"/>
      <w:pPr>
        <w:ind w:left="3600" w:hanging="360"/>
      </w:pPr>
      <w:rPr/>
    </w:lvl>
    <w:lvl w:ilvl="5" w:tentative="1">
      <w:start w:val="1"/>
      <w:numFmt w:val="lowerRoman"/>
      <w:suff w:val="tab"/>
      <w:lvlText w:val="%6."/>
      <w:lvlJc w:val="right"/>
      <w:pPr>
        <w:ind w:left="4320" w:hanging="180"/>
      </w:pPr>
      <w:rPr/>
    </w:lvl>
    <w:lvl w:ilvl="6" w:tentative="1">
      <w:start w:val="1"/>
      <w:numFmt w:val="decimal"/>
      <w:suff w:val="tab"/>
      <w:lvlText w:val="%7."/>
      <w:lvlJc w:val="left"/>
      <w:pPr>
        <w:ind w:left="5040" w:hanging="360"/>
      </w:pPr>
      <w:rPr/>
    </w:lvl>
    <w:lvl w:ilvl="7" w:tentative="1">
      <w:start w:val="1"/>
      <w:numFmt w:val="lowerLetter"/>
      <w:suff w:val="tab"/>
      <w:lvlText w:val="%8."/>
      <w:lvlJc w:val="left"/>
      <w:pPr>
        <w:ind w:left="5760" w:hanging="360"/>
      </w:pPr>
      <w:rPr/>
    </w:lvl>
    <w:lvl w:ilvl="8" w:tentative="1">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46A"/>
    <w:rsid w:val="00023FB2"/>
    <w:rsid w:val="00081E6B"/>
    <w:rsid w:val="00130CB0"/>
    <w:rsid w:val="002B6997"/>
    <w:rsid w:val="0039351B"/>
    <w:rsid w:val="0044490E"/>
    <w:rsid w:val="005367E9"/>
    <w:rsid w:val="0055546A"/>
    <w:rsid w:val="00700742"/>
    <w:rsid w:val="00722BC4"/>
    <w:rsid w:val="008F76A3"/>
    <w:rsid w:val="009E524C"/>
    <w:rsid w:val="009E77A8"/>
    <w:rsid w:val="00A350B7"/>
    <w:rsid w:val="00F975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7D2DF"/>
  <w15:chartTrackingRefBased/>
  <w15:docId w15:val="{01246615-0738-4781-B6D4-ECDA2CADF30E}"/>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ru-RU" w:bidi="ar-SA" w:eastAsia="en-US"/>
      </w:rPr>
    </w:rPrDefault>
    <w:pPrDefault>
      <w:pPr>
        <w:spacing w:after="160" w:line="259" w:lineRule="auto"/>
      </w:pPr>
    </w:pPrDefault>
  </w:docDefaults>
  <w:style w:type="character" w:customStyle="1" w:styleId="Heading1Char">
    <w:name w:val="Heading 1 Char"/>
    <w:uiPriority w:val="9"/>
    <w:rPr>
      <w:rFonts w:asciiTheme="majorHAnsi" w:cstheme="majorBidi" w:eastAsiaTheme="majorEastAsia" w:hAnsiTheme="majorHAnsi"/>
      <w:b/>
      <w:bCs/>
      <w:color w:val="2f5395" w:themeColor="accent1" w:themeShade="bf"/>
      <w:sz w:val="28"/>
      <w:szCs w:val="28"/>
    </w:rPr>
  </w:style>
  <w:style w:type="character" w:customStyle="1" w:styleId="Heading2Char">
    <w:name w:val="Heading 2 Char"/>
    <w:uiPriority w:val="9"/>
    <w:rPr>
      <w:rFonts w:asciiTheme="majorHAnsi" w:cstheme="majorBidi" w:eastAsiaTheme="majorEastAsia" w:hAnsiTheme="majorHAnsi"/>
      <w:b/>
      <w:bCs/>
      <w:color w:val="4472c4" w:themeColor="accent1"/>
      <w:sz w:val="26"/>
      <w:szCs w:val="26"/>
    </w:rPr>
  </w:style>
  <w:style w:type="character" w:customStyle="1" w:styleId="Heading3Char">
    <w:name w:val="Heading 3 Char"/>
    <w:uiPriority w:val="9"/>
    <w:rPr>
      <w:rFonts w:asciiTheme="majorHAnsi" w:cstheme="majorBidi" w:eastAsiaTheme="majorEastAsia" w:hAnsiTheme="majorHAnsi"/>
      <w:b/>
      <w:bCs/>
      <w:color w:val="4472c4" w:themeColor="accent1"/>
    </w:rPr>
  </w:style>
  <w:style w:type="character" w:customStyle="1" w:styleId="Heading4Char">
    <w:name w:val="Heading 4 Char"/>
    <w:uiPriority w:val="9"/>
    <w:rPr>
      <w:rFonts w:asciiTheme="majorHAnsi" w:cstheme="majorBidi" w:eastAsiaTheme="majorEastAsia" w:hAnsiTheme="majorHAnsi"/>
      <w:b/>
      <w:bCs/>
      <w:i/>
      <w:iCs/>
      <w:color w:val="4472c4" w:themeColor="accent1"/>
    </w:rPr>
  </w:style>
  <w:style w:type="character" w:customStyle="1" w:styleId="Heading5Char">
    <w:name w:val="Heading 5 Char"/>
    <w:uiPriority w:val="9"/>
    <w:rPr>
      <w:rFonts w:asciiTheme="majorHAnsi" w:cstheme="majorBidi" w:eastAsiaTheme="majorEastAsia" w:hAnsiTheme="majorHAnsi"/>
      <w:color w:val="1f3763" w:themeColor="accent1" w:themeShade="7f"/>
    </w:rPr>
  </w:style>
  <w:style w:type="character" w:customStyle="1" w:styleId="Heading6Char">
    <w:name w:val="Heading 6 Char"/>
    <w:uiPriority w:val="9"/>
    <w:rPr>
      <w:rFonts w:asciiTheme="majorHAnsi" w:cstheme="majorBidi" w:eastAsiaTheme="majorEastAsia" w:hAnsiTheme="majorHAnsi"/>
      <w:i/>
      <w:iCs/>
      <w:color w:val="1f3763" w:themeColor="accent1" w:themeShade="7f"/>
    </w:rPr>
  </w:style>
  <w:style w:type="character" w:customStyle="1" w:styleId="Heading7Char">
    <w:name w:val="Heading 7 Char"/>
    <w:uiPriority w:val="9"/>
    <w:rPr>
      <w:rFonts w:asciiTheme="majorHAnsi" w:cstheme="majorBidi" w:eastAsiaTheme="majorEastAsia" w:hAnsiTheme="majorHAnsi"/>
      <w:i/>
      <w:iCs/>
      <w:color w:val="404040" w:themeColor="text1" w:themeTint="bf"/>
    </w:rPr>
  </w:style>
  <w:style w:type="character" w:customStyle="1" w:styleId="Heading8Char">
    <w:name w:val="Heading 8 Char"/>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uiPriority w:val="9"/>
    <w:rPr>
      <w:rFonts w:asciiTheme="majorHAnsi" w:cstheme="majorBidi" w:eastAsiaTheme="majorEastAsia" w:hAnsiTheme="majorHAnsi"/>
      <w:i/>
      <w:iCs/>
      <w:color w:val="404040" w:themeColor="text1" w:themeTint="bf"/>
      <w:sz w:val="20"/>
      <w:szCs w:val="20"/>
    </w:rPr>
  </w:style>
  <w:style w:type="character" w:customStyle="1" w:styleId="TitleChar">
    <w:name w:val="Title Char"/>
    <w:uiPriority w:val="10"/>
    <w:rPr>
      <w:rFonts w:asciiTheme="majorHAnsi" w:cstheme="majorBidi" w:eastAsiaTheme="majorEastAsia" w:hAnsiTheme="majorHAnsi"/>
      <w:color w:val="333f4f" w:themeColor="text2" w:themeShade="bf"/>
      <w:spacing w:val="5"/>
      <w:sz w:val="52"/>
      <w:szCs w:val="52"/>
    </w:rPr>
  </w:style>
  <w:style w:type="character" w:customStyle="1" w:styleId="SubtitleChar">
    <w:name w:val="Subtitle Char"/>
    <w:uiPriority w:val="11"/>
    <w:rPr>
      <w:rFonts w:asciiTheme="majorHAnsi" w:cstheme="majorBidi" w:eastAsiaTheme="majorEastAsia" w:hAnsiTheme="majorHAnsi"/>
      <w:i/>
      <w:iCs/>
      <w:color w:val="4472c4" w:themeColor="accent1"/>
      <w:spacing w:val="15"/>
      <w:sz w:val="24"/>
      <w:szCs w:val="24"/>
    </w:rPr>
  </w:style>
  <w:style w:type="character" w:customStyle="1" w:styleId="QuoteChar">
    <w:name w:val="Quote Char"/>
    <w:uiPriority w:val="29"/>
    <w:rPr>
      <w:i/>
      <w:iCs/>
      <w:color w:val="000000" w:themeColor="text1"/>
    </w:rPr>
  </w:style>
  <w:style w:type="character" w:customStyle="1" w:styleId="IntenseQuoteChar">
    <w:name w:val="Intense Quote Char"/>
    <w:uiPriority w:val="30"/>
    <w:rPr>
      <w:b/>
      <w:bCs/>
      <w:i/>
      <w:iCs/>
      <w:color w:val="4472c4" w:themeColor="accent1"/>
    </w:rPr>
  </w:style>
  <w:style w:type="character" w:customStyle="1" w:styleId="FootnoteTextChar">
    <w:name w:val="Footnote Text Char"/>
    <w:uiPriority w:val="99"/>
    <w:semiHidden w:val="on"/>
    <w:rPr>
      <w:sz w:val="20"/>
      <w:szCs w:val="20"/>
    </w:rPr>
  </w:style>
  <w:style w:type="character" w:customStyle="1" w:styleId="EndnoteTextChar">
    <w:name w:val="Endnote Text Char"/>
    <w:uiPriority w:val="99"/>
    <w:semiHidden w:val="on"/>
    <w:rPr>
      <w:sz w:val="20"/>
      <w:szCs w:val="20"/>
    </w:rPr>
  </w:style>
  <w:style w:type="character" w:customStyle="1" w:styleId="PlainTextChar">
    <w:name w:val="Plain Text Char"/>
    <w:uiPriority w:val="99"/>
    <w:rPr>
      <w:rFonts w:ascii="Courier New" w:cs="Courier New" w:hAnsi="Courier New"/>
      <w:sz w:val="21"/>
      <w:szCs w:val="21"/>
    </w:rPr>
  </w:style>
  <w:style w:type="character" w:customStyle="1" w:styleId="HeaderChar">
    <w:name w:val="Header Char"/>
    <w:uiPriority w:val="99"/>
  </w:style>
  <w:style w:type="character" w:customStyle="1" w:styleId="FooterChar">
    <w:name w:val="Footer Char"/>
    <w:uiPriority w:val="99"/>
  </w:style>
  <w:style w:type="paragraph" w:default="1" w:styleId="Normal">
    <w:name w:val="Normal"/>
    <w:uiPriority w:val="99"/>
    <w:qFormat w:val="on"/>
  </w:style>
  <w:style w:type="paragraph" w:styleId="Heading1">
    <w:name w:val="Heading 1"/>
    <w:link w:val="Заголовок1Знак"/>
    <w:uiPriority w:val="9"/>
    <w:qFormat w:val="on"/>
    <w:pPr>
      <w:keepNext w:val="on"/>
      <w:keepLines w:val="on"/>
      <w:spacing w:before="480" w:after="0"/>
    </w:pPr>
    <w:rPr>
      <w:rFonts w:asciiTheme="majorHAnsi" w:cstheme="majorBidi" w:eastAsiaTheme="majorEastAsia" w:hAnsiTheme="majorHAnsi"/>
      <w:b/>
      <w:bCs/>
      <w:color w:val="2f5395" w:themeColor="accent1" w:themeShade="bf"/>
      <w:sz w:val="28"/>
      <w:szCs w:val="28"/>
    </w:rPr>
  </w:style>
  <w:style w:type="paragraph" w:styleId="Heading2">
    <w:name w:val="Heading 2"/>
    <w:link w:val="Заголовок2Знак"/>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sz w:val="26"/>
      <w:szCs w:val="26"/>
    </w:rPr>
  </w:style>
  <w:style w:type="paragraph" w:styleId="Heading3">
    <w:name w:val="Heading 3"/>
    <w:link w:val="Заголовок3Знак"/>
    <w:uiPriority w:val="9"/>
    <w:semiHidden w:val="on"/>
    <w:unhideWhenUsed w:val="on"/>
    <w:qFormat w:val="on"/>
    <w:pPr>
      <w:keepNext w:val="on"/>
      <w:keepLines w:val="on"/>
      <w:spacing w:before="200" w:after="0"/>
    </w:pPr>
    <w:rPr>
      <w:rFonts w:asciiTheme="majorHAnsi" w:cstheme="majorBidi" w:eastAsiaTheme="majorEastAsia" w:hAnsiTheme="majorHAnsi"/>
      <w:b/>
      <w:bCs/>
      <w:color w:val="4472c4" w:themeColor="accent1"/>
    </w:rPr>
  </w:style>
  <w:style w:type="paragraph" w:styleId="Heading4">
    <w:name w:val="Heading 4"/>
    <w:link w:val="Заголовок4Знак"/>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472c4" w:themeColor="accent1"/>
    </w:rPr>
  </w:style>
  <w:style w:type="paragraph" w:styleId="Heading5">
    <w:name w:val="Heading 5"/>
    <w:link w:val="Заголовок5Знак"/>
    <w:uiPriority w:val="9"/>
    <w:semiHidden w:val="on"/>
    <w:unhideWhenUsed w:val="on"/>
    <w:qFormat w:val="on"/>
    <w:pPr>
      <w:keepNext w:val="on"/>
      <w:keepLines w:val="on"/>
      <w:spacing w:before="200" w:after="0"/>
    </w:pPr>
    <w:rPr>
      <w:rFonts w:asciiTheme="majorHAnsi" w:cstheme="majorBidi" w:eastAsiaTheme="majorEastAsia" w:hAnsiTheme="majorHAnsi"/>
      <w:color w:val="1f3763" w:themeColor="accent1" w:themeShade="7f"/>
    </w:rPr>
  </w:style>
  <w:style w:type="paragraph" w:styleId="Heading6">
    <w:name w:val="Heading 6"/>
    <w:link w:val="Заголовок6Знак"/>
    <w:uiPriority w:val="9"/>
    <w:semiHidden w:val="on"/>
    <w:unhideWhenUsed w:val="on"/>
    <w:qFormat w:val="on"/>
    <w:pPr>
      <w:keepNext w:val="on"/>
      <w:keepLines w:val="on"/>
      <w:spacing w:before="200" w:after="0"/>
    </w:pPr>
    <w:rPr>
      <w:rFonts w:asciiTheme="majorHAnsi" w:cstheme="majorBidi" w:eastAsiaTheme="majorEastAsia" w:hAnsiTheme="majorHAnsi"/>
      <w:i/>
      <w:iCs/>
      <w:color w:val="1f3763" w:themeColor="accent1" w:themeShade="7f"/>
    </w:rPr>
  </w:style>
  <w:style w:type="paragraph" w:styleId="Heading7">
    <w:name w:val="Heading 7"/>
    <w:link w:val="Заголовок7Знак"/>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link w:val="Заголовок8Знак"/>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link w:val="Заголовок9Знак"/>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NoSpacing">
    <w:name w:val="No Spacing"/>
    <w:uiPriority w:val="1"/>
    <w:qFormat w:val="on"/>
    <w:pPr>
      <w:spacing w:after="0" w:line="240" w:lineRule="auto"/>
    </w:pPr>
  </w:style>
  <w:style w:type="character" w:customStyle="1" w:styleId="Заголовок1Знак">
    <w:name w:val="Заголовок 1 Знак"/>
    <w:link w:val="Heading1"/>
    <w:uiPriority w:val="9"/>
    <w:rPr>
      <w:rFonts w:asciiTheme="majorHAnsi" w:cstheme="majorBidi" w:eastAsiaTheme="majorEastAsia" w:hAnsiTheme="majorHAnsi"/>
      <w:b/>
      <w:bCs/>
      <w:color w:val="2f5395" w:themeColor="accent1" w:themeShade="bf"/>
      <w:sz w:val="28"/>
      <w:szCs w:val="28"/>
    </w:rPr>
  </w:style>
  <w:style w:type="character" w:customStyle="1" w:styleId="Заголовок2Знак">
    <w:name w:val="Заголовок 2 Знак"/>
    <w:link w:val="Heading2"/>
    <w:uiPriority w:val="9"/>
    <w:rPr>
      <w:rFonts w:asciiTheme="majorHAnsi" w:cstheme="majorBidi" w:eastAsiaTheme="majorEastAsia" w:hAnsiTheme="majorHAnsi"/>
      <w:b/>
      <w:bCs/>
      <w:color w:val="4472c4" w:themeColor="accent1"/>
      <w:sz w:val="26"/>
      <w:szCs w:val="26"/>
    </w:rPr>
  </w:style>
  <w:style w:type="character" w:customStyle="1" w:styleId="Заголовок3Знак">
    <w:name w:val="Заголовок 3 Знак"/>
    <w:link w:val="Heading3"/>
    <w:uiPriority w:val="9"/>
    <w:rPr>
      <w:rFonts w:asciiTheme="majorHAnsi" w:cstheme="majorBidi" w:eastAsiaTheme="majorEastAsia" w:hAnsiTheme="majorHAnsi"/>
      <w:b/>
      <w:bCs/>
      <w:color w:val="4472c4" w:themeColor="accent1"/>
    </w:rPr>
  </w:style>
  <w:style w:type="character" w:customStyle="1" w:styleId="Заголовок4Знак">
    <w:name w:val="Заголовок 4 Знак"/>
    <w:link w:val="Heading4"/>
    <w:uiPriority w:val="9"/>
    <w:rPr>
      <w:rFonts w:asciiTheme="majorHAnsi" w:cstheme="majorBidi" w:eastAsiaTheme="majorEastAsia" w:hAnsiTheme="majorHAnsi"/>
      <w:b/>
      <w:bCs/>
      <w:i/>
      <w:iCs/>
      <w:color w:val="4472c4" w:themeColor="accent1"/>
    </w:rPr>
  </w:style>
  <w:style w:type="character" w:customStyle="1" w:styleId="Заголовок5Знак">
    <w:name w:val="Заголовок 5 Знак"/>
    <w:link w:val="Heading5"/>
    <w:uiPriority w:val="9"/>
    <w:rPr>
      <w:rFonts w:asciiTheme="majorHAnsi" w:cstheme="majorBidi" w:eastAsiaTheme="majorEastAsia" w:hAnsiTheme="majorHAnsi"/>
      <w:color w:val="1f3763" w:themeColor="accent1" w:themeShade="7f"/>
    </w:rPr>
  </w:style>
  <w:style w:type="character" w:customStyle="1" w:styleId="Заголовок6Знак">
    <w:name w:val="Заголовок 6 Знак"/>
    <w:link w:val="Heading6"/>
    <w:uiPriority w:val="9"/>
    <w:rPr>
      <w:rFonts w:asciiTheme="majorHAnsi" w:cstheme="majorBidi" w:eastAsiaTheme="majorEastAsia" w:hAnsiTheme="majorHAnsi"/>
      <w:i/>
      <w:iCs/>
      <w:color w:val="1f3763" w:themeColor="accent1" w:themeShade="7f"/>
    </w:rPr>
  </w:style>
  <w:style w:type="character" w:customStyle="1" w:styleId="Заголовок7Знак">
    <w:name w:val="Заголовок 7 Знак"/>
    <w:link w:val="Heading7"/>
    <w:uiPriority w:val="9"/>
    <w:rPr>
      <w:rFonts w:asciiTheme="majorHAnsi" w:cstheme="majorBidi" w:eastAsiaTheme="majorEastAsia" w:hAnsiTheme="majorHAnsi"/>
      <w:i/>
      <w:iCs/>
      <w:color w:val="404040" w:themeColor="text1" w:themeTint="bf"/>
    </w:rPr>
  </w:style>
  <w:style w:type="character" w:customStyle="1" w:styleId="Заголовок8Знак">
    <w:name w:val="Заголовок 8 Знак"/>
    <w:link w:val="Heading8"/>
    <w:uiPriority w:val="9"/>
    <w:rPr>
      <w:rFonts w:asciiTheme="majorHAnsi" w:cstheme="majorBidi" w:eastAsiaTheme="majorEastAsia" w:hAnsiTheme="majorHAnsi"/>
      <w:color w:val="404040" w:themeColor="text1" w:themeTint="bf"/>
      <w:sz w:val="20"/>
      <w:szCs w:val="20"/>
    </w:rPr>
  </w:style>
  <w:style w:type="character" w:customStyle="1" w:styleId="Заголовок9Знак">
    <w:name w:val="Заголовок 9 Знак"/>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link w:val="ЗаголовокЗнак"/>
    <w:uiPriority w:val="10"/>
    <w:qFormat w:val="on"/>
    <w:pPr>
      <w:pBdr>
        <w:bottom w:val="single" w:color="4472c4" w:themeColor="accent1" w:sz="8" w:space="4"/>
      </w:pBdr>
      <w:spacing w:after="300" w:line="240" w:lineRule="auto"/>
      <w:contextualSpacing w:val="on"/>
    </w:pPr>
    <w:rPr>
      <w:rFonts w:asciiTheme="majorHAnsi" w:cstheme="majorBidi" w:eastAsiaTheme="majorEastAsia" w:hAnsiTheme="majorHAnsi"/>
      <w:color w:val="333f4f" w:themeColor="text2" w:themeShade="bf"/>
      <w:spacing w:val="5"/>
      <w:sz w:val="52"/>
      <w:szCs w:val="52"/>
    </w:rPr>
  </w:style>
  <w:style w:type="character" w:customStyle="1" w:styleId="ЗаголовокЗнак">
    <w:name w:val="Заголовок Знак"/>
    <w:link w:val="Title"/>
    <w:uiPriority w:val="10"/>
    <w:rPr>
      <w:rFonts w:asciiTheme="majorHAnsi" w:cstheme="majorBidi" w:eastAsiaTheme="majorEastAsia" w:hAnsiTheme="majorHAnsi"/>
      <w:color w:val="333f4f" w:themeColor="text2" w:themeShade="bf"/>
      <w:spacing w:val="5"/>
      <w:sz w:val="52"/>
      <w:szCs w:val="52"/>
    </w:rPr>
  </w:style>
  <w:style w:type="paragraph" w:styleId="Subtitle">
    <w:name w:val="Subtitle"/>
    <w:link w:val="ПодзаголовокЗнак"/>
    <w:uiPriority w:val="11"/>
    <w:qFormat w:val="on"/>
    <w:rPr>
      <w:rFonts w:asciiTheme="majorHAnsi" w:cstheme="majorBidi" w:eastAsiaTheme="majorEastAsia" w:hAnsiTheme="majorHAnsi"/>
      <w:i/>
      <w:iCs/>
      <w:color w:val="4472c4" w:themeColor="accent1"/>
      <w:spacing w:val="15"/>
      <w:sz w:val="24"/>
      <w:szCs w:val="24"/>
    </w:rPr>
  </w:style>
  <w:style w:type="character" w:customStyle="1" w:styleId="ПодзаголовокЗнак">
    <w:name w:val="Подзаголовок Знак"/>
    <w:link w:val="Subtitle"/>
    <w:uiPriority w:val="11"/>
    <w:rPr>
      <w:rFonts w:asciiTheme="majorHAnsi" w:cstheme="majorBidi" w:eastAsiaTheme="majorEastAsia" w:hAnsiTheme="majorHAnsi"/>
      <w:i/>
      <w:iCs/>
      <w:color w:val="4472c4"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4472c4" w:themeColor="accent1"/>
    </w:rPr>
  </w:style>
  <w:style w:type="character" w:styleId="Strong">
    <w:name w:val="Strong"/>
    <w:uiPriority w:val="22"/>
    <w:qFormat w:val="on"/>
    <w:rPr>
      <w:b/>
      <w:bCs/>
    </w:rPr>
  </w:style>
  <w:style w:type="paragraph" w:styleId="Quote">
    <w:name w:val="Quote"/>
    <w:link w:val="Цитата2Знак"/>
    <w:uiPriority w:val="29"/>
    <w:qFormat w:val="on"/>
    <w:rPr>
      <w:i/>
      <w:iCs/>
      <w:color w:val="000000" w:themeColor="text1"/>
    </w:rPr>
  </w:style>
  <w:style w:type="character" w:customStyle="1" w:styleId="Цитата2Знак">
    <w:name w:val="Цитата 2 Знак"/>
    <w:link w:val="Quote"/>
    <w:uiPriority w:val="29"/>
    <w:rPr>
      <w:i/>
      <w:iCs/>
      <w:color w:val="000000" w:themeColor="text1"/>
    </w:rPr>
  </w:style>
  <w:style w:type="paragraph" w:styleId="IntenseQuote">
    <w:name w:val="Intense Quote"/>
    <w:link w:val="ВыделеннаяцитатаЗнак"/>
    <w:uiPriority w:val="30"/>
    <w:qFormat w:val="on"/>
    <w:pPr>
      <w:pBdr>
        <w:bottom w:val="single" w:color="4472c4" w:themeColor="accent1" w:sz="4" w:space="4"/>
      </w:pBdr>
      <w:spacing w:before="200" w:after="280"/>
      <w:ind w:left="936" w:right="936"/>
    </w:pPr>
    <w:rPr>
      <w:b/>
      <w:bCs/>
      <w:i/>
      <w:iCs/>
      <w:color w:val="4472c4" w:themeColor="accent1"/>
    </w:rPr>
  </w:style>
  <w:style w:type="character" w:customStyle="1" w:styleId="ВыделеннаяцитатаЗнак">
    <w:name w:val="Выделенная цитата Знак"/>
    <w:link w:val="IntenseQuote"/>
    <w:uiPriority w:val="30"/>
    <w:rPr>
      <w:b/>
      <w:bCs/>
      <w:i/>
      <w:iCs/>
      <w:color w:val="4472c4" w:themeColor="accent1"/>
    </w:rPr>
  </w:style>
  <w:style w:type="character" w:styleId="SubtleReference">
    <w:name w:val="Subtle Reference"/>
    <w:uiPriority w:val="31"/>
    <w:qFormat w:val="on"/>
    <w:rPr>
      <w:smallCaps/>
      <w:color w:val="ed7d31" w:themeColor="accent2"/>
      <w:u w:val="single"/>
    </w:rPr>
  </w:style>
  <w:style w:type="character" w:styleId="IntenseReference">
    <w:name w:val="Intense Reference"/>
    <w:uiPriority w:val="32"/>
    <w:qFormat w:val="on"/>
    <w:rPr>
      <w:b/>
      <w:bCs/>
      <w:smallCaps/>
      <w:color w:val="ed7d31" w:themeColor="accent2"/>
      <w:spacing w:val="5"/>
      <w:u w:val="single"/>
    </w:rPr>
  </w:style>
  <w:style w:type="character" w:styleId="BookTitle">
    <w:name w:val="Book Title"/>
    <w:uiPriority w:val="33"/>
    <w:qFormat w:val="on"/>
    <w:rPr>
      <w:b/>
      <w:bCs/>
      <w:smallCaps/>
      <w:spacing w:val="5"/>
    </w:rPr>
  </w:style>
  <w:style w:type="paragraph" w:styleId="Footnotetext">
    <w:name w:val="Footnote text"/>
    <w:link w:val="ТекстсноскиЗнак"/>
    <w:uiPriority w:val="99"/>
    <w:semiHidden w:val="on"/>
    <w:unhideWhenUsed w:val="on"/>
    <w:pPr>
      <w:spacing w:after="0" w:line="240" w:lineRule="auto"/>
    </w:pPr>
    <w:rPr>
      <w:sz w:val="20"/>
      <w:szCs w:val="20"/>
    </w:rPr>
  </w:style>
  <w:style w:type="character" w:customStyle="1" w:styleId="ТекстсноскиЗнак">
    <w:name w:val="Текст сноски Знак"/>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ТекстконцевойсноскиЗнак"/>
    <w:uiPriority w:val="99"/>
    <w:semiHidden w:val="on"/>
    <w:unhideWhenUsed w:val="on"/>
    <w:pPr>
      <w:spacing w:after="0" w:line="240" w:lineRule="auto"/>
    </w:pPr>
    <w:rPr>
      <w:sz w:val="20"/>
      <w:szCs w:val="20"/>
    </w:rPr>
  </w:style>
  <w:style w:type="character" w:customStyle="1" w:styleId="ТекстконцевойсноскиЗнак">
    <w:name w:val="Текст концевой сноски Знак"/>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character" w:styleId="Hyperlink">
    <w:name w:val="Hyperlink"/>
    <w:uiPriority w:val="99"/>
    <w:unhideWhenUsed w:val="on"/>
    <w:rPr>
      <w:color w:val="0563c1" w:themeColor="hyperlink"/>
      <w:u w:val="single"/>
    </w:rPr>
  </w:style>
  <w:style w:type="paragraph" w:styleId="PlainText">
    <w:name w:val="Plain Text"/>
    <w:link w:val="ТекстЗнак"/>
    <w:uiPriority w:val="99"/>
    <w:semiHidden w:val="on"/>
    <w:unhideWhenUsed w:val="on"/>
    <w:pPr>
      <w:spacing w:after="0" w:line="240" w:lineRule="auto"/>
    </w:pPr>
    <w:rPr>
      <w:rFonts w:ascii="Courier New" w:cs="Courier New" w:hAnsi="Courier New"/>
      <w:sz w:val="21"/>
      <w:szCs w:val="21"/>
    </w:rPr>
  </w:style>
  <w:style w:type="character" w:customStyle="1" w:styleId="ТекстЗнак">
    <w:name w:val="Текст Знак"/>
    <w:link w:val="PlainText"/>
    <w:uiPriority w:val="99"/>
    <w:rPr>
      <w:rFonts w:ascii="Courier New" w:cs="Courier New" w:hAnsi="Courier New"/>
      <w:sz w:val="21"/>
      <w:szCs w:val="21"/>
    </w:rPr>
  </w:style>
  <w:style w:type="paragraph" w:styleId="Header">
    <w:name w:val="Header"/>
    <w:link w:val="ВерхнийколонтитулЗнак"/>
    <w:uiPriority w:val="99"/>
    <w:unhideWhenUsed w:val="on"/>
    <w:pPr>
      <w:spacing w:after="0" w:line="240" w:lineRule="auto"/>
    </w:pPr>
  </w:style>
  <w:style w:type="character" w:customStyle="1" w:styleId="ВерхнийколонтитулЗнак">
    <w:name w:val="Верхний колонтитул Знак"/>
    <w:link w:val="Header"/>
    <w:uiPriority w:val="99"/>
  </w:style>
  <w:style w:type="paragraph" w:styleId="Footer">
    <w:name w:val="Footer"/>
    <w:link w:val="НижнийколонтитулЗнак"/>
    <w:uiPriority w:val="99"/>
    <w:unhideWhenUsed w:val="on"/>
    <w:pPr>
      <w:spacing w:after="0" w:line="240" w:lineRule="auto"/>
    </w:pPr>
  </w:style>
  <w:style w:type="character" w:customStyle="1" w:styleId="НижнийколонтитулЗнак">
    <w:name w:val="Нижний колонтитул Знак"/>
    <w:link w:val="Footer"/>
    <w:uiPriority w:val="99"/>
  </w:style>
  <w:style w:type="paragraph" w:styleId="Caption">
    <w:name w:val="Caption"/>
    <w:uiPriority w:val="35"/>
    <w:unhideWhenUsed w:val="on"/>
    <w:qFormat w:val="on"/>
    <w:pPr>
      <w:spacing w:after="200" w:line="240" w:lineRule="auto"/>
    </w:pPr>
    <w:rPr>
      <w:i/>
      <w:iCs/>
      <w:color w:val="44546a" w:themeColor="text2"/>
      <w:sz w:val="18"/>
      <w:szCs w:val="18"/>
    </w:rPr>
  </w:style>
  <w:style w:type="paragraph" w:styleId="ListParagraph">
    <w:name w:val="List Paragraph"/>
    <w:basedOn w:val="Normal"/>
    <w:uiPriority w:val="34"/>
    <w:qFormat w:val="on"/>
    <w:pPr>
      <w:ind w:left="720"/>
      <w:contextualSpacing w:val="on"/>
    </w:pPr>
  </w:style>
  <w:style w:type="paragraph" w:styleId="Listcontinue2">
    <w:name w:val="List continue 2"/>
    <w:aliases w:val="Продолжение списка 2"/>
    <w:basedOn w:val="Normal"/>
    <w:uiPriority w:val="99"/>
    <w:unhideWhenUsed w:val="on"/>
    <w:pPr>
      <w:spacing w:after="120"/>
      <w:ind w:left="566"/>
    </w:pPr>
    <w:rPr>
      <w:sz w:val="24"/>
      <w:szCs w:val="24"/>
    </w:rPr>
  </w:style>
  <w:style w:type="paragraph" w:customStyle="1" w:styleId="Default">
    <w:name w:val="Default"/>
    <w:uiPriority w:val="0"/>
    <w:pPr/>
    <w:rPr>
      <w:rFonts w:eastAsia="Times New Roman"/>
      <w:color w:val="000000"/>
      <w:sz w:val="24"/>
      <w:szCs w:val="24"/>
      <w:lang w:val="ru-RU" w:bidi="ar-S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png"/><Relationship Id="rId17" Type="http://schemas.openxmlformats.org/officeDocument/2006/relationships/image" Target="media/image2.png"/><Relationship Id="rId18" Type="http://schemas.openxmlformats.org/officeDocument/2006/relationships/image" Target="media/image3.png"/><Relationship Id="rId19" Type="http://schemas.openxmlformats.org/officeDocument/2006/relationships/image" Target="media/image4.png"/><Relationship Id="rId2" Type="http://schemas.openxmlformats.org/officeDocument/2006/relationships/styles" Target="styles.xml"/><Relationship Id="rId20" Type="http://schemas.openxmlformats.org/officeDocument/2006/relationships/image" Target="media/image5.png"/><Relationship Id="rId21" Type="http://schemas.openxmlformats.org/officeDocument/2006/relationships/image" Target="media/image6.png"/><Relationship Id="rId22" Type="http://schemas.openxmlformats.org/officeDocument/2006/relationships/image" Target="media/image7.png"/><Relationship Id="rId23" Type="http://schemas.openxmlformats.org/officeDocument/2006/relationships/image" Target="media/image8.png"/><Relationship Id="rId24" Type="http://schemas.openxmlformats.org/officeDocument/2006/relationships/image" Target="media/image9.png"/><Relationship Id="rId3" Type="http://schemas.openxmlformats.org/officeDocument/2006/relationships/settings" Target="settings.xml"/><Relationship Id="rId5" Type="http://schemas.openxmlformats.org/officeDocument/2006/relationships/fontTable" Target="fontTable.xml"/><Relationship Id="rId6" Type="http://schemas.openxmlformats.org/officeDocument/2006/relationships/theme" Target="theme/theme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4" Type="http://schemas.openxmlformats.org/officeDocument/2006/relationships/webSettings" Target="webSettings.xml"/></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Arab" typeface="Times New Roman"/>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Light"/>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ゴシック Light"/>
        <a:font script="Olck" typeface="Nirmala UI"/>
        <a:font script="Lisu" typeface="Segoe UI"/>
        <a:font script="Sora" typeface="Nirmala UI"/>
      </a:majorFont>
      <a:minorFont>
        <a:latin typeface="Calibri" panose="020F0502020204030204"/>
        <a:ea typeface=""/>
        <a:cs typeface=""/>
        <a:font script="Arab" typeface="Arial"/>
        <a:font script="Armn" typeface="Arial"/>
        <a:font script="Beng" typeface="Vrinda"/>
        <a:font script="Bopo" typeface="Microsoft JhengHei"/>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Mymr" typeface="Myanmar Text"/>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Osma" typeface="Ebrima"/>
        <a:font script="Tale" typeface="Microsoft Tai Le"/>
        <a:font script="Bugi" typeface="Leelawadee UI"/>
        <a:font script="Talu" typeface="Microsoft New Tai Lue"/>
        <a:font script="Tfng" typeface="Ebrima"/>
        <a:font script="Hans" typeface="等线"/>
        <a:font script="Hant" typeface="新細明體"/>
        <a:font script="Java" typeface="Javanese Text"/>
        <a:font script="Nkoo" typeface="Ebrima"/>
        <a:font script="Phag" typeface="Phagspa"/>
        <a:font script="Syre" typeface="Estrangelo Edessa"/>
        <a:font script="Syrj" typeface="Estrangelo Edessa"/>
        <a:font script="Syrn" typeface="Estrangelo Edessa"/>
        <a:font script="Jpan" typeface="游明朝"/>
        <a:font script="Olck" typeface="Nirmala UI"/>
        <a:font script="Lisu" typeface="Segoe UI"/>
        <a:font script="Sora" typeface="Nirmala UI"/>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258</Words>
  <Characters>1472</Characters>
  <Application>Microsoft Office Word</Application>
  <DocSecurity>0</DocSecurity>
  <Lines>12</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Slr</cp:lastModifiedBy>
</cp:coreProperties>
</file>