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 w14:paraId="00000001">
      <w:pPr>
        <w:pStyle w:val="ListParagraph"/>
        <w:jc w:val="right"/>
        <w:rPr>
          <w:rFonts w:ascii="Times New Roman" w:cs="Times New Roman" w:hAnsi="Times New Roman"/>
          <w:color w:val="ff0000"/>
          <w:sz w:val="28"/>
          <w:szCs w:val="28"/>
          <w:lang w:eastAsia="ru-RU"/>
        </w:rPr>
      </w:pPr>
    </w:p>
    <w:p w14:paraId="00000002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МУНИЦИПАЛЬНОЕ ОБРАЗОВАНИЕ</w:t>
      </w:r>
    </w:p>
    <w:p w14:paraId="00000003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СЕЛЬСКОЕ ПОСЕЛЕНИЕ СЕЛИЯРОВО</w:t>
      </w:r>
    </w:p>
    <w:p w14:paraId="00000004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Ханты-Мансийский автономный округ-Югра</w:t>
      </w:r>
    </w:p>
    <w:p w14:paraId="00000005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</w:p>
    <w:p w14:paraId="00000006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АДМИНИСТРАЦИЯ СЕЛЬСКОГО   ПОСЕЛЕНИЯ СЕЛИЯРОВО</w:t>
      </w:r>
    </w:p>
    <w:p w14:paraId="00000007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</w:p>
    <w:p w14:paraId="00000008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П О С Т А Н О В Л Е Н И Е</w:t>
      </w:r>
    </w:p>
    <w:p w14:paraId="00000009">
      <w:pPr>
        <w:pStyle w:val="ListParagraph"/>
        <w:jc w:val="center"/>
        <w:rPr>
          <w:rFonts w:ascii="Times New Roman" w:cs="Times New Roman" w:hAnsi="Times New Roman"/>
          <w:sz w:val="28"/>
          <w:szCs w:val="28"/>
          <w:lang w:eastAsia="ru-RU"/>
        </w:rPr>
      </w:pPr>
    </w:p>
    <w:p w14:paraId="0000000A">
      <w:pPr>
        <w:pStyle w:val="ListParagraph"/>
        <w:ind w:left="-16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от 17.12.2024                                                                                              № 83                                                                                                                 </w:t>
      </w:r>
    </w:p>
    <w:p w14:paraId="0000000B">
      <w:pPr>
        <w:pStyle w:val="ListParagraph"/>
        <w:ind w:left="0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 xml:space="preserve">с. Селиярово                                                                                              </w:t>
      </w:r>
    </w:p>
    <w:p w14:paraId="0000000C">
      <w:pPr>
        <w:ind w:firstLine="723"/>
        <w:jc w:val="both"/>
        <w:rPr>
          <w:rFonts w:ascii="Times New Roman" w:cs="Times New Roman" w:hAnsi="Times New Roman"/>
          <w:sz w:val="16"/>
          <w:szCs w:val="16"/>
        </w:rPr>
      </w:pPr>
    </w:p>
    <w:p w14:paraId="0000000D">
      <w:pPr>
        <w:ind w:right="4227" w:hanging="1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Об утверждении документации по </w:t>
      </w:r>
      <w:r>
        <w:rPr>
          <w:rFonts w:ascii="Times New Roman" w:cs="Times New Roman" w:hAnsi="Times New Roman"/>
          <w:sz w:val="28"/>
          <w:szCs w:val="28"/>
        </w:rPr>
        <w:t>планировке</w:t>
      </w:r>
      <w:r>
        <w:rPr>
          <w:rFonts w:ascii="Times New Roman" w:cs="Times New Roman" w:hAnsi="Times New Roman"/>
          <w:sz w:val="28"/>
          <w:szCs w:val="28"/>
        </w:rPr>
        <w:t xml:space="preserve"> и межеванию</w:t>
      </w:r>
      <w:r>
        <w:rPr>
          <w:rFonts w:ascii="Times New Roman" w:cs="Times New Roman" w:hAnsi="Times New Roman"/>
          <w:sz w:val="28"/>
          <w:szCs w:val="28"/>
        </w:rPr>
        <w:t xml:space="preserve"> территории для ПАО </w:t>
      </w:r>
      <w:r>
        <w:rPr>
          <w:rFonts w:ascii="Times New Roman" w:cs="Times New Roman" w:hAnsi="Times New Roman"/>
          <w:sz w:val="28"/>
          <w:szCs w:val="28"/>
        </w:rPr>
        <w:t>«</w:t>
      </w:r>
      <w:r>
        <w:rPr>
          <w:rFonts w:ascii="Times New Roman" w:cs="Times New Roman" w:hAnsi="Times New Roman"/>
          <w:sz w:val="28"/>
          <w:szCs w:val="28"/>
        </w:rPr>
        <w:t>НК “Роснефть</w:t>
      </w:r>
      <w:r>
        <w:rPr>
          <w:rFonts w:ascii="Times New Roman" w:cs="Times New Roman" w:hAnsi="Times New Roman"/>
          <w:sz w:val="28"/>
          <w:szCs w:val="28"/>
        </w:rPr>
        <w:t>»</w:t>
      </w:r>
      <w:r>
        <w:rPr>
          <w:rFonts w:ascii="Times New Roman" w:cs="Times New Roman" w:hAnsi="Times New Roman"/>
          <w:sz w:val="28"/>
          <w:szCs w:val="28"/>
        </w:rPr>
        <w:t xml:space="preserve"> по </w:t>
      </w:r>
      <w:r>
        <w:rPr>
          <w:rFonts w:ascii="Times New Roman" w:cs="Times New Roman" w:hAnsi="Times New Roman"/>
          <w:sz w:val="28"/>
          <w:szCs w:val="28"/>
        </w:rPr>
        <w:t xml:space="preserve">проекту </w:t>
      </w:r>
      <w:r>
        <w:rPr>
          <w:rFonts w:ascii="Times New Roman" w:cs="Times New Roman" w:hAnsi="Times New Roman"/>
          <w:sz w:val="28"/>
          <w:szCs w:val="28"/>
        </w:rPr>
        <w:t xml:space="preserve">«Линейные коммуникации для кустовой площадки №2059У Приобского месторождения» </w:t>
      </w:r>
    </w:p>
    <w:p w14:paraId="0000000E">
      <w:pPr>
        <w:ind w:firstLine="723"/>
        <w:jc w:val="both"/>
        <w:rPr>
          <w:rFonts w:ascii="Times New Roman" w:cs="Times New Roman" w:hAnsi="Times New Roman"/>
          <w:sz w:val="16"/>
          <w:szCs w:val="16"/>
        </w:rPr>
      </w:pPr>
    </w:p>
    <w:p w14:paraId="0000000F">
      <w:pPr>
        <w:ind w:firstLine="723"/>
        <w:jc w:val="both"/>
        <w:rPr>
          <w:rFonts w:ascii="Times New Roman" w:cs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В целях создания условий для развития территории, эффективного землепользования и застройки, обеспечения прав и законных интересов граждан и юридических лиц, на основании Градостроительного кодекса Российской Федерации</w:t>
      </w:r>
      <w:bookmarkStart w:id="0" w:name="_GoBack"/>
      <w:bookmarkEnd w:id="0"/>
      <w:r>
        <w:rPr>
          <w:rFonts w:ascii="Times New Roman" w:cs="Times New Roman" w:hAnsi="Times New Roman"/>
          <w:sz w:val="28"/>
          <w:szCs w:val="28"/>
          <w:lang w:eastAsia="ru-RU"/>
        </w:rPr>
        <w:t>,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 Федерального закона от 06.10.2003 № 131-ФЗ «Об общих принципах организации местного самоуправления в Российской Федерации», </w:t>
      </w:r>
      <w:bookmarkStart w:id="1" w:name="_Hlk117587601"/>
      <w:r>
        <w:rPr>
          <w:rFonts w:ascii="Times New Roman" w:cs="Times New Roman" w:hAnsi="Times New Roman"/>
          <w:sz w:val="28"/>
          <w:szCs w:val="28"/>
          <w:lang w:eastAsia="ru-RU"/>
        </w:rPr>
        <w:t xml:space="preserve">Закона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Югры», </w:t>
      </w:r>
      <w:bookmarkEnd w:id="1"/>
      <w:r>
        <w:rPr>
          <w:rFonts w:ascii="Times New Roman" w:cs="Times New Roman" w:hAnsi="Times New Roman"/>
          <w:sz w:val="28"/>
          <w:szCs w:val="28"/>
          <w:lang w:eastAsia="ru-RU"/>
        </w:rPr>
        <w:t>руководствуясь Уставом сельского поселения Селиярово:</w:t>
      </w:r>
    </w:p>
    <w:p w14:paraId="00000010">
      <w:pPr>
        <w:spacing w:line="240" w:lineRule="auto"/>
        <w:ind w:firstLine="723"/>
        <w:jc w:val="both"/>
        <w:rPr>
          <w:rFonts w:ascii="Times New Roman" w:cs="Times New Roman" w:hAnsi="Times New Roman"/>
          <w:sz w:val="16"/>
          <w:szCs w:val="16"/>
          <w:lang w:eastAsia="ru-RU"/>
        </w:rPr>
      </w:pPr>
    </w:p>
    <w:p w14:paraId="00000011">
      <w:pPr>
        <w:pStyle w:val="NoSpacing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1. Утвердить проект планировки и проект межевания территории по </w:t>
      </w:r>
      <w:r>
        <w:rPr>
          <w:rFonts w:ascii="Times New Roman" w:cs="Times New Roman" w:hAnsi="Times New Roman"/>
          <w:sz w:val="28"/>
          <w:szCs w:val="28"/>
        </w:rPr>
        <w:t xml:space="preserve"> проекту</w:t>
      </w:r>
      <w:r>
        <w:rPr>
          <w:rFonts w:ascii="Times New Roman" w:cs="Times New Roman" w:hAnsi="Times New Roman"/>
          <w:sz w:val="28"/>
          <w:szCs w:val="28"/>
        </w:rPr>
        <w:t xml:space="preserve"> «Линейные коммуникации для кустовой площадки №2059У Приобского месторождения», согласно приложениям 1, 2, 3 и 4 к настоящему постановлению.</w:t>
      </w:r>
    </w:p>
    <w:p w14:paraId="00000012">
      <w:pPr>
        <w:pStyle w:val="NoSpacing"/>
        <w:ind w:firstLine="709"/>
        <w:jc w:val="both"/>
        <w:rPr>
          <w:rFonts w:ascii="Times New Roman" w:cs="Times New Roman" w:hAnsi="Times New Roman"/>
          <w:sz w:val="28"/>
          <w:szCs w:val="28"/>
          <w:lang w:eastAsia="zh-CN"/>
        </w:rPr>
      </w:pPr>
      <w:r>
        <w:rPr>
          <w:rFonts w:ascii="Times New Roman" w:cs="Times New Roman" w:hAnsi="Times New Roman"/>
          <w:sz w:val="28"/>
          <w:szCs w:val="28"/>
        </w:rPr>
        <w:t xml:space="preserve">2. </w:t>
      </w:r>
      <w:r>
        <w:rPr>
          <w:rFonts w:ascii="Times New Roman" w:cs="Times New Roman" w:hAnsi="Times New Roman"/>
          <w:sz w:val="28"/>
          <w:szCs w:val="28"/>
          <w:lang w:eastAsia="ru-RU"/>
        </w:rPr>
        <w:t xml:space="preserve">Обнародовать настоящее постановление </w:t>
      </w:r>
      <w:r>
        <w:rPr>
          <w:rFonts w:ascii="Times New Roman" w:cs="Times New Roman" w:hAnsi="Times New Roman"/>
          <w:sz w:val="28"/>
          <w:szCs w:val="28"/>
        </w:rPr>
        <w:t>в установленном порядке.</w:t>
      </w:r>
    </w:p>
    <w:p w14:paraId="00000013">
      <w:pPr>
        <w:pStyle w:val="NoSpacing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t>3</w:t>
      </w:r>
      <w:r>
        <w:rPr>
          <w:rFonts w:ascii="Times New Roman" w:cs="Times New Roman" w:hAnsi="Times New Roman"/>
          <w:sz w:val="28"/>
          <w:szCs w:val="28"/>
          <w:lang w:eastAsia="ru-RU"/>
        </w:rPr>
        <w:t>. Контроль за выполнением настоящего постановления оставляю за собой.</w:t>
      </w:r>
    </w:p>
    <w:p w14:paraId="0000001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1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1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Глава сельского поселения                                                           С.В.Маркова</w:t>
      </w:r>
    </w:p>
    <w:p w14:paraId="0000001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58240" simplePos="0">
                <wp:simplePos x="0" y="0"/>
                <wp:positionH relativeFrom="column">
                  <wp:posOffset>2853055</wp:posOffset>
                </wp:positionH>
                <wp:positionV relativeFrom="paragraph">
                  <wp:posOffset>5080</wp:posOffset>
                </wp:positionV>
                <wp:extent cx="2992120" cy="1276985"/>
                <wp:effectExtent l="0" t="0" r="0" b="0"/>
                <wp:wrapNone/>
                <wp:docPr id="79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40" name="Поле 26"/>
                      <wps:cNvSpPr txBox="1"/>
                      <wps:spPr>
                        <a:xfrm>
                          <a:off x="0" y="0"/>
                          <a:ext cx="2992120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wps:spPr>
                      <wps:txbx id="0">
                        <w:txbxContent>
                          <w:p w14:paraId="00000018">
                            <w:pPr>
                              <w:jc w:val="right"/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Приложение 1</w:t>
                            </w:r>
                          </w:p>
                          <w:p w14:paraId="00000019">
                            <w:pPr>
                              <w:jc w:val="right"/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к постановлению администрации </w:t>
                            </w:r>
                          </w:p>
                          <w:p w14:paraId="0000001A">
                            <w:pPr>
                              <w:jc w:val="right"/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сельского поселения Селиярово</w:t>
                            </w:r>
                          </w:p>
                          <w:p w14:paraId="0000001B">
                            <w:pPr>
                              <w:jc w:val="right"/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от 17.12.2024 № 83</w:t>
                            </w:r>
                          </w:p>
                          <w:p w14:paraId="0000001C">
                            <w:pPr>
                              <w:jc w:val="right"/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  <w:p w14:paraId="0000001D">
                            <w:pPr>
                              <w:jc w:val="right"/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lIns="91440" tIns="45720" rIns="91440" bIns="45720"/>
                    </wps:wsp>
                  </a:graphicData>
                </a:graphic>
              </wp:anchor>
            </w:drawing>
          </mc:Choice>
          <mc:Fallback>
            <w:pict>
              <v:shape id="D64B5A90-9CE4-6FEA-D2B1EA265C53" coordsize="21600,21600" style="position:absolute;width:235.6pt;height:100.55pt;margin-top:0.4pt;margin-left:224.65pt;mso-wrap-distance-left:9.36pt;mso-wrap-distance-right:9.36pt;mso-wrap-distance-top:0pt;mso-wrap-distance-bottom:0pt;rotation:0.000000;z-index:251658240;" stroked="f" o:spt="1" path="m0,0 l0,21600 r21600,0 l21600,0 x e">
                <w10:wrap side="both"/>
                <o:lock/>
              </v:shape>
            </w:pict>
          </mc:Fallback>
        </mc:AlternateContent>
      </w:r>
    </w:p>
    <w:p w14:paraId="0000001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1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2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2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" simplePos="0">
                <wp:simplePos x="0" y="0"/>
                <wp:positionH relativeFrom="column">
                  <wp:posOffset>450215</wp:posOffset>
                </wp:positionH>
                <wp:positionV relativeFrom="paragraph">
                  <wp:posOffset>29845</wp:posOffset>
                </wp:positionV>
                <wp:extent cx="5662930" cy="1838325"/>
                <wp:effectExtent l="0" t="0" r="0" b="0"/>
                <wp:wrapNone/>
                <wp:docPr id="80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41" name="Поле 4"/>
                      <wps:cNvSpPr txBox="1"/>
                      <wps:spPr>
                        <a:xfrm>
                          <a:off x="0" y="0"/>
                          <a:ext cx="566293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wps:spPr>
                      <wps:txbx id="1">
                        <w:txbxContent>
                          <w:p w14:paraId="00000022">
                            <w:pPr>
                              <w:pStyle w:val="NoSpacing"/>
                              <w:rPr/>
                            </w:pPr>
                          </w:p>
                          <w:p w14:paraId="00000023">
                            <w:pPr>
                              <w:shd w:val="clear" w:color="auto" w:fill="ffffff"/>
                              <w:spacing w:line="216" w:lineRule="auto"/>
                              <w:jc w:val="center"/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  <w:t>Проект планировки территории</w:t>
                            </w:r>
                          </w:p>
                          <w:p w14:paraId="00000024">
                            <w:pPr>
                              <w:shd w:val="clear" w:color="auto" w:fill="ffffff"/>
                              <w:spacing w:line="216" w:lineRule="auto"/>
                              <w:jc w:val="center"/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  <w:t>для размещения объекта, расположенного на территории сельского поселения Селиярово Ханты-Мансийского района</w:t>
                            </w:r>
                          </w:p>
                          <w:p w14:paraId="00000025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spacing w:val="-8"/>
                                <w:sz w:val="28"/>
                                <w:szCs w:val="28"/>
                              </w:rPr>
                              <w:t>Линейные коммуникации для кустовой площадки № 2059У Приобского месторождения»</w:t>
                            </w:r>
                          </w:p>
                          <w:p w14:paraId="00000026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  <w:t>Основная часть</w:t>
                            </w:r>
                          </w:p>
                          <w:p w14:paraId="00000027">
                            <w:pPr>
                              <w:spacing w:line="360" w:lineRule="auto"/>
                              <w:jc w:val="center"/>
                              <w:rPr>
                                <w:spacing w:val="-8"/>
                              </w:rPr>
                            </w:pPr>
                          </w:p>
                          <w:p w14:paraId="00000028">
                            <w:pPr>
                              <w:rPr>
                                <w:spacing w:val="-8"/>
                              </w:rPr>
                            </w:pPr>
                          </w:p>
                        </w:txbxContent>
                      </wps:txbx>
                      <wps:bodyPr lIns="91440" tIns="45720" rIns="91440" bIns="45720"/>
                    </wps:wsp>
                  </a:graphicData>
                </a:graphic>
              </wp:anchor>
            </w:drawing>
          </mc:Choice>
          <mc:Fallback>
            <w:pict>
              <v:shape id="71192E7C-997B-6AD7-DC1D16AECBFC" coordsize="21600,21600" style="position:absolute;width:445.9pt;height:144.75pt;margin-top:2.35pt;margin-left:35.45pt;mso-wrap-distance-left:9.36pt;mso-wrap-distance-right:9.36pt;mso-wrap-distance-top:0pt;mso-wrap-distance-bottom:0pt;rotation:0.000000;z-index:2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sz w:val="28"/>
          <w:szCs w:val="28"/>
        </w:rPr>
        <w:t>;</w:t>
      </w:r>
    </w:p>
    <w:p w14:paraId="0000002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2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2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2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2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118872" distR="118872">
            <wp:extent cx="5170805" cy="6097905"/>
            <wp:effectExtent l="0" t="0" r="0" b="0"/>
            <wp:docPr id="8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118872" distR="118872">
            <wp:extent cx="5568315" cy="9104630"/>
            <wp:effectExtent l="0" t="0" r="0" b="0"/>
            <wp:docPr id="8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118872" distR="118872">
            <wp:extent cx="5487670" cy="9393555"/>
            <wp:effectExtent l="0" t="0" r="0" b="0"/>
            <wp:docPr id="8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0">
      <w:pPr>
        <w:pStyle w:val="ListParagraph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Приложение 2</w:t>
      </w:r>
    </w:p>
    <w:p w14:paraId="00000031">
      <w:pPr>
        <w:pStyle w:val="ListParagraph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к постановлению администрации </w:t>
      </w:r>
    </w:p>
    <w:p w14:paraId="00000032">
      <w:pPr>
        <w:pStyle w:val="ListParagraph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сельского поселения Селиярово</w:t>
      </w:r>
    </w:p>
    <w:p w14:paraId="00000033">
      <w:pPr>
        <w:pStyle w:val="ListParagraph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от 17.12.2024 № 83</w:t>
      </w:r>
    </w:p>
    <w:p w14:paraId="00000034">
      <w:pPr>
        <w:ind w:firstLine="723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Положение о размещении линейного объекта</w:t>
      </w:r>
    </w:p>
    <w:p w14:paraId="00000035">
      <w:pPr>
        <w:ind w:firstLine="723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«Линейные коммуникации для кустовой площадки № 2059У </w:t>
      </w:r>
    </w:p>
    <w:p w14:paraId="00000036">
      <w:pPr>
        <w:ind w:firstLine="723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Приобского месторождения»</w:t>
      </w:r>
    </w:p>
    <w:p w14:paraId="00000037">
      <w:pPr>
        <w:ind w:firstLine="723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Проект планировки</w:t>
      </w:r>
    </w:p>
    <w:p w14:paraId="0000003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</w:t>
      </w:r>
    </w:p>
    <w:p w14:paraId="0000003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Документацией по планировке территории объекта: «Линейные коммуникации для кустовой площадки № 2097У Приобского (Монастырский остров) месторождения»   (далее проектируемый объект) предусматривается строительство следующих объектов:</w:t>
      </w:r>
    </w:p>
    <w:p w14:paraId="0000003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1. Кустовая площадка №2059У.</w:t>
      </w:r>
    </w:p>
    <w:p w14:paraId="0000003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Параметры кустовой площадке на период строительства кустового основания определены в зависимости от количества проектируемых скважин, исходя из условия размещения бурового и эксплуатационного оборудования.</w:t>
      </w:r>
    </w:p>
    <w:p w14:paraId="0000003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2. Автомобильная дорога к кустовой площадке №2059У.</w:t>
      </w:r>
    </w:p>
    <w:p w14:paraId="0000003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Протяженность трассы 1008,13 м. Трасса отмыкает от бровки существующей</w:t>
      </w:r>
    </w:p>
    <w:p w14:paraId="0000003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автомобильной дороги к кусту скважин №241у, собственником которой является ООО «РН-Юганскнефтегаз». Конец автодороги – ПК10+08,13 соответствует второму съезду на кустовую площадке №2059У.</w:t>
      </w:r>
    </w:p>
    <w:p w14:paraId="0000003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3. Нефтегазосборные сети куст №2059У– уз.511</w:t>
      </w:r>
    </w:p>
    <w:p w14:paraId="0000004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Назначение - нефтегазосборные сети для транспорта нефтегазоводяной смеси от проектируемой кустовой площадки №2059У (проект 232060_2) до подключения к задвижке 511/2 DN300.</w:t>
      </w:r>
    </w:p>
    <w:p w14:paraId="0000004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4. ВЛ 6 кВ:</w:t>
      </w:r>
    </w:p>
    <w:p w14:paraId="0000004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ВЛ 6 кВ на кустовую площадку № 2059У. Назначение – электроснабжение потребителей кустовой площадки №2059У.</w:t>
      </w:r>
    </w:p>
    <w:p w14:paraId="0000004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Начало трассы – ответвительные опоры установленные в трассе существующей ВЛ 6 кВ на куст №241у ф.5041-09, ф.5041-19, конец трассы – концевые опоры около кустовой площадки №2059У.</w:t>
      </w:r>
    </w:p>
    <w:p w14:paraId="0000004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4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Характеристика проектируемых линейных объектов</w:t>
      </w:r>
    </w:p>
    <w:p w14:paraId="0000004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118872" distR="118872">
            <wp:extent cx="5245100" cy="5139055"/>
            <wp:effectExtent l="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118872" distR="118872">
            <wp:extent cx="5172075" cy="2528570"/>
            <wp:effectExtent l="0" t="0" r="0" b="0"/>
            <wp:docPr id="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4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4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ru-RU"/>
        </w:rPr>
        <w:drawing xmlns:mc="http://schemas.openxmlformats.org/markup-compatibility/2006">
          <wp:inline distT="0" distB="0" distL="118872" distR="118872">
            <wp:extent cx="5175885" cy="3476625"/>
            <wp:effectExtent l="0" t="0" r="0" b="0"/>
            <wp:docPr id="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Функциональное назначение объекта капитального строительства - сбор и транспорт продукции скважин с проектируемого куста скважин №2059У по герметизированной однотрубной системе до подключения к существующей системе нефтегазосборных сетей через проектируемый узел задвижек №2.</w:t>
      </w:r>
    </w:p>
    <w:p w14:paraId="0000004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4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4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4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2.2</w:t>
      </w:r>
      <w:r>
        <w:rPr>
          <w:rFonts w:ascii="Times New Roman" w:cs="Times New Roman" w:hAnsi="Times New Roman"/>
          <w:sz w:val="28"/>
          <w:szCs w:val="28"/>
        </w:rPr>
        <w:tab/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14:paraId="0000005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В административном отношении район работ находится в Ханты – Мансийском автономном округе, Ханты-Мансийском районе, на Приобском месторождении.</w:t>
      </w:r>
    </w:p>
    <w:p w14:paraId="0000005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В хозяйственном отношении объект расположен на землях сельскохозяйственного назначения в границах МО Селиярово и на землях промышленности в границах МО Селиярово.</w:t>
      </w:r>
    </w:p>
    <w:p w14:paraId="0000005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Дорожная сеть представлена федеральными автодорогами, внутрипромысловыми автодорогами, эксплуатируемыми круглогодично, автозимниками и развивается по мере обустройства месторождения.</w:t>
      </w:r>
    </w:p>
    <w:p w14:paraId="0000005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Расстояние до проектируемых объектов от административного центра г. Нефтеюганск, где расположена база изысканий, около 200 км на северо-запад.</w:t>
      </w:r>
    </w:p>
    <w:p w14:paraId="0000005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Ближайшим населенным пунктом к проектируемым объектам является с. Селиярово, расположенное в 1 км южнее участка изысканий.</w:t>
      </w:r>
    </w:p>
    <w:p w14:paraId="0000005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Проезд к району изысканий осуществляется от съезда с федеральной автодороги Р-404 «Тюмень - Тобольск - Ханты-Мансийск» (885км), съезд с которой расположен в 42 км на юг от участка изысканий.</w:t>
      </w:r>
    </w:p>
    <w:p w14:paraId="0000005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Расстояние измерено по внутрипромысловым дорогам, дорогам общего пользования.</w:t>
      </w:r>
    </w:p>
    <w:p w14:paraId="0000005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Участки проектируемого строительства находятся на территории Приобского месторождения нефти, которое расположено в центральной части Западно-Сибирской равнины.</w:t>
      </w:r>
    </w:p>
    <w:p w14:paraId="0000005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На реке Обь возможны наводнения, активное проявление русловых процессов, заторы и зажоры, ледоход, ледостав, шугоход, карчеход.</w:t>
      </w:r>
    </w:p>
    <w:p w14:paraId="0000005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Согласно, Приложению «Б, В» СП 11-103-97, других опасных гидрометеорологических процессов и явлений при проектировании на рассматриваемой территории не наблюдается.</w:t>
      </w:r>
    </w:p>
    <w:p w14:paraId="0000005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В геоморфологическом отношении участок работ приурочен к пойме и первой надпойменной террасе р.Обь, осложненными многочисленными протоками. Рельеф слаборасчлененный, абсолютные отметки изменяются (спланирован насыпными грунтами до абсолютных отметок):</w:t>
      </w:r>
    </w:p>
    <w:p w14:paraId="0000005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ВЛ 6 кВ на кустовую площадку № 2059У (1 линия) от 25,74 до 27,18 м БС;</w:t>
      </w:r>
    </w:p>
    <w:p w14:paraId="0000005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ВЛ 6 кВ на кустовую площадку № 2059У (2 линия) от 25,6 до 27,19 м БС;</w:t>
      </w:r>
    </w:p>
    <w:p w14:paraId="0000005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Нефтегазосборные сети куст № 2059У – уз. 511 от 25,94 до 29,88 м БС.</w:t>
      </w:r>
    </w:p>
    <w:p w14:paraId="0000005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5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2.3 Перечень координат характерных точек границ зон планируемого размещения линейного объекта</w:t>
      </w:r>
    </w:p>
    <w:p w14:paraId="0000006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Ханты-Мансийского автономного округа  Югры МСК-86.</w:t>
      </w:r>
    </w:p>
    <w:p w14:paraId="0000006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06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Перечень координат характерных точек границ зоны </w:t>
      </w:r>
    </w:p>
    <w:p w14:paraId="0000006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планируемого размещения</w:t>
      </w:r>
    </w:p>
    <w:tbl>
      <w:tblPr>
        <w:tblW w:w="0" w:type="auto"/>
        <w:tblInd w:w="18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1813"/>
        <w:gridCol w:w="3069"/>
        <w:gridCol w:w="2370"/>
      </w:tblGrid>
      <w:tr>
        <w:trPr>
          <w:trHeight w:val="300"/>
        </w:trPr>
        <w:tc>
          <w:tcPr>
            <w:cnfStyle w:val="101000000000"/>
            <w:tcW w:w="1843" w:type="dxa"/>
            <w:noWrap w:val="on"/>
            <w:shd w:val="clear" w:color="auto" w:fill="auto"/>
          </w:tcPr>
          <w:p w14:paraId="0000006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Точка</w:t>
            </w:r>
          </w:p>
        </w:tc>
        <w:tc>
          <w:tcPr>
            <w:cnfStyle w:val="100000000000"/>
            <w:tcW w:w="3119" w:type="dxa"/>
            <w:noWrap w:val="on"/>
            <w:shd w:val="clear" w:color="auto" w:fill="auto"/>
          </w:tcPr>
          <w:p w14:paraId="0000006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X</w:t>
            </w:r>
          </w:p>
        </w:tc>
        <w:tc>
          <w:tcPr>
            <w:cnfStyle w:val="100000000000"/>
            <w:tcW w:w="2409" w:type="dxa"/>
            <w:noWrap w:val="on"/>
            <w:shd w:val="clear" w:color="auto" w:fill="auto"/>
          </w:tcPr>
          <w:p w14:paraId="0000006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Y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6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6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995961.12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6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2732098.81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6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6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995956.38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6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2732095.13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6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6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995961.38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6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2732088.68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7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7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995992.70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7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2732086.16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7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7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996021.38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7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2732083.67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7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7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996028.74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7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2732050.16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7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7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996031.34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7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2732038.40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7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7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996019.57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7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2732016.33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7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8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995952.36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8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2731890.29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8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8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995942.95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8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2731872.65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8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8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995922.10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8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2731833.55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8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8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995892.47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8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2731830.63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8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8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995855.81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8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2731827.01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8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8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995841.66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9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2731825.61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9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9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995841.55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9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2731826.61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9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9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995836.41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9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2731828.61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9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9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995801.58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9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2731825.03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9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9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995783.97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9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2731823.22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9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9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995783.89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9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2731843.46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A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A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995783.81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A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2731862.64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A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A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995783.80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A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2731863.82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A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A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995783.69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A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2731890.37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A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A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995775.33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A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2731895.14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A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A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995681.36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A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2731948.76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A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B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995665.19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B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2731957.99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B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B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995591.36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B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2732002.83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B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B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995559.82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B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2732019.61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B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B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995556.56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B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2732021.34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B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B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995563.50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B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2732034.42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B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B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995555.31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C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2732038.70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C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C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995549.25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C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2732041.87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C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C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995541.49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C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2732045.92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C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C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995538.66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C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2732047.40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C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C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995532.51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C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2732035.57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C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C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995521.79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C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2732014.96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D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D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995520.84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D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2732013.14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D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D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995579.49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D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2731981.94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D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D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995611.22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D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2731962.67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D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D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995673.02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D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2731925.82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D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D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995759.74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D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2731876.38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D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E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995759.74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E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2731876.04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E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E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995759.76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E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2731860.73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E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E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995759.77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E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2731843.41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E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E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995759.78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E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2731838.64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E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E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995749.50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E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2731838.67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E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E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995749.50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F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2731789.64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F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F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995729.02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F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2731789.65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F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F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995729.18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F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2731780.64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F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F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995760.23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F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2731780.43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0F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0F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995760.89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0F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2731651.99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0F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0F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995745.02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0F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2731635.96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0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0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995745.63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0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2731550.84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0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0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995745.82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0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2731524.27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0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0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995734.39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0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2731521.68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0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0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995694.28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0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2731512.81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0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0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995695.78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0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2731503.10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0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1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995708.72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1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2731489.94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1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1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995709.25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1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2731259.72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1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1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995706.22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1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2731222.51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1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1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995707.23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1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2731194.42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1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1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995707.68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1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2731182.09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1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1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995710.96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2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2731157.05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2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2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995711.43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2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2731073.44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2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2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995727.74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2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2731020.87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2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2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995772.89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2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2730978.42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2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2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995837.85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2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2730960.47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2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2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995848.04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2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2730960.53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3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3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995846.73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3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2730942.53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3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3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996000.99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3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2730931.64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3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3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996000.51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3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2730918.87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3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3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996002.23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3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2730918.67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3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3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996010.95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3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2730917.68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3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4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996009.70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4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2730890.42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4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4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996071.75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4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2730826.14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4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4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996095.66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4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2730844.86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4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4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996223.94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4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2730700.65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4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4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996524.00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4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2730967.59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4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4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996349.20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5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2731164.08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5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5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996237.28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5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2731064.51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5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5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996221.41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5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2731081.20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5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5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996106.02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5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2730978.13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5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5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996072.24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5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2730980.96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5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5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996043.31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5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2730983.38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6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6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996045.42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6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2731004.98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6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6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996035.02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6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2731007.31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6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6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996034.86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6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2731012.91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6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6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996005.79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6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2731015.59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6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6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996005.22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6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2731010.36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6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7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996004.53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7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2731004.08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7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7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995930.55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7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2731010.62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7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7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995929.51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7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2731016.96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7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7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995891.78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7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2731247.18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7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7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995804.25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7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2731284.19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7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7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995802.93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8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2731508.90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8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8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995829.02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8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2731748.07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8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8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995827.19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8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2731766.01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8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8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995823.07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8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2731806.48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8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8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995843.48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8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2731808.42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8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8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995842.29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8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2731819.64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9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9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995865.70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9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2731821.95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9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9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995902.35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9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2731825.57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9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9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995902.36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9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2731825.57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9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9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995925.88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9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2731827.89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9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9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995948.23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9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2731869.81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9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A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995957.64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A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2731887.45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A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A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995969.70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A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2731910.06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A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107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A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995993.29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A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2731954.30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A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108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A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996027.61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A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2732012.31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A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109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A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996045.45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A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2732048.53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A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110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A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996026.11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B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2732090.24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B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B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996025.47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B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2732093.16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B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112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B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996024.65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B6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2732095.04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B7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113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B8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996019.25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B9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2732097.66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BA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114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BB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996015.63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BC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2732090.20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BD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115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BE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995993.19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BF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2732092.15</w:t>
            </w:r>
          </w:p>
        </w:tc>
      </w:tr>
      <w:tr>
        <w:trPr>
          <w:trHeight w:val="300"/>
        </w:trPr>
        <w:tc>
          <w:tcPr>
            <w:cnfStyle w:val="001000010000"/>
            <w:tcW w:w="1843" w:type="dxa"/>
            <w:noWrap w:val="on"/>
            <w:shd w:val="clear" w:color="auto" w:fill="auto"/>
          </w:tcPr>
          <w:p w14:paraId="000001C0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116</w:t>
            </w:r>
          </w:p>
        </w:tc>
        <w:tc>
          <w:tcPr>
            <w:cnfStyle w:val="000000010000"/>
            <w:tcW w:w="3119" w:type="dxa"/>
            <w:noWrap w:val="on"/>
            <w:shd w:val="clear" w:color="auto" w:fill="auto"/>
          </w:tcPr>
          <w:p w14:paraId="000001C1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995964.51</w:t>
            </w:r>
          </w:p>
        </w:tc>
        <w:tc>
          <w:tcPr>
            <w:cnfStyle w:val="000000010000"/>
            <w:tcW w:w="2409" w:type="dxa"/>
            <w:noWrap w:val="on"/>
            <w:shd w:val="clear" w:color="auto" w:fill="auto"/>
          </w:tcPr>
          <w:p w14:paraId="000001C2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2732094.45</w:t>
            </w:r>
          </w:p>
        </w:tc>
      </w:tr>
      <w:tr>
        <w:trPr>
          <w:trHeight w:val="300"/>
        </w:trPr>
        <w:tc>
          <w:tcPr>
            <w:cnfStyle w:val="001000100000"/>
            <w:tcW w:w="1843" w:type="dxa"/>
            <w:noWrap w:val="on"/>
            <w:shd w:val="clear" w:color="auto" w:fill="auto"/>
          </w:tcPr>
          <w:p w14:paraId="000001C3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cnfStyle w:val="000000100000"/>
            <w:tcW w:w="3119" w:type="dxa"/>
            <w:noWrap w:val="on"/>
            <w:shd w:val="clear" w:color="auto" w:fill="auto"/>
          </w:tcPr>
          <w:p w14:paraId="000001C4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995961.12</w:t>
            </w:r>
          </w:p>
        </w:tc>
        <w:tc>
          <w:tcPr>
            <w:cnfStyle w:val="000000100000"/>
            <w:tcW w:w="2409" w:type="dxa"/>
            <w:noWrap w:val="on"/>
            <w:shd w:val="clear" w:color="auto" w:fill="auto"/>
          </w:tcPr>
          <w:p w14:paraId="000001C5">
            <w:pPr>
              <w:ind w:firstLine="723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2732098.81</w:t>
            </w:r>
          </w:p>
        </w:tc>
      </w:tr>
    </w:tbl>
    <w:p w14:paraId="000001C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1C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2.4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</w:p>
    <w:p w14:paraId="000001C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Проектом планировки территории не предусматривается реконструкция проектируемых объектов.</w:t>
      </w:r>
    </w:p>
    <w:p w14:paraId="000001C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1C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2.5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его планируемого размещения</w:t>
      </w:r>
    </w:p>
    <w:p w14:paraId="000001C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14:paraId="000001C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14:paraId="000001C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Общая зона планируемого размещения проектируемого объекта составляет 24,2562  га.</w:t>
      </w:r>
    </w:p>
    <w:p w14:paraId="000001C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Границы зоны планируемого размещения объекта установлена в соответствии с требованиями действующих норм отвода и учтена при разработке рабочего проекта.</w:t>
      </w:r>
    </w:p>
    <w:p w14:paraId="000001C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1D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2.6 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14:paraId="000001D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Вариантность выбора места размещения линейных объектов не рассматривалась т.к. проектируемый объект технологически привязан к объектам сложившейся инфраструктуры (продолжение разработки и обустройства Приобского месторождения, прохождение вдоль существующих коридоров коммуникаций).</w:t>
      </w:r>
    </w:p>
    <w:p w14:paraId="000001D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Осуществление мероприятий по сохранению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при планировке территории, не предусмотрено.</w:t>
      </w:r>
    </w:p>
    <w:p w14:paraId="000001D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1D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2.7 Информация о необходимости осуществления мероприятий по сохранению объектов культурного наследия  и территории традиционного природопользования коренных малочисленных народов Севера, Сибири и Дальнего Востока от возможного негативного воздействия в связи с размещением линейного объекта</w:t>
      </w:r>
    </w:p>
    <w:p w14:paraId="000001D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Согласно  Заключению  Службы  государственной  охраны  объектов  культурного наследия  Ханты-Мансийского автономного округа-Югры  № 24-3024 от 19.06.2024 г.</w:t>
      </w:r>
    </w:p>
    <w:p w14:paraId="000001D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На территории испрашиваемого земельного участка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отсутствуют. Испрашиваемый земельный участок расположен вне зон охраны/защитных зон объектов культурного наследия. Сведениями об отсутствии/наличии на территории испрашиваемого земельного участка выявленных объектов культурного наследия либо объектов, обладающих признаками объекта культурного наследия, Госкультохрана Югры не располагает.</w:t>
      </w:r>
    </w:p>
    <w:p w14:paraId="000001D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В соответствии с письмом Департамента недропользования и природных ресурсов Ханты-Мансийского автономного округа-Югры № 21095 от 10.07.2024 г. проектируемый объект не  находится в границах территорий традиционного природопользования коренных малочисленных народов Севера регионального значения в Ханты-Мансийском автономном округе.</w:t>
      </w:r>
    </w:p>
    <w:p w14:paraId="000001D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1D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2.8 Информация о необходимости осуществления мероприятий по охране окружающей среды</w:t>
      </w:r>
    </w:p>
    <w:p w14:paraId="000001D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целях охраны поверхностных водных объектов устанавливаются водоохранные зоны.</w:t>
      </w:r>
    </w:p>
    <w:p w14:paraId="000001D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Согласно «Водному кодексу Российской Федерации» от 03.06.2006 г. № 74-ФЗ, а также п.4 Правил установления на местности границ </w:t>
      </w:r>
      <w:r>
        <w:rPr>
          <w:rFonts w:ascii="Times New Roman" w:cs="Times New Roman" w:hAnsi="Times New Roman"/>
          <w:sz w:val="28"/>
          <w:szCs w:val="28"/>
        </w:rPr>
        <w:t>водоохранных зон и границ прибрежных полос водных объектов, утвержденных Постановлением правительства от 10.01.2009 г. РФ № 17.</w:t>
      </w:r>
    </w:p>
    <w:p w14:paraId="000001D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Ширина водоохранной зоны рек или ручьев устанавливается от их истока для рек и ручьев протяженностью:</w:t>
      </w:r>
    </w:p>
    <w:p w14:paraId="000001D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до десяти километров – в размере пятидесяти метров;</w:t>
      </w:r>
    </w:p>
    <w:p w14:paraId="000001D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от десяти до пятидесяти километров – в размере ста метров;</w:t>
      </w:r>
    </w:p>
    <w:p w14:paraId="000001D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от пятидесяти километров и более – в размере двухсот метров.</w:t>
      </w:r>
    </w:p>
    <w:p w14:paraId="000001E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Для реки, ручья протяженностью менее десяти километров от истока до устья водоохранной зона совпадает с прибрежной защитной полосой. Радиус водоохраной зоны для истоков реки, ручья устанавливается в размере пятидесяти метров.</w:t>
      </w:r>
    </w:p>
    <w:p w14:paraId="000001E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Ширина водоохранной зоны озера, водохранилища, за исключением озера, расположенного внутри болота, или озера, водохранилища с акваторией менее 0,5 км2, устанавливается в размере пятидесяти метров.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14:paraId="000001E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Река Обь: Водоохранная зона (ВОЗ) – 200 м; прибрежнозащитная полоса (ПЗП) – 50м;</w:t>
      </w:r>
    </w:p>
    <w:p w14:paraId="000001E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Протока Лабытвор: Водоохранная зона (ВОЗ) – 200 м; прибрежнозащитная полоса (ПЗП) – 50м;</w:t>
      </w:r>
    </w:p>
    <w:p w14:paraId="000001E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Река Кедровая: Водоохранная зона (ВОЗ) – 50 м; прибрежнозащитная полоса (ПЗП) – 50м;</w:t>
      </w:r>
    </w:p>
    <w:p w14:paraId="000001E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границах водоохранных зон согласно ст.65 Водного Кодекса РФ запрещается:</w:t>
      </w:r>
    </w:p>
    <w:p w14:paraId="000001E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размещение мест захоронения отходов производства и потребления;</w:t>
      </w:r>
    </w:p>
    <w:p w14:paraId="000001E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движение и стоянка транспортных средств, за исключением их движения по дорогам и стоянки на дорогах и в специально оборудованных местах, имеющих твердое покрытие;</w:t>
      </w:r>
    </w:p>
    <w:p w14:paraId="000001E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сбор сточных, в том числе дренажных, вод.</w:t>
      </w:r>
    </w:p>
    <w:p w14:paraId="000001E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Проектируемые площадные объекты располагаются вне водоохранных зон и прибрежных защитных полос близлежащих водных объектов.Сброс загрязненных сточных вод в поверхностные водотоки отсутствует. Вода из поверхностных водотоков на производственные нужды в период строительства не используется.</w:t>
      </w:r>
    </w:p>
    <w:p w14:paraId="000001E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Для уменьшения воздействия на водотоки предусмотрены следующие мероприятия:</w:t>
      </w:r>
    </w:p>
    <w:p w14:paraId="000001E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-выполнение строительно-монтажных работ с применением гусеничной техники должно осуществляться в зимний период для уменьшения воздействия строительной техники на растительный береговой покров; в остальные сезоны года строительно-монтажные работы, движение транспорта и строительной техники должно осуществляться только по существующим автомобильным дорогам, зимникам и временным вдольтрассовым проездам;</w:t>
      </w:r>
    </w:p>
    <w:p w14:paraId="000001E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-все отходы защитных материалов, остатки горючесмазочных материалов тщательно должны собираться в передвижное оборудование (мусоросборники, емкости для сбора отработанных горюче-смазочных материалов) и вывозиться в места, согласованные с соответствующими муниципальными органами и органами государственной власти Российской Федерации;</w:t>
      </w:r>
    </w:p>
    <w:p w14:paraId="000001E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-после завершения строительства  выполняются рекультивационные работы.</w:t>
      </w:r>
    </w:p>
    <w:p w14:paraId="000001E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Организационный сброс стоков или загрязняющих веществ на поверхность земли и в водотоки не производится. Попадание загрязняющих веществ в водные объекты в результате размыва и выноса ливневыми и талыми водами возможно лишь при неправильном хранении строительных материалов и аварийных утечек дизтоплива работающих механизмов в период строительства.</w:t>
      </w:r>
    </w:p>
    <w:p w14:paraId="000001E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всех этапах работ осуществляется входной, операционный  и приемочный контроль качества строительства, а также  проводится своевременный профилактический осмотр, ремонт и диагностика оборудования.</w:t>
      </w:r>
    </w:p>
    <w:p w14:paraId="000001F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14:paraId="000001F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Для уменьшения негативного воздействия на окружающую среду проектом планировки предусмотрены следующие мероприятия:</w:t>
      </w:r>
    </w:p>
    <w:p w14:paraId="000001F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не допускается использование земель за пределами установленных границ отвода;</w:t>
      </w:r>
    </w:p>
    <w:p w14:paraId="000001F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рекультивация нарушенных земель;</w:t>
      </w:r>
    </w:p>
    <w:p w14:paraId="000001F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уборка строительного мусора, выравнивание ям, котлованов и траншей;</w:t>
      </w:r>
    </w:p>
    <w:p w14:paraId="000001F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благоустройство территории;</w:t>
      </w:r>
    </w:p>
    <w:p w14:paraId="000001F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использование технически исправного автотранспорта прошедшего проверку на дымность и токсичность выбросов в соответствии с действующим законодательством;</w:t>
      </w:r>
    </w:p>
    <w:p w14:paraId="000001F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не допускаются к работе неисправные технические средства, способные вызвать загорание;</w:t>
      </w:r>
    </w:p>
    <w:p w14:paraId="000001F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запрещается захламление территории строительными отходами;</w:t>
      </w:r>
    </w:p>
    <w:p w14:paraId="000001F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запрещается разлив горюче-смазочных материалов, слив отработанных масел и т.п.;</w:t>
      </w:r>
    </w:p>
    <w:p w14:paraId="000001F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соблюдение требований к накоплению и транспортировке отходов;</w:t>
      </w:r>
    </w:p>
    <w:p w14:paraId="000001F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 целью уменьшения отрицательного воздействия строительства на окружающую среду, применяется укрупнение и повышение технологической готовности конструкций и материалов;</w:t>
      </w:r>
    </w:p>
    <w:p w14:paraId="000001F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снятие и перемещение почвенного слоя почвы в места временного складирования и хранения. Снятие, транспортировка, хранение и восстановление почвенного слоя должно проводиться так, чтобы исключить снижение его качественных показателей, а также его количественных потерь;</w:t>
      </w:r>
    </w:p>
    <w:p w14:paraId="000001F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при строительстве опор линий ВЛ почвенно-растительный слой не снимается;</w:t>
      </w:r>
    </w:p>
    <w:p w14:paraId="000001F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выполнение строительно-монтажных работ в зимний период для уменьшения воздействия строительных машин на почвенно-растительный покров;</w:t>
      </w:r>
    </w:p>
    <w:p w14:paraId="000001F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устройство водопропусков;</w:t>
      </w:r>
    </w:p>
    <w:p w14:paraId="0000020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запрещается разлив горюче-смазочных материалов, слив на трассе отработанных масел и т.п.;</w:t>
      </w:r>
    </w:p>
    <w:p w14:paraId="0000020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запрещается не регламентируемая охота, рыбная ловля и браконьерство;</w:t>
      </w:r>
    </w:p>
    <w:p w14:paraId="0000020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избежание нарушения естественно-дренажной сети, восстановление ее в близком, к существующему, до начала строительства виде,  для предотвращения возможных процессов заболачивания территории,  и как </w:t>
      </w:r>
      <w:r>
        <w:rPr>
          <w:rFonts w:ascii="Times New Roman" w:cs="Times New Roman" w:hAnsi="Times New Roman"/>
          <w:sz w:val="28"/>
          <w:szCs w:val="28"/>
        </w:rPr>
        <w:t>следствие, деградация растительности из-за затруднения или полного прекращения естественного дренирования;</w:t>
      </w:r>
    </w:p>
    <w:p w14:paraId="0000020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мониторинг за компонентами окружающей среды в период строительства проектируемых объектов.</w:t>
      </w:r>
    </w:p>
    <w:p w14:paraId="0000020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За нарушение окружающей среды несут персональную дисциплинарную, административную, материальную и уголовную ответственность производители работ и лица, непосредственно нанесшие урон окружающей среде.</w:t>
      </w:r>
    </w:p>
    <w:p w14:paraId="0000020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При неукоснительном соблюдении природоохранных мероприятий и рекомендаций относительно сроков производства строительных работ воздействие на компоненты природной среды планируемых работ прогнозируется как минимальное.</w:t>
      </w:r>
    </w:p>
    <w:p w14:paraId="0000020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Мероприятия по охране атмосферного воздуха включают:</w:t>
      </w:r>
    </w:p>
    <w:p w14:paraId="0000020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сокращение выбросов загрязняющих веществ от всех стационарных и передвижных источников. Содержание вредных веществ в воздухе рабочей зоны не должно превышать значений предельно допустимой концентрации;</w:t>
      </w:r>
    </w:p>
    <w:p w14:paraId="0000020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временное накопление обтирочного материала, отходов изоляции и мусора от бытовых помещений в металлических контейнерах;</w:t>
      </w:r>
    </w:p>
    <w:p w14:paraId="0000020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недопущение сжигания различных видов отходов вне специальных устройств, оборудованных системой газоочистки продуктов сжигания;</w:t>
      </w:r>
    </w:p>
    <w:p w14:paraId="0000020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обеспечение постоянного учета контроля работы всех видов транспорта, хранения и отпуска горючесмазочных материалов (далее – ГСМ);</w:t>
      </w:r>
    </w:p>
    <w:p w14:paraId="0000020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осуществление заправки и ремонта техники на специально оборудованных для этих целей площадках и базах.</w:t>
      </w:r>
    </w:p>
    <w:p w14:paraId="0000020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целях минимизации отрицательного влияния на почвенно-растительный покров проектом предусматривается:</w:t>
      </w:r>
    </w:p>
    <w:p w14:paraId="0000020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уборка строительного мусора, выравнивание ям, котлованов и траншей;</w:t>
      </w:r>
    </w:p>
    <w:p w14:paraId="0000020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озеленение свободной от застройки территории.</w:t>
      </w:r>
    </w:p>
    <w:p w14:paraId="0000020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рекультивация нарушенных земель, в т.ч. технический этап рекультивации, биологический этап рекультивации;</w:t>
      </w:r>
    </w:p>
    <w:p w14:paraId="0000021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обращение с отходами осуществляется на основании договоров со специализированными предприятиями, имеющими лицензии по обращению с отходами.</w:t>
      </w:r>
    </w:p>
    <w:p w14:paraId="0000021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деловую древесину рекомендуется использовать при устройстве лежневых временных дорог, лежневых настилов при пересечении с подземными коммуникациями; утилизация порубочных остатков путем измельчения с использованием машин глубинной подготовки полей в полосе отвода и разбрасывания измельченных порубочных остатков в целях улучшения лесорастительных условий.</w:t>
      </w:r>
    </w:p>
    <w:p w14:paraId="0000021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Проектом планировки предусмотрены следующие мероприятия по охране животного мира:</w:t>
      </w:r>
    </w:p>
    <w:p w14:paraId="0000021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строгое соблюдение границ отведенной территории;</w:t>
      </w:r>
    </w:p>
    <w:p w14:paraId="0000021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рекультивация нарушенных земель для улучшения условий обитания, восстановления кормовой базы животных;</w:t>
      </w:r>
    </w:p>
    <w:p w14:paraId="0000021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выполнение строительно-монтажных работ в зимний период для уменьшения воздействия строительных машин на почвенно-растительный покров;</w:t>
      </w:r>
    </w:p>
    <w:p w14:paraId="0000021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крепление провода на опорах 6 кВ предусматривается при помощи одноцепных натяжных и поддерживающих гирлянд, комплектуемых стеклянными изоляторы типа ПС 70Е и немагнитной спиральной арматурой;</w:t>
      </w:r>
    </w:p>
    <w:p w14:paraId="0000021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обращение с отходами на основании договоров со специализированными предприятиями для предотвращения загрязнения среды обитания;</w:t>
      </w:r>
    </w:p>
    <w:p w14:paraId="0000021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запрет несанкционированной охоты;</w:t>
      </w:r>
    </w:p>
    <w:p w14:paraId="0000021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ограждение площадочных объектов;</w:t>
      </w:r>
    </w:p>
    <w:p w14:paraId="0000021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возмещение ущерба животному миру.</w:t>
      </w:r>
    </w:p>
    <w:p w14:paraId="0000021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Также проектом предусмотрены мероприятия по охране рыбных ресурсов:</w:t>
      </w:r>
    </w:p>
    <w:p w14:paraId="0000021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выполнение строительно-монтажных работ в зимний период;</w:t>
      </w:r>
    </w:p>
    <w:p w14:paraId="0000021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строгое соблюдение технологии строительства переходов по проекту производства работ и ситуационного плана переходов с привязкой к местности основных геодезических знаков;</w:t>
      </w:r>
    </w:p>
    <w:p w14:paraId="0000021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закрепление оси трассы на каждой стороне водоема;</w:t>
      </w:r>
    </w:p>
    <w:p w14:paraId="0000021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возмещение ущерба рыбным ресурсам.</w:t>
      </w:r>
    </w:p>
    <w:p w14:paraId="0000022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2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2.9 Информация о необходимости осуществления мероприятий по защите территорий от чрезвычайных ситуаций природного и техногенного характера, в том числе по обеспечению пожарной безопасности и гражданкой обороне</w:t>
      </w:r>
    </w:p>
    <w:p w14:paraId="0000022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целях обеспечения защиты основных  производственных фондов снижения возможных потерь и разрушений в чрезвычайных условиях проектом планировки предусматривается:</w:t>
      </w:r>
    </w:p>
    <w:p w14:paraId="0000022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внедрение технологических процессов и конструкций, обеспечивающих снижение образования аварийных ситуаций и защиту оборудования, аппаратуры и приборов в чрезвычайных условиях;</w:t>
      </w:r>
    </w:p>
    <w:p w14:paraId="0000022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разработка и строгое соблюдение графиков и инструкций по безаварийной остановке производства в случае внезапного отключения или прекращения подачи электроэнергии;</w:t>
      </w:r>
    </w:p>
    <w:p w14:paraId="0000022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планирование действий руководящего, командноначальствующего состава, штаба, служб и формирований гражданской обороны по защите рабочих и служащих предприятий;</w:t>
      </w:r>
    </w:p>
    <w:p w14:paraId="0000022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обучение персонала выполнению работ по ликвидации аварий;</w:t>
      </w:r>
    </w:p>
    <w:p w14:paraId="0000022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обеспечение всех рабочих и служащих средствами индивидуальной защиты, их хранение и поддержание в готовности;</w:t>
      </w:r>
    </w:p>
    <w:p w14:paraId="0000022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организация и поддержание в постоянной готовности системы оповещения рабочих и служащих об опасности, порядок доведения до них установленных сигналов оповещения;</w:t>
      </w:r>
    </w:p>
    <w:p w14:paraId="0000022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Выделены следующие меры, направленные на предупреждение развития аварий и локализацию выбросов опасных веществ:</w:t>
      </w:r>
    </w:p>
    <w:p w14:paraId="0000022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принятие мер при возникновении пожара по ликвидации очага пожара или ограничению его распространения при помощи первичных средств пожаротушения;</w:t>
      </w:r>
    </w:p>
    <w:p w14:paraId="0000022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разобщение реагирующих веществ на небольших площадках и в начале пожара при помощи покрытия горящей поверхности кошмой, брезентом или засыпка слоем негорючих веществ (песок, земля);</w:t>
      </w:r>
    </w:p>
    <w:p w14:paraId="0000022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тушение при помощи огнегасящих веществ – воды и механической пены передвижными средствами.</w:t>
      </w:r>
    </w:p>
    <w:p w14:paraId="0000022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Для обеспечения взрывопожаробезопасности предусмотрены следующие решения:</w:t>
      </w:r>
    </w:p>
    <w:p w14:paraId="0000022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Категории взрывоопасных и пожароопасных зон в помещениях и наружных площадках, категории и группы взрывоопасных смесей приняты по СП 12.13130.2009 «Определение категорий помещений, зданий и наружных установок по взрывопожарной и пожарной опасности»;</w:t>
      </w:r>
    </w:p>
    <w:p w14:paraId="0000022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применение электрооборудования во взрывозащищенном исполнении на всех участках, согласно категориям по ПУЭ;</w:t>
      </w:r>
    </w:p>
    <w:p w14:paraId="0000023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соблюдение требований, норм и правил по взрывопожаробезопасности;</w:t>
      </w:r>
    </w:p>
    <w:p w14:paraId="0000023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применение молниезащиты сооружений, защита оборудования и трубопроводов от вторичных проявлений молнии;</w:t>
      </w:r>
    </w:p>
    <w:p w14:paraId="0000023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наличие </w:t>
      </w:r>
      <w:r>
        <w:rPr>
          <w:rFonts w:ascii="Times New Roman" w:cs="Times New Roman" w:hAnsi="Times New Roman"/>
          <w:sz w:val="28"/>
          <w:szCs w:val="28"/>
        </w:rPr>
        <w:t>датчико</w:t>
      </w:r>
      <w:r>
        <w:rPr>
          <w:rFonts w:ascii="Times New Roman" w:cs="Times New Roman" w:hAnsi="Times New Roman"/>
          <w:sz w:val="28"/>
          <w:szCs w:val="28"/>
        </w:rPr>
        <w:t>-</w:t>
      </w:r>
      <w:r>
        <w:rPr>
          <w:rFonts w:ascii="Times New Roman" w:cs="Times New Roman" w:hAnsi="Times New Roman"/>
          <w:sz w:val="28"/>
          <w:szCs w:val="28"/>
        </w:rPr>
        <w:t>извещателей</w:t>
      </w:r>
      <w:r>
        <w:rPr>
          <w:rFonts w:ascii="Times New Roman" w:cs="Times New Roman" w:hAnsi="Times New Roman"/>
          <w:sz w:val="28"/>
          <w:szCs w:val="28"/>
        </w:rPr>
        <w:t>;</w:t>
      </w:r>
    </w:p>
    <w:p w14:paraId="00000233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осуществление обогрева аппаратов и трубопроводов;</w:t>
      </w:r>
    </w:p>
    <w:p w14:paraId="00000234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применение переносных исправных электросветильников во взрывозащищенном исполнении;</w:t>
      </w:r>
    </w:p>
    <w:p w14:paraId="00000235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исполнение освещения во взрывобезопасном исполнении;</w:t>
      </w:r>
    </w:p>
    <w:p w14:paraId="00000236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использование искробезопасного инструмента при выполнении ремонтных работ;</w:t>
      </w:r>
    </w:p>
    <w:p w14:paraId="00000237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предупреждение использования открытого огня;</w:t>
      </w:r>
    </w:p>
    <w:p w14:paraId="00000238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наличие первичных средств пожаротушения на площадке: песок, кошма, огнетушители, пожарный инвентарь (лопаты, носилки).</w:t>
      </w:r>
    </w:p>
    <w:p w14:paraId="00000239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3A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3B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3C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3D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3E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3F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40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41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42">
      <w:pPr>
        <w:ind w:firstLine="723"/>
        <w:jc w:val="both"/>
        <w:rPr>
          <w:rFonts w:ascii="Times New Roman" w:cs="Times New Roman" w:hAnsi="Times New Roman"/>
          <w:sz w:val="28"/>
          <w:szCs w:val="28"/>
        </w:rPr>
      </w:pPr>
    </w:p>
    <w:p w14:paraId="00000243">
      <w:r>
        <w:rPr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9" simplePos="0">
                <wp:simplePos x="0" y="0"/>
                <wp:positionH relativeFrom="column">
                  <wp:posOffset>-176530</wp:posOffset>
                </wp:positionH>
                <wp:positionV relativeFrom="paragraph">
                  <wp:posOffset>436245</wp:posOffset>
                </wp:positionV>
                <wp:extent cx="6576695" cy="1666875"/>
                <wp:effectExtent l="0" t="0" r="0" b="0"/>
                <wp:wrapNone/>
                <wp:docPr id="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48" name="Надпись 2"/>
                      <wps:cNvSpPr txBox="1"/>
                      <wps:spPr>
                        <a:xfrm>
                          <a:off x="0" y="0"/>
                          <a:ext cx="657669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miter/>
                        </a:ln>
                      </wps:spPr>
                      <wps:txbx id="2">
                        <w:txbxContent>
                          <w:p w14:paraId="00000244">
                            <w:pPr>
                              <w:shd w:val="clear" w:color="auto" w:fill="ffffff"/>
                              <w:spacing w:line="216" w:lineRule="auto"/>
                              <w:jc w:val="center"/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  <w:t>Проект межевания территории</w:t>
                            </w:r>
                          </w:p>
                          <w:p w14:paraId="00000245">
                            <w:pPr>
                              <w:shd w:val="clear" w:color="auto" w:fill="ffffff"/>
                              <w:spacing w:line="216" w:lineRule="auto"/>
                              <w:jc w:val="center"/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  <w:t>для размещения объекта, расположенного на территории Ханты-Мансийского района</w:t>
                            </w:r>
                          </w:p>
                          <w:p w14:paraId="00000246">
                            <w:pPr>
                              <w:spacing w:line="360" w:lineRule="auto"/>
                              <w:jc w:val="center"/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  <w:t>«Линейные коммуникации для кустовой площадки № 2059У Приобского месторождения»</w:t>
                            </w:r>
                          </w:p>
                          <w:p w14:paraId="00000247">
                            <w:pPr>
                              <w:spacing w:line="360" w:lineRule="auto"/>
                              <w:jc w:val="center"/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pacing w:val="-8"/>
                                <w:sz w:val="28"/>
                                <w:szCs w:val="28"/>
                              </w:rPr>
                              <w:t>Основная часть</w:t>
                            </w:r>
                          </w:p>
                          <w:p w14:paraId="0000024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lIns="91440" tIns="45720" rIns="91440" bIns="45720"/>
                    </wps:wsp>
                  </a:graphicData>
                </a:graphic>
              </wp:anchor>
            </w:drawing>
          </mc:Choice>
          <mc:Fallback>
            <w:pict>
              <v:shape id="96F48ED7-0BEA-78F3-BC2F05B95E89" coordsize="21600,21600" style="position:absolute;width:517.85pt;height:131.25pt;margin-top:34.35pt;margin-left:-13.9pt;mso-wrap-distance-left:9.36pt;mso-wrap-distance-right:9.36pt;mso-wrap-distance-top:0pt;mso-wrap-distance-bottom:0pt;rotation:0.000000;z-index:9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>
          <w:lang w:eastAsia="ru-RU"/>
        </w:rPr>
        <w:drawing xmlns:mc="http://schemas.openxmlformats.org/markup-compatibility/2006">
          <wp:inline distT="0" distB="0" distL="118872" distR="118872">
            <wp:extent cx="5774690" cy="8604250"/>
            <wp:effectExtent l="0" t="0" r="0" b="0"/>
            <wp:docPr id="8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1" simplePos="0">
                <wp:simplePos x="0" y="0"/>
                <wp:positionH relativeFrom="column">
                  <wp:posOffset>3349625</wp:posOffset>
                </wp:positionH>
                <wp:positionV relativeFrom="paragraph">
                  <wp:posOffset>-471170</wp:posOffset>
                </wp:positionV>
                <wp:extent cx="2849245" cy="855345"/>
                <wp:effectExtent l="0" t="0" r="0" b="0"/>
                <wp:wrapNone/>
                <wp:docPr id="89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50" name="Shape 3"/>
                      <wps:cNvSpPr txBox="1"/>
                      <wps:spPr>
                        <a:xfrm>
                          <a:off x="0" y="0"/>
                          <a:ext cx="284924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miter/>
                        </a:ln>
                      </wps:spPr>
                      <wps:txbx id="3">
                        <w:txbxContent>
                          <w:p w14:paraId="00000249">
                            <w:pPr>
                              <w:pStyle w:val="ListParagraph"/>
                              <w:jc w:val="righ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Приложение  3</w:t>
                            </w:r>
                          </w:p>
                          <w:p w14:paraId="0000024A">
                            <w:pPr>
                              <w:pStyle w:val="ListParagraph"/>
                              <w:jc w:val="righ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к постановлению администрации сельского поселения Селиярово</w:t>
                            </w:r>
                          </w:p>
                          <w:p w14:paraId="0000024B">
                            <w:pPr>
                              <w:pStyle w:val="ListParagraph"/>
                              <w:jc w:val="right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от 17.12.2024 № 83</w:t>
                            </w:r>
                          </w:p>
                          <w:p w14:paraId="0000024C"/>
                        </w:txbxContent>
                      </wps:txbx>
                      <wps:bodyPr lIns="91440" tIns="45720" rIns="91440" bIns="45720"/>
                    </wps:wsp>
                  </a:graphicData>
                </a:graphic>
              </wp:anchor>
            </w:drawing>
          </mc:Choice>
          <mc:Fallback>
            <w:pict>
              <v:shape id="64109662-BF69-4418-0D76FB4CC662" coordsize="21600,21600" style="position:absolute;width:224.35pt;height:67.35pt;margin-top:-37.1pt;margin-left:263.75pt;mso-wrap-distance-left:9.36pt;mso-wrap-distance-right:9.36pt;mso-wrap-distance-top:0pt;mso-wrap-distance-bottom:0pt;rotation:0.000000;z-index:11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</w:p>
    <w:p w14:paraId="0000024D">
      <w:pPr>
        <w:tabs>
          <w:tab w:val="left" w:pos="7069"/>
        </w:tabs>
        <w:jc w:val="center"/>
        <w:rPr>
          <w:rFonts w:ascii="Times New Roman" w:cs="Times New Roman" w:hAnsi="Times New Roman"/>
          <w:sz w:val="28"/>
          <w:szCs w:val="28"/>
        </w:rPr>
      </w:pPr>
      <w:r>
        <w:rPr>
          <w:lang w:eastAsia="ru-RU"/>
        </w:rPr>
        <w:drawing xmlns:mc="http://schemas.openxmlformats.org/markup-compatibility/2006">
          <wp:inline distT="0" distB="0" distL="118872" distR="118872">
            <wp:extent cx="6208579" cy="8773547"/>
            <wp:effectExtent l="0" t="0" r="0" b="0"/>
            <wp:docPr id="9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4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579" cy="87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 xmlns:mc="http://schemas.openxmlformats.org/markup-compatibility/2006">
          <wp:inline distT="0" distB="0" distL="118872" distR="118872">
            <wp:extent cx="6208579" cy="8773547"/>
            <wp:effectExtent l="0" t="0" r="0" b="0"/>
            <wp:docPr id="9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579" cy="87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24E">
      <w:pPr>
        <w:jc w:val="right"/>
        <w:rPr>
          <w:spacing w:val="-8"/>
          <w:sz w:val="24"/>
          <w:szCs w:val="24"/>
        </w:rPr>
      </w:pPr>
    </w:p>
    <w:p w14:paraId="0000024F">
      <w:pPr>
        <w:pStyle w:val="ListParagraph"/>
        <w:ind w:left="-16" w:firstLine="736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Приложение 4</w:t>
      </w:r>
    </w:p>
    <w:p w14:paraId="00000250">
      <w:pPr>
        <w:pStyle w:val="ListParagraph"/>
        <w:ind w:left="-16" w:firstLine="736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к постановлению администрации </w:t>
      </w:r>
    </w:p>
    <w:p w14:paraId="00000251">
      <w:pPr>
        <w:pStyle w:val="ListParagraph"/>
        <w:ind w:left="-16" w:firstLine="736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сельского поселения Селиярово</w:t>
      </w:r>
    </w:p>
    <w:p w14:paraId="00000252">
      <w:pPr>
        <w:pStyle w:val="ListParagraph"/>
        <w:ind w:left="-16" w:firstLine="736"/>
        <w:jc w:val="right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от 17.12.2024 № 83</w:t>
      </w:r>
    </w:p>
    <w:p w14:paraId="00000253">
      <w:pPr>
        <w:pStyle w:val="ListParagraph"/>
        <w:ind w:left="-16" w:firstLine="736"/>
        <w:jc w:val="right"/>
        <w:rPr>
          <w:rFonts w:ascii="Times New Roman" w:cs="Times New Roman" w:hAnsi="Times New Roman"/>
          <w:sz w:val="24"/>
          <w:szCs w:val="24"/>
        </w:rPr>
      </w:pPr>
    </w:p>
    <w:p w14:paraId="00000254">
      <w:pPr>
        <w:pStyle w:val="ListParagraph"/>
        <w:ind w:left="-16" w:firstLine="736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Положение о размещении линейного объекта</w:t>
      </w:r>
    </w:p>
    <w:p w14:paraId="00000255">
      <w:pPr>
        <w:pStyle w:val="ListParagraph"/>
        <w:ind w:left="-16" w:firstLine="736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«Линейные коммуникации для кустовой площадки № 2059У </w:t>
      </w:r>
    </w:p>
    <w:p w14:paraId="00000256">
      <w:pPr>
        <w:pStyle w:val="ListParagraph"/>
        <w:ind w:left="-16" w:firstLine="736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Приобского месторождения»</w:t>
      </w:r>
    </w:p>
    <w:p w14:paraId="00000257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</w:p>
    <w:p w14:paraId="00000258">
      <w:pPr>
        <w:pStyle w:val="ListParagraph"/>
        <w:ind w:left="-16" w:firstLine="736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Проект межевания</w:t>
      </w:r>
    </w:p>
    <w:p w14:paraId="00000259">
      <w:pPr>
        <w:pStyle w:val="ListParagraph"/>
        <w:ind w:left="-16" w:firstLine="736"/>
        <w:jc w:val="center"/>
        <w:rPr>
          <w:rFonts w:ascii="Times New Roman" w:cs="Times New Roman" w:hAnsi="Times New Roman"/>
          <w:sz w:val="28"/>
          <w:szCs w:val="28"/>
        </w:rPr>
      </w:pPr>
    </w:p>
    <w:p w14:paraId="0000025A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соответствии с частью 2 статьи 43 Градостроительного кодекса Российской Федерации подготовка проекта межевания территории осуществляется для:</w:t>
      </w:r>
    </w:p>
    <w:p w14:paraId="0000025B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-  определения местоположения границ образуемых и изменяемых земельных участков;</w:t>
      </w:r>
    </w:p>
    <w:p w14:paraId="0000025C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-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 </w:t>
      </w:r>
    </w:p>
    <w:p w14:paraId="0000025D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</w:p>
    <w:p w14:paraId="0000025E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2.1 Перечень и сведения о площади образуемых земельных участков, в том числе возможные способы их образования </w:t>
      </w:r>
    </w:p>
    <w:p w14:paraId="0000025F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</w:p>
    <w:p w14:paraId="00000260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Общая площадь образуемых земельных участков, необходимых для строительства и размещения проектируемого объекта, составляет 18,9066 га.</w:t>
      </w:r>
    </w:p>
    <w:p w14:paraId="00000261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Образуемые земельные участки должны обеспечить:</w:t>
      </w:r>
    </w:p>
    <w:p w14:paraId="00000262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</w:t>
      </w:r>
      <w:r>
        <w:rPr>
          <w:rFonts w:ascii="Times New Roman" w:cs="Times New Roman" w:hAnsi="Times New Roman"/>
          <w:sz w:val="28"/>
          <w:szCs w:val="28"/>
        </w:rPr>
        <w:tab/>
        <w:t>возможность полноценной реализации права собственности на объект недвижимого имущества, для которого формируется земельный участок, включая возможность полноценного использования этого имущества в соответствии с тем назначением, и теми эксплуатационными качествами, которые присущи этому имуществу на момент межевания;</w:t>
      </w:r>
    </w:p>
    <w:p w14:paraId="00000263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</w:t>
      </w:r>
      <w:r>
        <w:rPr>
          <w:rFonts w:ascii="Times New Roman" w:cs="Times New Roman" w:hAnsi="Times New Roman"/>
          <w:sz w:val="28"/>
          <w:szCs w:val="28"/>
        </w:rPr>
        <w:tab/>
        <w:t xml:space="preserve">возможность долгосрочного использования земельного участка, предполагающая, в том числе, возможность многовариантного </w:t>
      </w:r>
      <w:r>
        <w:rPr>
          <w:rFonts w:ascii="Times New Roman" w:cs="Times New Roman" w:hAnsi="Times New Roman"/>
          <w:sz w:val="28"/>
          <w:szCs w:val="28"/>
        </w:rPr>
        <w:t>пространственного развития недвижимости в соответствии с правилами землепользования и застройки, градостроительными нормативами;</w:t>
      </w:r>
    </w:p>
    <w:p w14:paraId="00000264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•</w:t>
      </w:r>
      <w:r>
        <w:rPr>
          <w:rFonts w:ascii="Times New Roman" w:cs="Times New Roman" w:hAnsi="Times New Roman"/>
          <w:sz w:val="28"/>
          <w:szCs w:val="28"/>
        </w:rPr>
        <w:tab/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территории.</w:t>
      </w:r>
    </w:p>
    <w:p w14:paraId="00000265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Образуемые земельные участки под строительство и эксплуатацию объекта: «Линейные</w:t>
      </w:r>
    </w:p>
    <w:p w14:paraId="00000266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коммуникации для кустовой площадки № 2059У Приобского месторождения», сформированы на территории Ханты-Мансийского района и относятся к категории земель     </w:t>
      </w:r>
    </w:p>
    <w:p w14:paraId="00000267">
      <w:pPr>
        <w:pStyle w:val="ListParagraph"/>
        <w:ind w:left="-16"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-    </w:t>
      </w:r>
      <w:r>
        <w:fldChar w:fldCharType="begin"/>
      </w:r>
      <w:r>
        <w:instrText xml:space="preserve">HYPERLINK "http://www.consultant.ru/document/cons_doc_LAW_330851/533ee5fc98aee7416dbf5b5c15265ff54e020592/" \l "dst100705" </w:instrText>
      </w:r>
      <w:r>
        <w:fldChar w:fldCharType="separate"/>
      </w:r>
      <w:r>
        <w:rPr>
          <w:rFonts w:ascii="Times New Roman" w:cs="Times New Roman" w:hAnsi="Times New Roman"/>
          <w:sz w:val="28"/>
          <w:szCs w:val="28"/>
        </w:rPr>
        <w:t>земел</w:t>
      </w:r>
      <w:r>
        <w:fldChar w:fldCharType="end"/>
      </w:r>
      <w:r>
        <w:rPr>
          <w:rFonts w:ascii="Times New Roman" w:cs="Times New Roman" w:hAnsi="Times New Roman"/>
          <w:sz w:val="28"/>
          <w:szCs w:val="28"/>
        </w:rPr>
        <w:t>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14:paraId="00000268">
      <w:pPr>
        <w:pStyle w:val="ListParagraph"/>
        <w:ind w:left="-16" w:firstLine="736"/>
        <w:jc w:val="both"/>
        <w:rPr>
          <w:color w:val="000000"/>
          <w:sz w:val="24"/>
          <w:szCs w:val="24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-      земель сельскохозяйственного назначения;</w:t>
      </w:r>
    </w:p>
    <w:p w14:paraId="00000269">
      <w:pPr>
        <w:pStyle w:val="ListContinue2"/>
        <w:tabs>
          <w:tab w:val="center" w:pos="4535"/>
          <w:tab w:val="right" w:pos="9071"/>
        </w:tabs>
        <w:spacing w:after="0" w:line="360" w:lineRule="auto"/>
        <w:ind w:left="0"/>
        <w:jc w:val="right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Таблица 1 </w:t>
      </w:r>
    </w:p>
    <w:p w14:paraId="0000026A">
      <w:pPr>
        <w:pStyle w:val="ListContinue2"/>
        <w:spacing w:after="0" w:line="360" w:lineRule="auto"/>
        <w:ind w:left="0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Способ образования земельных участков:</w:t>
      </w:r>
    </w:p>
    <w:tbl>
      <w:tblPr>
        <w:tblW w:w="88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2672"/>
        <w:gridCol w:w="1411"/>
        <w:gridCol w:w="4784"/>
      </w:tblGrid>
      <w:tr>
        <w:trPr>
          <w:trHeight w:val="1164"/>
          <w:tblHeader w:val="on"/>
          <w:jc w:val="center"/>
        </w:trPr>
        <w:tc>
          <w:tcPr>
            <w:cnfStyle w:val="101000000000"/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6B">
            <w:pPr>
              <w:pStyle w:val="Default"/>
              <w:jc w:val="center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 xml:space="preserve">Кадастровый номер земельного участка </w:t>
            </w:r>
          </w:p>
        </w:tc>
        <w:tc>
          <w:tcPr>
            <w:cnfStyle w:val="100000000000"/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6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cnfStyle w:val="100000000000"/>
            <w:tcW w:w="4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6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Способ образования</w:t>
            </w:r>
          </w:p>
        </w:tc>
      </w:tr>
      <w:tr>
        <w:trPr>
          <w:trHeight w:val="407"/>
          <w:tblHeader w:val="on"/>
          <w:jc w:val="center"/>
        </w:trPr>
        <w:tc>
          <w:tcPr>
            <w:cnfStyle w:val="001000100000"/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6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86:02:0808002:ЗУ1</w:t>
            </w:r>
          </w:p>
        </w:tc>
        <w:tc>
          <w:tcPr>
            <w:cnfStyle w:val="000000100000"/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6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0,0218</w:t>
            </w:r>
          </w:p>
        </w:tc>
        <w:tc>
          <w:tcPr>
            <w:cnfStyle w:val="000000100000"/>
            <w:tcW w:w="4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70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 в кадастровом квартале 86:02:0808002</w:t>
            </w:r>
          </w:p>
        </w:tc>
      </w:tr>
      <w:tr>
        <w:trPr>
          <w:trHeight w:val="407"/>
          <w:tblHeader w:val="on"/>
          <w:jc w:val="center"/>
        </w:trPr>
        <w:tc>
          <w:tcPr>
            <w:cnfStyle w:val="001000010000"/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86:02:0808002:390:ЗУ1</w:t>
            </w:r>
          </w:p>
        </w:tc>
        <w:tc>
          <w:tcPr>
            <w:cnfStyle w:val="000000010000"/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2,3781</w:t>
            </w:r>
          </w:p>
        </w:tc>
        <w:tc>
          <w:tcPr>
            <w:cnfStyle w:val="000000010000"/>
            <w:tcW w:w="4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73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 xml:space="preserve">раздел земельного участка с кадастровым номером 86:02:0808002:390 с сохранением исходного земельного участка в измененных границах </w:t>
            </w:r>
          </w:p>
          <w:p w14:paraId="00000274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</w:p>
        </w:tc>
      </w:tr>
      <w:tr>
        <w:trPr>
          <w:trHeight w:val="407"/>
          <w:tblHeader w:val="on"/>
          <w:jc w:val="center"/>
        </w:trPr>
        <w:tc>
          <w:tcPr>
            <w:cnfStyle w:val="001000100000"/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86:02:0808002:390:ЗУ2</w:t>
            </w:r>
          </w:p>
        </w:tc>
        <w:tc>
          <w:tcPr>
            <w:cnfStyle w:val="000000100000"/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10,5618</w:t>
            </w:r>
          </w:p>
        </w:tc>
        <w:tc>
          <w:tcPr>
            <w:cnfStyle w:val="000000100000"/>
            <w:tcW w:w="4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77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 xml:space="preserve">раздел земельного участка с кадастровым номером 86:02:0808002:390 с сохранением исходного земельного участка в измененных границах </w:t>
            </w:r>
          </w:p>
          <w:p w14:paraId="00000278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</w:p>
        </w:tc>
      </w:tr>
      <w:tr>
        <w:trPr>
          <w:trHeight w:val="407"/>
          <w:tblHeader w:val="on"/>
          <w:jc w:val="center"/>
        </w:trPr>
        <w:tc>
          <w:tcPr>
            <w:cnfStyle w:val="001000010000"/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86:02:0808002:390:ЗУ3</w:t>
            </w:r>
          </w:p>
        </w:tc>
        <w:tc>
          <w:tcPr>
            <w:cnfStyle w:val="000000010000"/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1,5510</w:t>
            </w:r>
          </w:p>
        </w:tc>
        <w:tc>
          <w:tcPr>
            <w:cnfStyle w:val="000000010000"/>
            <w:tcW w:w="4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7B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 xml:space="preserve">раздел земельного участка с кадастровым номером 86:02:0808002:390 с сохранением исходного земельного участка в измененных границах </w:t>
            </w:r>
          </w:p>
          <w:p w14:paraId="0000027C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</w:p>
        </w:tc>
      </w:tr>
      <w:tr>
        <w:trPr>
          <w:trHeight w:val="407"/>
          <w:tblHeader w:val="on"/>
          <w:jc w:val="center"/>
        </w:trPr>
        <w:tc>
          <w:tcPr>
            <w:cnfStyle w:val="001000100000"/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86:02:0808002:390:ЗУ4</w:t>
            </w:r>
          </w:p>
        </w:tc>
        <w:tc>
          <w:tcPr>
            <w:cnfStyle w:val="000000100000"/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7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4,3580</w:t>
            </w:r>
          </w:p>
        </w:tc>
        <w:tc>
          <w:tcPr>
            <w:cnfStyle w:val="000000100000"/>
            <w:tcW w:w="4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7F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 xml:space="preserve">раздел земельного участка с кадастровым номером 86:02:0808002:390 с сохранением исходного земельного участка в измененных границах </w:t>
            </w:r>
          </w:p>
          <w:p w14:paraId="00000280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</w:p>
        </w:tc>
      </w:tr>
      <w:tr>
        <w:trPr>
          <w:trHeight w:val="407"/>
          <w:tblHeader w:val="on"/>
          <w:jc w:val="center"/>
        </w:trPr>
        <w:tc>
          <w:tcPr>
            <w:cnfStyle w:val="001000010000"/>
            <w:tcW w:w="2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8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86:02:0808002:1597:ЗУ1</w:t>
            </w:r>
          </w:p>
        </w:tc>
        <w:tc>
          <w:tcPr>
            <w:cnfStyle w:val="000000010000"/>
            <w:tcW w:w="14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0028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0,0359</w:t>
            </w:r>
          </w:p>
        </w:tc>
        <w:tc>
          <w:tcPr>
            <w:cnfStyle w:val="000000010000"/>
            <w:tcW w:w="4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83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 xml:space="preserve">раздел земельного участка с кадастровым номером 86:02:0808002:1597 с сохранением исходного земельного участка в измененных границах </w:t>
            </w:r>
          </w:p>
          <w:p w14:paraId="00000284">
            <w:pPr>
              <w:pStyle w:val="Default"/>
              <w:jc w:val="both"/>
              <w:rPr>
                <w:rFonts w:ascii="Times New Roman" w:cs="Times New Roman" w:hAnsi="Times New Roman"/>
                <w:lang w:eastAsia="en-US"/>
              </w:rPr>
            </w:pPr>
          </w:p>
        </w:tc>
      </w:tr>
    </w:tbl>
    <w:p w14:paraId="00000285">
      <w:pPr>
        <w:pStyle w:val="ListContinue2"/>
        <w:spacing w:after="0"/>
        <w:ind w:left="0"/>
        <w:jc w:val="right"/>
        <w:rPr>
          <w:color w:val="000000"/>
        </w:rPr>
      </w:pPr>
    </w:p>
    <w:p w14:paraId="00000286">
      <w:pPr>
        <w:pStyle w:val="ListContinue2"/>
        <w:spacing w:after="0"/>
        <w:ind w:left="0"/>
        <w:jc w:val="right"/>
        <w:rPr>
          <w:color w:val="000000"/>
        </w:rPr>
      </w:pPr>
    </w:p>
    <w:p w14:paraId="00000287">
      <w:pPr>
        <w:pStyle w:val="Default"/>
        <w:jc w:val="right"/>
        <w:rPr>
          <w:rFonts w:ascii="Times New Roman" w:cs="Times New Roman" w:hAnsi="Times New Roman"/>
          <w:sz w:val="28"/>
          <w:szCs w:val="28"/>
          <w:lang w:eastAsia="en-US"/>
        </w:rPr>
      </w:pPr>
    </w:p>
    <w:p w14:paraId="00000288">
      <w:pPr>
        <w:pStyle w:val="Default"/>
        <w:jc w:val="right"/>
        <w:rPr>
          <w:rFonts w:ascii="Times New Roman" w:cs="Times New Roman" w:hAnsi="Times New Roman"/>
          <w:sz w:val="28"/>
          <w:szCs w:val="28"/>
          <w:lang w:eastAsia="en-US"/>
        </w:rPr>
      </w:pPr>
    </w:p>
    <w:p w14:paraId="00000289">
      <w:pPr>
        <w:pStyle w:val="Default"/>
        <w:jc w:val="right"/>
        <w:rPr>
          <w:rFonts w:ascii="Times New Roman" w:cs="Times New Roman" w:hAnsi="Times New Roman"/>
          <w:sz w:val="28"/>
          <w:szCs w:val="28"/>
          <w:lang w:eastAsia="en-US"/>
        </w:rPr>
      </w:pPr>
    </w:p>
    <w:p w14:paraId="0000028A">
      <w:pPr>
        <w:pStyle w:val="Default"/>
        <w:jc w:val="right"/>
        <w:rPr>
          <w:rFonts w:ascii="Times New Roman" w:cs="Times New Roman" w:hAnsi="Times New Roman"/>
          <w:sz w:val="28"/>
          <w:szCs w:val="28"/>
          <w:lang w:eastAsia="en-US"/>
        </w:rPr>
      </w:pPr>
    </w:p>
    <w:p w14:paraId="0000028B">
      <w:pPr>
        <w:pStyle w:val="Default"/>
        <w:jc w:val="right"/>
        <w:rPr>
          <w:rFonts w:ascii="Times New Roman" w:cs="Times New Roman" w:hAnsi="Times New Roman"/>
          <w:sz w:val="28"/>
          <w:szCs w:val="28"/>
          <w:lang w:eastAsia="en-US"/>
        </w:rPr>
      </w:pPr>
    </w:p>
    <w:p w14:paraId="0000028C">
      <w:pPr>
        <w:pStyle w:val="Default"/>
        <w:jc w:val="right"/>
        <w:rPr>
          <w:rFonts w:ascii="Times New Roman" w:cs="Times New Roman" w:hAnsi="Times New Roman"/>
          <w:sz w:val="28"/>
          <w:szCs w:val="28"/>
          <w:lang w:eastAsia="en-US"/>
        </w:rPr>
      </w:pPr>
      <w:r>
        <w:rPr>
          <w:rFonts w:ascii="Times New Roman" w:cs="Times New Roman" w:hAnsi="Times New Roman"/>
          <w:sz w:val="28"/>
          <w:szCs w:val="28"/>
          <w:lang w:eastAsia="en-US"/>
        </w:rPr>
        <w:t>Таблица 2</w:t>
      </w:r>
    </w:p>
    <w:p w14:paraId="0000028D">
      <w:pPr>
        <w:pStyle w:val="Default"/>
        <w:jc w:val="center"/>
        <w:rPr>
          <w:rFonts w:ascii="Times New Roman" w:cs="Times New Roman" w:hAnsi="Times New Roman"/>
          <w:sz w:val="28"/>
          <w:szCs w:val="28"/>
          <w:lang w:eastAsia="en-US"/>
        </w:rPr>
      </w:pPr>
      <w:r>
        <w:rPr>
          <w:rFonts w:ascii="Times New Roman" w:cs="Times New Roman" w:hAnsi="Times New Roman"/>
          <w:sz w:val="28"/>
          <w:szCs w:val="28"/>
          <w:lang w:eastAsia="en-US"/>
        </w:rPr>
        <w:t>Способ  об  изменяемых  земельных участках:</w:t>
      </w:r>
    </w:p>
    <w:tbl>
      <w:tblPr>
        <w:tblW w:w="10031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/>
      </w:tblPr>
      <w:tblGrid>
        <w:gridCol w:w="2584"/>
        <w:gridCol w:w="1635"/>
        <w:gridCol w:w="2977"/>
        <w:gridCol w:w="2835"/>
      </w:tblGrid>
      <w:tr>
        <w:trPr>
          <w:trHeight w:val="744"/>
          <w:tblHeader w:val="on"/>
        </w:trPr>
        <w:tc>
          <w:tcPr>
            <w:cnfStyle w:val="101000000000"/>
            <w:tcW w:w="2584" w:type="dxa"/>
            <w:shd w:val="clear" w:color="auto" w:fill="auto"/>
            <w:vAlign w:val="center"/>
          </w:tcPr>
          <w:p w14:paraId="0000028E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cnfStyle w:val="100000000000"/>
            <w:tcW w:w="1635" w:type="dxa"/>
            <w:shd w:val="clear" w:color="auto" w:fill="auto"/>
            <w:vAlign w:val="center"/>
          </w:tcPr>
          <w:p w14:paraId="0000028F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290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cnfStyle w:val="100000000000"/>
            <w:tcW w:w="2835" w:type="dxa"/>
            <w:shd w:val="clear" w:color="auto" w:fill="auto"/>
            <w:vAlign w:val="center"/>
          </w:tcPr>
          <w:p w14:paraId="00000291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Адрес изменяемых земельных участков</w:t>
            </w:r>
          </w:p>
        </w:tc>
      </w:tr>
      <w:tr>
        <w:trPr>
          <w:trHeight w:val="630"/>
        </w:trPr>
        <w:tc>
          <w:tcPr>
            <w:cnfStyle w:val="001000100000"/>
            <w:tcW w:w="2584" w:type="dxa"/>
            <w:shd w:val="clear" w:color="auto" w:fill="auto"/>
            <w:vAlign w:val="center"/>
          </w:tcPr>
          <w:p w14:paraId="0000029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</w:t>
            </w:r>
          </w:p>
        </w:tc>
        <w:tc>
          <w:tcPr>
            <w:cnfStyle w:val="000000100000"/>
            <w:tcW w:w="1635" w:type="dxa"/>
            <w:shd w:val="clear" w:color="auto" w:fill="auto"/>
            <w:vAlign w:val="center"/>
          </w:tcPr>
          <w:p w14:paraId="0000029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33 585 153</w:t>
            </w:r>
          </w:p>
        </w:tc>
        <w:tc>
          <w:tcPr>
            <w:cnfStyle w:val="000000100000"/>
            <w:tcW w:w="2977" w:type="dxa"/>
            <w:shd w:val="clear" w:color="auto" w:fill="auto"/>
            <w:vAlign w:val="center"/>
          </w:tcPr>
          <w:p w14:paraId="0000029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cnfStyle w:val="000000100000"/>
            <w:tcW w:w="2835" w:type="dxa"/>
            <w:shd w:val="clear" w:color="auto" w:fill="auto"/>
          </w:tcPr>
          <w:p w14:paraId="0000029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Ханты-Мансийский Автономный округ - Югра, Ханты-Мансийский р-н, в районе с.Селиярово</w:t>
            </w:r>
          </w:p>
        </w:tc>
      </w:tr>
      <w:tr>
        <w:trPr>
          <w:trHeight w:val="630"/>
        </w:trPr>
        <w:tc>
          <w:tcPr>
            <w:cnfStyle w:val="001000010000"/>
            <w:tcW w:w="2584" w:type="dxa"/>
            <w:shd w:val="clear" w:color="auto" w:fill="auto"/>
            <w:vAlign w:val="center"/>
          </w:tcPr>
          <w:p w14:paraId="0000029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86:02:0808002:1597</w:t>
            </w:r>
          </w:p>
        </w:tc>
        <w:tc>
          <w:tcPr>
            <w:cnfStyle w:val="000000010000"/>
            <w:tcW w:w="1635" w:type="dxa"/>
            <w:shd w:val="clear" w:color="auto" w:fill="auto"/>
            <w:vAlign w:val="center"/>
          </w:tcPr>
          <w:p w14:paraId="0000029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38 554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29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29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cnfStyle w:val="000000010000"/>
            <w:tcW w:w="2835" w:type="dxa"/>
            <w:shd w:val="clear" w:color="auto" w:fill="auto"/>
          </w:tcPr>
          <w:p w14:paraId="0000029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Ханты-Мансийский автономный округ - Югра, р-н Ханты-Мансийский, Приобское месторождение, правый берег</w:t>
            </w:r>
          </w:p>
        </w:tc>
      </w:tr>
    </w:tbl>
    <w:p w14:paraId="0000029B">
      <w:pPr>
        <w:pStyle w:val="Default"/>
        <w:rPr>
          <w:rFonts w:ascii="Times New Roman" w:cs="Times New Roman" w:hAnsi="Times New Roman"/>
          <w:lang w:eastAsia="en-US"/>
        </w:rPr>
      </w:pPr>
      <w:r>
        <w:rPr>
          <w:rFonts w:ascii="Times New Roman" w:cs="Times New Roman" w:hAnsi="Times New Roman"/>
          <w:lang w:eastAsia="en-US"/>
        </w:rPr>
        <w:t xml:space="preserve">*Земли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</w:t>
      </w:r>
    </w:p>
    <w:p w14:paraId="0000029C">
      <w:pPr>
        <w:pStyle w:val="ListContinue2"/>
        <w:spacing w:after="0"/>
        <w:ind w:left="0"/>
        <w:jc w:val="right"/>
        <w:rPr>
          <w:color w:val="000000"/>
        </w:rPr>
      </w:pPr>
    </w:p>
    <w:p w14:paraId="0000029D">
      <w:pPr>
        <w:pStyle w:val="ListContinue2"/>
        <w:spacing w:after="0"/>
        <w:ind w:left="0" w:firstLine="720"/>
        <w:jc w:val="right"/>
        <w:rPr>
          <w:color w:val="000000"/>
        </w:rPr>
      </w:pPr>
    </w:p>
    <w:p w14:paraId="0000029E">
      <w:pPr>
        <w:pStyle w:val="ListContinue2"/>
        <w:spacing w:after="0"/>
        <w:ind w:left="0" w:firstLine="720"/>
        <w:jc w:val="right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Таблица 3</w:t>
      </w:r>
    </w:p>
    <w:p w14:paraId="0000029F">
      <w:pPr>
        <w:pStyle w:val="ListContinue2"/>
        <w:spacing w:after="0"/>
        <w:ind w:left="0" w:firstLine="720"/>
        <w:jc w:val="right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2A0">
      <w:pPr>
        <w:pStyle w:val="ListContinue2"/>
        <w:spacing w:after="0"/>
        <w:ind w:left="0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Площади земельных участков, необходимые для</w:t>
      </w:r>
    </w:p>
    <w:p w14:paraId="000002A1">
      <w:pPr>
        <w:pStyle w:val="ListContinue2"/>
        <w:spacing w:after="0"/>
        <w:ind w:left="0"/>
        <w:jc w:val="center"/>
        <w:rPr>
          <w:color w:val="000000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строительства и эксплуатации проектируемого объекта</w:t>
      </w:r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485"/>
        <w:gridCol w:w="3728"/>
        <w:gridCol w:w="1797"/>
        <w:gridCol w:w="1774"/>
        <w:gridCol w:w="1275"/>
      </w:tblGrid>
      <w:tr>
        <w:trPr>
          <w:trHeight w:val="1164"/>
          <w:tblHeader w:val="on"/>
          <w:jc w:val="center"/>
        </w:trPr>
        <w:tc>
          <w:tcPr>
            <w:cnfStyle w:val="101000000000"/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cnfStyle w:val="100000000000"/>
            <w:tcW w:w="20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cnfStyle w:val="100000000000"/>
            <w:tcW w:w="9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Площадь вновь испрашиваемых земельных участков, га</w:t>
            </w:r>
          </w:p>
        </w:tc>
        <w:tc>
          <w:tcPr>
            <w:cnfStyle w:val="100000000000"/>
            <w:tcW w:w="9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Площадь по земельным участкам, арендованные ранее, га</w:t>
            </w:r>
          </w:p>
        </w:tc>
        <w:tc>
          <w:tcPr>
            <w:cnfStyle w:val="100000000000"/>
            <w:tcW w:w="7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Зона застройки, га</w:t>
            </w:r>
          </w:p>
        </w:tc>
      </w:tr>
      <w:tr>
        <w:trPr>
          <w:trHeight w:val="858"/>
          <w:tblHeader w:val="on"/>
          <w:jc w:val="center"/>
        </w:trPr>
        <w:tc>
          <w:tcPr>
            <w:cnfStyle w:val="001000100000"/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7">
            <w:pPr>
              <w:pStyle w:val="ListParagraph"/>
              <w:numPr>
                <w:ilvl w:val="0"/>
                <w:numId w:val="5"/>
              </w:numPr>
              <w:ind w:left="142" w:firstLine="0"/>
              <w:jc w:val="center"/>
              <w:rPr>
                <w:rFonts w:ascii="Times New Roman" w:cs="Times New Roman" w:hAnsi="Times New Roman"/>
                <w:color w:val="000000"/>
              </w:rPr>
            </w:pPr>
          </w:p>
        </w:tc>
        <w:tc>
          <w:tcPr>
            <w:cnfStyle w:val="000000100000"/>
            <w:tcW w:w="20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0002A8">
            <w:pPr>
              <w:jc w:val="both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«Линейные коммуникации для кустовой площадки  № 2059У Приобского месторождения»</w:t>
            </w:r>
          </w:p>
        </w:tc>
        <w:tc>
          <w:tcPr>
            <w:cnfStyle w:val="000000100000"/>
            <w:tcW w:w="9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18,9066</w:t>
            </w:r>
          </w:p>
        </w:tc>
        <w:tc>
          <w:tcPr>
            <w:cnfStyle w:val="000000100000"/>
            <w:tcW w:w="97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5,3496</w:t>
            </w:r>
          </w:p>
        </w:tc>
        <w:tc>
          <w:tcPr>
            <w:cnfStyle w:val="000000100000"/>
            <w:tcW w:w="7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2A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24,2562</w:t>
            </w:r>
          </w:p>
        </w:tc>
      </w:tr>
    </w:tbl>
    <w:p w14:paraId="000002AC">
      <w:pPr>
        <w:pStyle w:val="ListContinue2"/>
        <w:spacing w:after="0"/>
        <w:ind w:left="0"/>
        <w:jc w:val="right"/>
        <w:rPr>
          <w:color w:val="000000"/>
        </w:rPr>
      </w:pPr>
    </w:p>
    <w:p w14:paraId="000002AD">
      <w:pPr>
        <w:pStyle w:val="ListContinue2"/>
        <w:spacing w:after="0"/>
        <w:ind w:left="0"/>
        <w:jc w:val="right"/>
        <w:rPr>
          <w:color w:val="000000"/>
        </w:rPr>
      </w:pPr>
    </w:p>
    <w:p w14:paraId="000002AE">
      <w:pPr>
        <w:pStyle w:val="ListContinue2"/>
        <w:spacing w:after="0"/>
        <w:ind w:left="0"/>
        <w:jc w:val="right"/>
        <w:rPr>
          <w:color w:val="000000"/>
        </w:rPr>
      </w:pPr>
    </w:p>
    <w:p w14:paraId="000002AF">
      <w:pPr>
        <w:pStyle w:val="ListContinue2"/>
        <w:spacing w:after="0"/>
        <w:ind w:left="0"/>
        <w:jc w:val="right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2B0">
      <w:pPr>
        <w:pStyle w:val="ListContinue2"/>
        <w:spacing w:after="0"/>
        <w:ind w:left="0"/>
        <w:jc w:val="right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2B1">
      <w:pPr>
        <w:pStyle w:val="ListContinue2"/>
        <w:spacing w:after="0"/>
        <w:ind w:left="0"/>
        <w:jc w:val="right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2B2">
      <w:pPr>
        <w:pStyle w:val="ListContinue2"/>
        <w:spacing w:after="0"/>
        <w:ind w:left="0"/>
        <w:jc w:val="right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Таблица 4</w:t>
      </w:r>
    </w:p>
    <w:p w14:paraId="000002B3">
      <w:pPr>
        <w:pStyle w:val="ListContinue2"/>
        <w:spacing w:after="0"/>
        <w:ind w:left="0" w:firstLine="720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Площади испрашиваемых земельных участков </w:t>
      </w:r>
    </w:p>
    <w:p w14:paraId="000002B4">
      <w:pPr>
        <w:pStyle w:val="ListContinue2"/>
        <w:spacing w:after="0"/>
        <w:ind w:left="0" w:firstLine="720"/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под проектируемый объект</w:t>
      </w:r>
    </w:p>
    <w:p w14:paraId="000002B5">
      <w:pPr>
        <w:pStyle w:val="ListContinue2"/>
        <w:spacing w:after="0"/>
        <w:ind w:left="0" w:firstLine="720"/>
        <w:jc w:val="center"/>
        <w:rPr>
          <w:color w:val="000000"/>
        </w:rPr>
      </w:pPr>
    </w:p>
    <w:tbl>
      <w:tblPr>
        <w:tblW w:w="102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/>
      </w:tblPr>
      <w:tblGrid>
        <w:gridCol w:w="2943"/>
        <w:gridCol w:w="1985"/>
        <w:gridCol w:w="2263"/>
        <w:gridCol w:w="3079"/>
      </w:tblGrid>
      <w:tr>
        <w:trPr>
          <w:tblHeader w:val="on"/>
          <w:jc w:val="center"/>
        </w:trPr>
        <w:tc>
          <w:tcPr>
            <w:cnfStyle w:val="101000000000"/>
            <w:tcW w:w="2943" w:type="dxa"/>
            <w:shd w:val="clear" w:color="auto" w:fill="auto"/>
            <w:vAlign w:val="center"/>
          </w:tcPr>
          <w:p w14:paraId="000002B6">
            <w:pPr>
              <w:ind w:firstLine="1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№ земельного участка</w:t>
            </w:r>
          </w:p>
        </w:tc>
        <w:tc>
          <w:tcPr>
            <w:cnfStyle w:val="100000000000"/>
            <w:tcW w:w="1985" w:type="dxa"/>
            <w:shd w:val="clear" w:color="auto" w:fill="auto"/>
            <w:vAlign w:val="center"/>
          </w:tcPr>
          <w:p w14:paraId="000002B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Испрашиваемая площадь</w:t>
            </w:r>
          </w:p>
          <w:p w14:paraId="000002B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земельного участка, га</w:t>
            </w:r>
          </w:p>
        </w:tc>
        <w:tc>
          <w:tcPr>
            <w:cnfStyle w:val="100000000000"/>
            <w:tcW w:w="2263" w:type="dxa"/>
            <w:shd w:val="clear" w:color="auto" w:fill="auto"/>
            <w:vAlign w:val="center"/>
          </w:tcPr>
          <w:p w14:paraId="000002B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cnfStyle w:val="100000000000"/>
            <w:tcW w:w="3079" w:type="dxa"/>
            <w:vAlign w:val="center"/>
          </w:tcPr>
          <w:p w14:paraId="000002BA">
            <w:pPr>
              <w:pStyle w:val="Default"/>
              <w:jc w:val="center"/>
              <w:rPr>
                <w:rFonts w:ascii="Times New Roman" w:cs="Times New Roman" w:hAnsi="Times New Roman"/>
                <w:lang w:eastAsia="en-US"/>
              </w:rPr>
            </w:pPr>
            <w:r>
              <w:rPr>
                <w:rFonts w:ascii="Times New Roman" w:cs="Times New Roman" w:hAnsi="Times New Roman"/>
                <w:lang w:eastAsia="en-US"/>
              </w:rPr>
              <w:t>Адрес образуемых земельных участков</w:t>
            </w:r>
          </w:p>
        </w:tc>
      </w:tr>
      <w:tr>
        <w:trPr>
          <w:tblHeader w:val="on"/>
          <w:jc w:val="center"/>
        </w:trPr>
        <w:tc>
          <w:tcPr>
            <w:cnfStyle w:val="001000100000"/>
            <w:tcW w:w="2943" w:type="dxa"/>
            <w:shd w:val="clear" w:color="auto" w:fill="auto"/>
            <w:vAlign w:val="center"/>
          </w:tcPr>
          <w:p w14:paraId="000002B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86:02:0808002:ЗУ1</w:t>
            </w:r>
          </w:p>
        </w:tc>
        <w:tc>
          <w:tcPr>
            <w:cnfStyle w:val="000000100000"/>
            <w:tcW w:w="1985" w:type="dxa"/>
            <w:shd w:val="clear" w:color="auto" w:fill="auto"/>
            <w:vAlign w:val="center"/>
          </w:tcPr>
          <w:p w14:paraId="000002B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0,0218</w:t>
            </w:r>
          </w:p>
        </w:tc>
        <w:tc>
          <w:tcPr>
            <w:cnfStyle w:val="000000100000"/>
            <w:tcW w:w="2263" w:type="dxa"/>
            <w:shd w:val="clear" w:color="auto" w:fill="auto"/>
          </w:tcPr>
          <w:p w14:paraId="000002B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2B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cnfStyle w:val="000000100000"/>
            <w:tcW w:w="3079" w:type="dxa"/>
          </w:tcPr>
          <w:p w14:paraId="000002B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Российская Федерация, Ханты-Мансийский автономный округ - Югра, Ханты-Мансийский район, Приобское месторождение</w:t>
            </w:r>
          </w:p>
        </w:tc>
      </w:tr>
      <w:tr>
        <w:trPr>
          <w:tblHeader w:val="on"/>
          <w:jc w:val="center"/>
        </w:trPr>
        <w:tc>
          <w:tcPr>
            <w:cnfStyle w:val="001000010000"/>
            <w:tcW w:w="2943" w:type="dxa"/>
            <w:shd w:val="clear" w:color="auto" w:fill="auto"/>
            <w:vAlign w:val="center"/>
          </w:tcPr>
          <w:p w14:paraId="000002C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86:02:0808002:390:ЗУ1</w:t>
            </w:r>
          </w:p>
        </w:tc>
        <w:tc>
          <w:tcPr>
            <w:cnfStyle w:val="000000010000"/>
            <w:tcW w:w="1985" w:type="dxa"/>
            <w:shd w:val="clear" w:color="auto" w:fill="auto"/>
            <w:vAlign w:val="center"/>
          </w:tcPr>
          <w:p w14:paraId="000002C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2,3781</w:t>
            </w:r>
          </w:p>
        </w:tc>
        <w:tc>
          <w:tcPr>
            <w:cnfStyle w:val="000000010000"/>
            <w:tcW w:w="2263" w:type="dxa"/>
            <w:shd w:val="clear" w:color="auto" w:fill="auto"/>
          </w:tcPr>
          <w:p w14:paraId="000002C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cnfStyle w:val="000000010000"/>
            <w:tcW w:w="3079" w:type="dxa"/>
          </w:tcPr>
          <w:p w14:paraId="000002C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Российская Федерация, Ханты-Мансийский автономный округ - Югра, Ханты-Мансийский район, Приобское месторождение</w:t>
            </w:r>
          </w:p>
        </w:tc>
      </w:tr>
      <w:tr>
        <w:trPr>
          <w:tblHeader w:val="on"/>
          <w:jc w:val="center"/>
        </w:trPr>
        <w:tc>
          <w:tcPr>
            <w:cnfStyle w:val="001000100000"/>
            <w:tcW w:w="2943" w:type="dxa"/>
            <w:shd w:val="clear" w:color="auto" w:fill="auto"/>
            <w:vAlign w:val="center"/>
          </w:tcPr>
          <w:p w14:paraId="000002C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86:02:0808002:390:ЗУ2</w:t>
            </w:r>
          </w:p>
        </w:tc>
        <w:tc>
          <w:tcPr>
            <w:cnfStyle w:val="000000100000"/>
            <w:tcW w:w="1985" w:type="dxa"/>
            <w:shd w:val="clear" w:color="auto" w:fill="auto"/>
            <w:vAlign w:val="center"/>
          </w:tcPr>
          <w:p w14:paraId="000002C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10,5618</w:t>
            </w:r>
          </w:p>
        </w:tc>
        <w:tc>
          <w:tcPr>
            <w:cnfStyle w:val="000000100000"/>
            <w:tcW w:w="2263" w:type="dxa"/>
            <w:shd w:val="clear" w:color="auto" w:fill="auto"/>
          </w:tcPr>
          <w:p w14:paraId="000002C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cnfStyle w:val="000000100000"/>
            <w:tcW w:w="3079" w:type="dxa"/>
          </w:tcPr>
          <w:p w14:paraId="000002C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Российская Федерация, Ханты-Мансийский автономный округ - Югра, Ханты-Мансийский район, Приобское месторождение</w:t>
            </w:r>
          </w:p>
        </w:tc>
      </w:tr>
      <w:tr>
        <w:trPr>
          <w:tblHeader w:val="on"/>
          <w:jc w:val="center"/>
        </w:trPr>
        <w:tc>
          <w:tcPr>
            <w:cnfStyle w:val="001000010000"/>
            <w:tcW w:w="2943" w:type="dxa"/>
            <w:shd w:val="clear" w:color="auto" w:fill="auto"/>
            <w:vAlign w:val="center"/>
          </w:tcPr>
          <w:p w14:paraId="000002C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86:02:0808002:390:ЗУ3</w:t>
            </w:r>
          </w:p>
        </w:tc>
        <w:tc>
          <w:tcPr>
            <w:cnfStyle w:val="000000010000"/>
            <w:tcW w:w="1985" w:type="dxa"/>
            <w:shd w:val="clear" w:color="auto" w:fill="auto"/>
            <w:vAlign w:val="center"/>
          </w:tcPr>
          <w:p w14:paraId="000002C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1,5510</w:t>
            </w:r>
          </w:p>
        </w:tc>
        <w:tc>
          <w:tcPr>
            <w:cnfStyle w:val="000000010000"/>
            <w:tcW w:w="2263" w:type="dxa"/>
            <w:shd w:val="clear" w:color="auto" w:fill="auto"/>
          </w:tcPr>
          <w:p w14:paraId="000002C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cnfStyle w:val="000000010000"/>
            <w:tcW w:w="3079" w:type="dxa"/>
          </w:tcPr>
          <w:p w14:paraId="000002C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Российская Федерация, Ханты-Мансийский автономный округ - Югра, Ханты-Мансийский район, Приобское месторождение</w:t>
            </w:r>
          </w:p>
        </w:tc>
      </w:tr>
      <w:tr>
        <w:trPr>
          <w:tblHeader w:val="on"/>
          <w:jc w:val="center"/>
        </w:trPr>
        <w:tc>
          <w:tcPr>
            <w:cnfStyle w:val="001000100000"/>
            <w:tcW w:w="2943" w:type="dxa"/>
            <w:shd w:val="clear" w:color="auto" w:fill="auto"/>
            <w:vAlign w:val="center"/>
          </w:tcPr>
          <w:p w14:paraId="000002C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86:02:0808002:390:ЗУ4</w:t>
            </w:r>
          </w:p>
        </w:tc>
        <w:tc>
          <w:tcPr>
            <w:cnfStyle w:val="000000100000"/>
            <w:tcW w:w="1985" w:type="dxa"/>
            <w:shd w:val="clear" w:color="auto" w:fill="auto"/>
            <w:vAlign w:val="center"/>
          </w:tcPr>
          <w:p w14:paraId="000002C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4,3580</w:t>
            </w:r>
          </w:p>
        </w:tc>
        <w:tc>
          <w:tcPr>
            <w:cnfStyle w:val="000000100000"/>
            <w:tcW w:w="2263" w:type="dxa"/>
            <w:shd w:val="clear" w:color="auto" w:fill="auto"/>
          </w:tcPr>
          <w:p w14:paraId="000002C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cnfStyle w:val="000000100000"/>
            <w:tcW w:w="3079" w:type="dxa"/>
          </w:tcPr>
          <w:p w14:paraId="000002C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Российская Федерация, Ханты-Мансийский автономный округ - Югра, Ханты-Мансийский район, Приобское месторождение</w:t>
            </w:r>
          </w:p>
        </w:tc>
      </w:tr>
      <w:tr>
        <w:trPr>
          <w:tblHeader w:val="on"/>
          <w:jc w:val="center"/>
        </w:trPr>
        <w:tc>
          <w:tcPr>
            <w:cnfStyle w:val="001000010000"/>
            <w:tcW w:w="2943" w:type="dxa"/>
            <w:shd w:val="clear" w:color="auto" w:fill="auto"/>
            <w:vAlign w:val="center"/>
          </w:tcPr>
          <w:p w14:paraId="000002D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86:02:0808002:1597:ЗУ1</w:t>
            </w:r>
          </w:p>
        </w:tc>
        <w:tc>
          <w:tcPr>
            <w:cnfStyle w:val="000000010000"/>
            <w:tcW w:w="1985" w:type="dxa"/>
            <w:shd w:val="clear" w:color="auto" w:fill="auto"/>
            <w:vAlign w:val="center"/>
          </w:tcPr>
          <w:p w14:paraId="000002D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0,0359</w:t>
            </w:r>
          </w:p>
        </w:tc>
        <w:tc>
          <w:tcPr>
            <w:cnfStyle w:val="000000010000"/>
            <w:tcW w:w="2263" w:type="dxa"/>
            <w:shd w:val="clear" w:color="auto" w:fill="auto"/>
          </w:tcPr>
          <w:p w14:paraId="000002D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cnfStyle w:val="000000010000"/>
            <w:tcW w:w="3079" w:type="dxa"/>
          </w:tcPr>
          <w:p w14:paraId="000002D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Российская Федерация, Ханты-Мансийский автономный округ - Югра, Ханты-Мансийский район, Приобское месторождение</w:t>
            </w:r>
          </w:p>
        </w:tc>
      </w:tr>
    </w:tbl>
    <w:p w14:paraId="000002D4">
      <w:pPr>
        <w:jc w:val="both"/>
        <w:rPr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 xml:space="preserve">*Земли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</w:t>
      </w:r>
    </w:p>
    <w:p w14:paraId="000002D5">
      <w:pPr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5.2.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14:paraId="000002D6">
      <w:p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Изъятие земельных участков для государственных и муниципальных нужд для размещения проектируемого объекта не требуется.</w:t>
      </w:r>
    </w:p>
    <w:p w14:paraId="000002D7">
      <w:pPr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5.3. Вид разрешенного использования образуемых земельных участков в соответствии с проектом планировки территории</w:t>
      </w:r>
    </w:p>
    <w:p w14:paraId="000002D8">
      <w:pPr>
        <w:jc w:val="both"/>
        <w:rPr>
          <w:rFonts w:ascii="Times New Roman" w:cs="Times New Roman" w:hAnsi="Times New Roman"/>
          <w:sz w:val="28"/>
          <w:szCs w:val="28"/>
        </w:rPr>
      </w:pPr>
    </w:p>
    <w:p w14:paraId="000002D9">
      <w:pPr>
        <w:jc w:val="right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Таблица 5</w:t>
      </w:r>
    </w:p>
    <w:p w14:paraId="000002DA">
      <w:pPr>
        <w:jc w:val="center"/>
        <w:rPr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Вид разрешенного использования образуемых земельных участков</w:t>
      </w:r>
    </w:p>
    <w:tbl>
      <w:tblPr>
        <w:tblW w:w="9541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/>
      </w:tblPr>
      <w:tblGrid>
        <w:gridCol w:w="2802"/>
        <w:gridCol w:w="1417"/>
        <w:gridCol w:w="2977"/>
        <w:gridCol w:w="2345"/>
      </w:tblGrid>
      <w:tr>
        <w:trPr>
          <w:trHeight w:val="744"/>
          <w:tblHeader w:val="on"/>
        </w:trPr>
        <w:tc>
          <w:tcPr>
            <w:cnfStyle w:val="101000000000"/>
            <w:tcW w:w="2802" w:type="dxa"/>
            <w:shd w:val="clear" w:color="auto" w:fill="auto"/>
            <w:vAlign w:val="center"/>
          </w:tcPr>
          <w:p w14:paraId="000002DB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cnfStyle w:val="100000000000"/>
            <w:tcW w:w="1417" w:type="dxa"/>
            <w:shd w:val="clear" w:color="auto" w:fill="auto"/>
            <w:vAlign w:val="center"/>
          </w:tcPr>
          <w:p w14:paraId="000002DC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2DD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cnfStyle w:val="100000000000"/>
            <w:tcW w:w="2345" w:type="dxa"/>
            <w:shd w:val="clear" w:color="auto" w:fill="auto"/>
            <w:vAlign w:val="center"/>
          </w:tcPr>
          <w:p w14:paraId="000002DE">
            <w:pPr>
              <w:ind w:firstLine="28"/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Вид разрешенного использования</w:t>
            </w:r>
          </w:p>
        </w:tc>
      </w:tr>
      <w:tr>
        <w:trPr>
          <w:trHeight w:val="630"/>
        </w:trPr>
        <w:tc>
          <w:tcPr>
            <w:cnfStyle w:val="001000100000"/>
            <w:tcW w:w="2802" w:type="dxa"/>
            <w:shd w:val="clear" w:color="auto" w:fill="auto"/>
            <w:vAlign w:val="center"/>
          </w:tcPr>
          <w:p w14:paraId="000002D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86:02:0808002:ЗУ1</w:t>
            </w:r>
          </w:p>
        </w:tc>
        <w:tc>
          <w:tcPr>
            <w:cnfStyle w:val="000000100000"/>
            <w:tcW w:w="1417" w:type="dxa"/>
            <w:shd w:val="clear" w:color="auto" w:fill="auto"/>
            <w:vAlign w:val="center"/>
          </w:tcPr>
          <w:p w14:paraId="000002E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0,0218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2E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2E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cnfStyle w:val="000000100000"/>
            <w:tcW w:w="2345" w:type="dxa"/>
            <w:shd w:val="clear" w:color="auto" w:fill="auto"/>
          </w:tcPr>
          <w:p w14:paraId="000002E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2E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недропользование</w:t>
            </w:r>
          </w:p>
        </w:tc>
      </w:tr>
      <w:tr>
        <w:trPr>
          <w:trHeight w:val="630"/>
        </w:trPr>
        <w:tc>
          <w:tcPr>
            <w:cnfStyle w:val="001000010000"/>
            <w:tcW w:w="2802" w:type="dxa"/>
            <w:shd w:val="clear" w:color="auto" w:fill="auto"/>
            <w:vAlign w:val="center"/>
          </w:tcPr>
          <w:p w14:paraId="000002E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86:02:0808002:390:ЗУ1</w:t>
            </w:r>
          </w:p>
        </w:tc>
        <w:tc>
          <w:tcPr>
            <w:cnfStyle w:val="000000010000"/>
            <w:tcW w:w="1417" w:type="dxa"/>
            <w:shd w:val="clear" w:color="auto" w:fill="auto"/>
            <w:vAlign w:val="center"/>
          </w:tcPr>
          <w:p w14:paraId="000002E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2,3781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2E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назначения**</w:t>
            </w:r>
          </w:p>
        </w:tc>
        <w:tc>
          <w:tcPr>
            <w:cnfStyle w:val="000000010000"/>
            <w:tcW w:w="2345" w:type="dxa"/>
            <w:shd w:val="clear" w:color="auto" w:fill="auto"/>
          </w:tcPr>
          <w:p w14:paraId="000002E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недропользование</w:t>
            </w:r>
          </w:p>
        </w:tc>
      </w:tr>
      <w:tr>
        <w:trPr>
          <w:trHeight w:val="630"/>
        </w:trPr>
        <w:tc>
          <w:tcPr>
            <w:cnfStyle w:val="001000100000"/>
            <w:tcW w:w="2802" w:type="dxa"/>
            <w:shd w:val="clear" w:color="auto" w:fill="auto"/>
            <w:vAlign w:val="center"/>
          </w:tcPr>
          <w:p w14:paraId="000002E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86:02:0808002:390:ЗУ2</w:t>
            </w:r>
          </w:p>
        </w:tc>
        <w:tc>
          <w:tcPr>
            <w:cnfStyle w:val="000000100000"/>
            <w:tcW w:w="1417" w:type="dxa"/>
            <w:shd w:val="clear" w:color="auto" w:fill="auto"/>
            <w:vAlign w:val="center"/>
          </w:tcPr>
          <w:p w14:paraId="000002E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10,5618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2E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назначения**</w:t>
            </w:r>
          </w:p>
        </w:tc>
        <w:tc>
          <w:tcPr>
            <w:cnfStyle w:val="000000100000"/>
            <w:tcW w:w="2345" w:type="dxa"/>
            <w:shd w:val="clear" w:color="auto" w:fill="auto"/>
          </w:tcPr>
          <w:p w14:paraId="000002E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недропользование</w:t>
            </w:r>
          </w:p>
        </w:tc>
      </w:tr>
      <w:tr>
        <w:trPr>
          <w:trHeight w:val="630"/>
        </w:trPr>
        <w:tc>
          <w:tcPr>
            <w:cnfStyle w:val="001000010000"/>
            <w:tcW w:w="2802" w:type="dxa"/>
            <w:shd w:val="clear" w:color="auto" w:fill="auto"/>
            <w:vAlign w:val="center"/>
          </w:tcPr>
          <w:p w14:paraId="000002E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86:02:0808002:390:ЗУ3</w:t>
            </w:r>
          </w:p>
        </w:tc>
        <w:tc>
          <w:tcPr>
            <w:cnfStyle w:val="000000010000"/>
            <w:tcW w:w="1417" w:type="dxa"/>
            <w:shd w:val="clear" w:color="auto" w:fill="auto"/>
            <w:vAlign w:val="center"/>
          </w:tcPr>
          <w:p w14:paraId="000002E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1,5510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2E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назначения**</w:t>
            </w:r>
          </w:p>
        </w:tc>
        <w:tc>
          <w:tcPr>
            <w:cnfStyle w:val="000000010000"/>
            <w:tcW w:w="2345" w:type="dxa"/>
            <w:shd w:val="clear" w:color="auto" w:fill="auto"/>
          </w:tcPr>
          <w:p w14:paraId="000002F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недропользование</w:t>
            </w:r>
          </w:p>
        </w:tc>
      </w:tr>
      <w:tr>
        <w:trPr>
          <w:trHeight w:val="630"/>
        </w:trPr>
        <w:tc>
          <w:tcPr>
            <w:cnfStyle w:val="001000100000"/>
            <w:tcW w:w="2802" w:type="dxa"/>
            <w:shd w:val="clear" w:color="auto" w:fill="auto"/>
            <w:vAlign w:val="center"/>
          </w:tcPr>
          <w:p w14:paraId="000002F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86:02:0808002:390:ЗУ4</w:t>
            </w:r>
          </w:p>
        </w:tc>
        <w:tc>
          <w:tcPr>
            <w:cnfStyle w:val="000000100000"/>
            <w:tcW w:w="1417" w:type="dxa"/>
            <w:shd w:val="clear" w:color="auto" w:fill="auto"/>
            <w:vAlign w:val="center"/>
          </w:tcPr>
          <w:p w14:paraId="000002F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4,3580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2F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сельскохозяйственного назначения**</w:t>
            </w:r>
          </w:p>
        </w:tc>
        <w:tc>
          <w:tcPr>
            <w:cnfStyle w:val="000000100000"/>
            <w:tcW w:w="2345" w:type="dxa"/>
            <w:shd w:val="clear" w:color="auto" w:fill="auto"/>
          </w:tcPr>
          <w:p w14:paraId="000002F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недропользование</w:t>
            </w:r>
          </w:p>
        </w:tc>
      </w:tr>
      <w:tr>
        <w:trPr>
          <w:trHeight w:val="630"/>
        </w:trPr>
        <w:tc>
          <w:tcPr>
            <w:cnfStyle w:val="001000010000"/>
            <w:tcW w:w="2802" w:type="dxa"/>
            <w:shd w:val="clear" w:color="auto" w:fill="auto"/>
            <w:vAlign w:val="center"/>
          </w:tcPr>
          <w:p w14:paraId="000002F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86:02:0808002:1597:ЗУ1</w:t>
            </w:r>
          </w:p>
        </w:tc>
        <w:tc>
          <w:tcPr>
            <w:cnfStyle w:val="000000010000"/>
            <w:tcW w:w="1417" w:type="dxa"/>
            <w:shd w:val="clear" w:color="auto" w:fill="auto"/>
            <w:vAlign w:val="center"/>
          </w:tcPr>
          <w:p w14:paraId="000002F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0,0359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2F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Земли промышленности*</w:t>
            </w:r>
          </w:p>
        </w:tc>
        <w:tc>
          <w:tcPr>
            <w:cnfStyle w:val="000000010000"/>
            <w:tcW w:w="2345" w:type="dxa"/>
            <w:shd w:val="clear" w:color="auto" w:fill="auto"/>
          </w:tcPr>
          <w:p w14:paraId="000002F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недропользование</w:t>
            </w:r>
          </w:p>
        </w:tc>
      </w:tr>
    </w:tbl>
    <w:p w14:paraId="000002F9">
      <w:pPr>
        <w:rPr>
          <w:color w:val="000000"/>
          <w:sz w:val="24"/>
          <w:szCs w:val="24"/>
        </w:rPr>
      </w:pPr>
    </w:p>
    <w:p w14:paraId="000002FA">
      <w:pPr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*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</w:t>
      </w:r>
    </w:p>
    <w:p w14:paraId="000002FB">
      <w:pPr>
        <w:pStyle w:val="Default"/>
        <w:jc w:val="both"/>
        <w:rPr>
          <w:rFonts w:ascii="Times New Roman" w:cs="Times New Roman" w:hAnsi="Times New Roman"/>
          <w:lang w:eastAsia="en-US"/>
        </w:rPr>
      </w:pPr>
      <w:r>
        <w:rPr>
          <w:rFonts w:ascii="Times New Roman" w:cs="Times New Roman" w:hAnsi="Times New Roman"/>
          <w:lang w:eastAsia="en-US"/>
        </w:rPr>
        <w:br w:type="textWrapping"/>
      </w:r>
      <w:r>
        <w:rPr>
          <w:rFonts w:ascii="Times New Roman" w:cs="Times New Roman" w:hAnsi="Times New Roman"/>
          <w:lang w:eastAsia="en-US"/>
        </w:rPr>
        <w:t xml:space="preserve">**Вид разрешенного использования для образуемых участков на землях запаса выбран </w:t>
      </w:r>
      <w:r>
        <w:rPr>
          <w:rFonts w:ascii="Times New Roman" w:cs="Times New Roman" w:hAnsi="Times New Roman"/>
          <w:lang w:eastAsia="en-US"/>
        </w:rPr>
        <w:t xml:space="preserve">«недропользование» (код 6.1), так как данный участок образуется под размещение объектов недропользования ПАО «НК «Роснефть», осуществляющей деятельность на основании лицензии на право пользования недрами ХМН 16317 НР от 09.02.2017 г. </w:t>
      </w:r>
    </w:p>
    <w:p w14:paraId="000002FC">
      <w:pPr>
        <w:pStyle w:val="Default"/>
        <w:ind w:firstLine="736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eastAsia="en-US"/>
        </w:rPr>
        <w:t>В последующем, для предоставления участка без проведения торгов, согласно ст. 39.6 Земельного кодекса РФ: «земельные участки, необходимые для проведения работ, связанных с пользованием недрами недропользователю», будет произведена процедура перевода земель в «Земли промышленности, энергетики, транспорта, связи, радиовещания телевидения, информатики, земли для обеспечения космической деятельности, земли обороны, безопасности и земли иного специального назначения», что соответствует указанному виду разрешенного использования.</w:t>
      </w:r>
    </w:p>
    <w:p w14:paraId="000002FD">
      <w:pPr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5.4.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14:paraId="000002FE">
      <w:pPr>
        <w:jc w:val="both"/>
        <w:rPr>
          <w:rFonts w:ascii="Times New Roman" w:cs="Times New Roman" w:hAnsi="Times New Roman"/>
          <w:sz w:val="28"/>
          <w:szCs w:val="28"/>
        </w:rPr>
      </w:pPr>
    </w:p>
    <w:p w14:paraId="000002FF">
      <w:pPr>
        <w:shd w:val="clear" w:color="auto" w:fill="ffffff"/>
        <w:spacing w:line="360" w:lineRule="auto"/>
        <w:ind w:firstLine="709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Образуемые участки на землях лесного фонда отсутствуют.</w:t>
      </w:r>
    </w:p>
    <w:p w14:paraId="00000300">
      <w:pPr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301">
      <w:pPr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5.5.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00000302">
      <w:pPr>
        <w:jc w:val="both"/>
        <w:rPr>
          <w:rFonts w:ascii="Times New Roman" w:cs="Times New Roman" w:hAnsi="Times New Roman"/>
          <w:b/>
          <w:sz w:val="28"/>
          <w:szCs w:val="28"/>
        </w:rPr>
      </w:pPr>
    </w:p>
    <w:p w14:paraId="00000303">
      <w:pPr>
        <w:shd w:val="clear" w:color="auto" w:fill="ffffff"/>
        <w:spacing w:line="360" w:lineRule="auto"/>
        <w:ind w:firstLine="709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Подготовка проекта межевания территории осуществляется в целях образования земельных участков из категории земель:</w:t>
      </w:r>
    </w:p>
    <w:p w14:paraId="00000304">
      <w:pPr>
        <w:spacing w:line="360" w:lineRule="auto"/>
        <w:ind w:firstLine="709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-  </w:t>
      </w:r>
      <w:r>
        <w:fldChar w:fldCharType="begin"/>
      </w:r>
      <w:r>
        <w:instrText xml:space="preserve">HYPERLINK "http://www.consultant.ru/document/cons_doc_LAW_330851/533ee5fc98aee7416dbf5b5c15265ff54e020592/" \l "dst100705" </w:instrText>
      </w:r>
      <w:r>
        <w:fldChar w:fldCharType="separate"/>
      </w:r>
      <w:r>
        <w:rPr>
          <w:rFonts w:ascii="Times New Roman" w:cs="Times New Roman" w:hAnsi="Times New Roman"/>
          <w:color w:val="000000"/>
          <w:sz w:val="28"/>
          <w:szCs w:val="28"/>
        </w:rPr>
        <w:t>земель</w:t>
      </w:r>
      <w:r>
        <w:fldChar w:fldCharType="end"/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14:paraId="00000305">
      <w:pPr>
        <w:spacing w:line="360" w:lineRule="auto"/>
        <w:ind w:firstLine="709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- земель сельскохозяйственного назначения.</w:t>
      </w:r>
    </w:p>
    <w:p w14:paraId="00000306">
      <w:pPr>
        <w:spacing w:line="360" w:lineRule="auto"/>
        <w:ind w:firstLine="454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  Координаты границ образуемых земельных участков, необходимых для размещения проектируемого объекта, в графических материалах </w:t>
      </w:r>
      <w:r>
        <w:rPr>
          <w:rFonts w:ascii="Times New Roman" w:cs="Times New Roman" w:hAnsi="Times New Roman"/>
          <w:color w:val="000000"/>
          <w:sz w:val="28"/>
          <w:szCs w:val="28"/>
        </w:rPr>
        <w:t>определены в местной системе координат Ханты-Мансийского автономного округа  Югры МСК-86.</w:t>
      </w:r>
    </w:p>
    <w:p w14:paraId="00000307">
      <w:pPr>
        <w:shd w:val="clear" w:color="auto" w:fill="ffffff"/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 w14:paraId="00000308">
      <w:pPr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Перечень координат  характерных точек образуемого</w:t>
      </w:r>
    </w:p>
    <w:p w14:paraId="00000309">
      <w:pPr>
        <w:jc w:val="center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земельного участка 86:02:0808002: ЗУ1</w:t>
      </w:r>
    </w:p>
    <w:p w14:paraId="0000030A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1631"/>
        <w:gridCol w:w="2551"/>
        <w:gridCol w:w="2977"/>
      </w:tblGrid>
      <w:tr>
        <w:trPr>
          <w:tblHeader w:val="on"/>
          <w:jc w:val="center"/>
        </w:trPr>
        <w:tc>
          <w:tcPr>
            <w:cnfStyle w:val="101000000000"/>
            <w:tcW w:w="1631" w:type="dxa"/>
            <w:shd w:val="clear" w:color="auto" w:fill="auto"/>
            <w:vAlign w:val="center"/>
          </w:tcPr>
          <w:p w14:paraId="0000030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30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cnfStyle w:val="100000000000"/>
            <w:tcW w:w="2551" w:type="dxa"/>
            <w:shd w:val="clear" w:color="auto" w:fill="auto"/>
            <w:vAlign w:val="center"/>
          </w:tcPr>
          <w:p w14:paraId="0000030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30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Y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0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1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995611.22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1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2731962.67</w:t>
            </w:r>
          </w:p>
        </w:tc>
      </w:tr>
      <w:tr>
        <w:trPr>
          <w:trHeight w:val="355"/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1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1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995673.02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1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2731925.82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1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1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995674.36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1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2731932.09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1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1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995611.22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1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2731962.67</w:t>
            </w:r>
          </w:p>
        </w:tc>
      </w:tr>
    </w:tbl>
    <w:p w14:paraId="0000031B">
      <w:pPr>
        <w:shd w:val="clear" w:color="auto" w:fill="ffffff"/>
        <w:jc w:val="center"/>
        <w:rPr>
          <w:color w:val="000000"/>
          <w:sz w:val="24"/>
          <w:szCs w:val="24"/>
        </w:rPr>
      </w:pPr>
    </w:p>
    <w:p w14:paraId="0000031C">
      <w:pPr>
        <w:shd w:val="clear" w:color="auto" w:fill="ffffff"/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Перечень координат  характерных точек образуемого</w:t>
      </w:r>
    </w:p>
    <w:p w14:paraId="0000031D">
      <w:pPr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земельного участка 86:02:0808002: 390:ЗУ1</w:t>
      </w:r>
    </w:p>
    <w:p w14:paraId="0000031E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1631"/>
        <w:gridCol w:w="2551"/>
        <w:gridCol w:w="2977"/>
      </w:tblGrid>
      <w:tr>
        <w:trPr>
          <w:tblHeader w:val="on"/>
          <w:jc w:val="center"/>
        </w:trPr>
        <w:tc>
          <w:tcPr>
            <w:cnfStyle w:val="101000000000"/>
            <w:tcW w:w="1631" w:type="dxa"/>
            <w:shd w:val="clear" w:color="auto" w:fill="auto"/>
            <w:vAlign w:val="center"/>
          </w:tcPr>
          <w:p w14:paraId="0000031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32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cnfStyle w:val="100000000000"/>
            <w:tcW w:w="2551" w:type="dxa"/>
            <w:shd w:val="clear" w:color="auto" w:fill="auto"/>
            <w:vAlign w:val="center"/>
          </w:tcPr>
          <w:p w14:paraId="0000032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32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Y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2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2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995745.85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2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2731194.86</w:t>
            </w:r>
          </w:p>
        </w:tc>
      </w:tr>
      <w:tr>
        <w:trPr>
          <w:trHeight w:val="355"/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2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2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995746.14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2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2731163.28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2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2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995748.49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2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2731073.95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2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2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995765.25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2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2731036.09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2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3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995793.31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3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2731013.23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3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3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995833.65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3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2731002.26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3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3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995874.87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3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2730998.33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3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3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995948.85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3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2730991.28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3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3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996043.31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3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2730983.38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3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3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996072.24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4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2730980.96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4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4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996106.02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4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2730978.13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4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4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996221.41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4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2731081.20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4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4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996237.28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4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2731064.51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4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4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996098.97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4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2730941.47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4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4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996050.58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4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2730947.10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5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5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996035.72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5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2730948.47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5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5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995985.11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5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2730953.13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5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5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995897.66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5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2730960.79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5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5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995848.04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5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2730960.53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5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5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995837.85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5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2730960.47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5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6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995772.89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6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2730978.42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6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6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995727.74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6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2731020.87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6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6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995711.43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6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2731073.44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6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6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995710.96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6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2731157.05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6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6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995707.68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6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2731182.09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6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6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995707.23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7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2731194.42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7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7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995745.85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7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2731194.86</w:t>
            </w:r>
          </w:p>
        </w:tc>
      </w:tr>
    </w:tbl>
    <w:p w14:paraId="00000374">
      <w:pPr>
        <w:jc w:val="center"/>
        <w:rPr>
          <w:color w:val="000000"/>
          <w:sz w:val="24"/>
          <w:szCs w:val="24"/>
        </w:rPr>
      </w:pPr>
    </w:p>
    <w:p w14:paraId="00000375">
      <w:pPr>
        <w:jc w:val="center"/>
        <w:rPr>
          <w:color w:val="000000"/>
          <w:sz w:val="24"/>
          <w:szCs w:val="24"/>
        </w:rPr>
      </w:pPr>
    </w:p>
    <w:p w14:paraId="00000376">
      <w:pPr>
        <w:shd w:val="clear" w:color="auto" w:fill="ffffff"/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Перечень координат  характерных точек образуемого</w:t>
      </w:r>
    </w:p>
    <w:p w14:paraId="00000377">
      <w:pPr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земельного участка 86:02:0808002:390:ЗУ2</w:t>
      </w:r>
    </w:p>
    <w:p w14:paraId="00000378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1631"/>
        <w:gridCol w:w="2551"/>
        <w:gridCol w:w="2977"/>
      </w:tblGrid>
      <w:tr>
        <w:trPr>
          <w:tblHeader w:val="on"/>
          <w:jc w:val="center"/>
        </w:trPr>
        <w:tc>
          <w:tcPr>
            <w:cnfStyle w:val="101000000000"/>
            <w:tcW w:w="1631" w:type="dxa"/>
            <w:shd w:val="clear" w:color="auto" w:fill="auto"/>
            <w:vAlign w:val="center"/>
          </w:tcPr>
          <w:p w14:paraId="0000037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37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cnfStyle w:val="100000000000"/>
            <w:tcW w:w="2551" w:type="dxa"/>
            <w:shd w:val="clear" w:color="auto" w:fill="auto"/>
            <w:vAlign w:val="center"/>
          </w:tcPr>
          <w:p w14:paraId="0000037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37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Y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7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7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996223.94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7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2730700.65</w:t>
            </w:r>
          </w:p>
        </w:tc>
      </w:tr>
      <w:tr>
        <w:trPr>
          <w:trHeight w:val="355"/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8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8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996524.00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8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2730967.59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8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8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996349.20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8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2731164.08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8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8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996237.28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8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2731064.51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8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8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996098.97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8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2730941.47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8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8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996081.53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8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2730925.96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8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9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996049.15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9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2730897.14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9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9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996095.66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9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2730844.86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9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9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996223.94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9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2730700.65</w:t>
            </w:r>
          </w:p>
        </w:tc>
      </w:tr>
    </w:tbl>
    <w:p w14:paraId="00000398">
      <w:pPr>
        <w:jc w:val="center"/>
        <w:rPr>
          <w:color w:val="000000"/>
          <w:sz w:val="24"/>
          <w:szCs w:val="24"/>
        </w:rPr>
      </w:pPr>
    </w:p>
    <w:p w14:paraId="00000399">
      <w:pPr>
        <w:shd w:val="clear" w:color="auto" w:fill="ffffff"/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Перечень координат  характерных точек образуемого</w:t>
      </w:r>
    </w:p>
    <w:p w14:paraId="0000039A">
      <w:pPr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земельного участка 86:02:0808002: 390:ЗУ3</w:t>
      </w:r>
    </w:p>
    <w:p w14:paraId="0000039B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1631"/>
        <w:gridCol w:w="2551"/>
        <w:gridCol w:w="2977"/>
      </w:tblGrid>
      <w:tr>
        <w:trPr>
          <w:tblHeader w:val="on"/>
          <w:jc w:val="center"/>
        </w:trPr>
        <w:tc>
          <w:tcPr>
            <w:cnfStyle w:val="101000000000"/>
            <w:tcW w:w="1631" w:type="dxa"/>
            <w:shd w:val="clear" w:color="auto" w:fill="auto"/>
            <w:vAlign w:val="center"/>
          </w:tcPr>
          <w:p w14:paraId="0000039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39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cnfStyle w:val="100000000000"/>
            <w:tcW w:w="2551" w:type="dxa"/>
            <w:shd w:val="clear" w:color="auto" w:fill="auto"/>
            <w:vAlign w:val="center"/>
          </w:tcPr>
          <w:p w14:paraId="0000039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39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Y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A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A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995897.66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A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2730960.79</w:t>
            </w:r>
          </w:p>
        </w:tc>
      </w:tr>
      <w:tr>
        <w:trPr>
          <w:trHeight w:val="355"/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A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A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995985.11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A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2730953.13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A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A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996035.72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A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2730948.47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A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A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996050.58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A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2730947.10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A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A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996098.97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A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2730941.47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A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B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996081.53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B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2730925.96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B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B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996015.64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B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2730930.61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B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B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996000.99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B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2730931.64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B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B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995846.73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B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2730942.53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B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B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995848.04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B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2730960.53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B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B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995772.19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C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2731195.16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C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C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995772.88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C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2731099.05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C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C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995774.86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C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2731088.80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C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C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995786.59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C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2731075.24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C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C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995879.96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C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2731068.46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C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C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995876.56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C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2731021.57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D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D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995874.87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D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2730998.33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D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D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995833.65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D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2731002.26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D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D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995793.31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D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2731013.23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D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D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995765.25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D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2731036.09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D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D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995748.49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D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2731073.95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D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E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995746.14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E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2731163.28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E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E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995745.85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E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2731194.86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E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E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995897.66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E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2730960.79</w:t>
            </w:r>
          </w:p>
        </w:tc>
      </w:tr>
    </w:tbl>
    <w:p w14:paraId="000003E8">
      <w:pPr>
        <w:shd w:val="clear" w:color="auto" w:fill="ffffff"/>
        <w:jc w:val="center"/>
        <w:rPr>
          <w:color w:val="000000"/>
          <w:sz w:val="24"/>
          <w:szCs w:val="24"/>
        </w:rPr>
      </w:pPr>
    </w:p>
    <w:p w14:paraId="000003E9">
      <w:pPr>
        <w:shd w:val="clear" w:color="auto" w:fill="ffffff"/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Перечень координат  характерных точек образуемого</w:t>
      </w:r>
    </w:p>
    <w:p w14:paraId="000003EA">
      <w:pPr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земельного участка 86:02:0808002: 390:ЗУ4</w:t>
      </w:r>
    </w:p>
    <w:p w14:paraId="000003EB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1631"/>
        <w:gridCol w:w="2551"/>
        <w:gridCol w:w="2977"/>
      </w:tblGrid>
      <w:tr>
        <w:trPr>
          <w:tblHeader w:val="on"/>
          <w:jc w:val="center"/>
        </w:trPr>
        <w:tc>
          <w:tcPr>
            <w:cnfStyle w:val="101000000000"/>
            <w:tcW w:w="1631" w:type="dxa"/>
            <w:shd w:val="clear" w:color="auto" w:fill="auto"/>
            <w:vAlign w:val="center"/>
          </w:tcPr>
          <w:p w14:paraId="000003E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3E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cnfStyle w:val="100000000000"/>
            <w:tcW w:w="2551" w:type="dxa"/>
            <w:shd w:val="clear" w:color="auto" w:fill="auto"/>
            <w:vAlign w:val="center"/>
          </w:tcPr>
          <w:p w14:paraId="000003E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3E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Y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F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F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996000.99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F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2730931.64</w:t>
            </w:r>
          </w:p>
        </w:tc>
      </w:tr>
      <w:tr>
        <w:trPr>
          <w:trHeight w:val="355"/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F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F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996015.64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F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2730930.61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F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F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996081.53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F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2730925.96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F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3F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996049.15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3F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2730897.14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3F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3F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996095.66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3F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2730844.86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3F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0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996071.75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0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2730826.14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0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0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996009.70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0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2730890.42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0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0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996010.95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0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2730917.68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0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0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996002.23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0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2730918.67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0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0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996000.51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0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2730918.87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0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0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995827.19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1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2731766.01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1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1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995829.02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1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2731748.07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1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1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995802.93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1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2731508.90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1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1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995804.25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1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2731284.19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1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1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995891.78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1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2731247.18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1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1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995929.51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1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2731016.96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2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2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995930.55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2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2731010.62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2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2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996004.53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2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2731004.08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2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2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996005.22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2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2731010.36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2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2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996005.79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2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2731015.59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2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2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996034.86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2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2731012.91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2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3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996035.02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3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2731007.31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3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3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996045.42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3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2731004.98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3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3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996043.31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3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2730983.38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3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3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995948.85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3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2730991.28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3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3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995874.87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3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2730998.33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3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3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995876.56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4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2731021.57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4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4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995879.96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4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2731068.46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4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4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995786.59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4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2731075.24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4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4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995774.86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4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2731088.80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4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4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995772.88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4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2731099.05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4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4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995772.19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4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2731195.16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5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5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995792.16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5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2731195.39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5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5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995787.21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5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2731611.79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5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5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995801.42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5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2731629.36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5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5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995801.53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5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2731763.52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5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5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996000.99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5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2730931.64</w:t>
            </w:r>
          </w:p>
        </w:tc>
      </w:tr>
    </w:tbl>
    <w:p w14:paraId="0000045F">
      <w:pPr>
        <w:shd w:val="clear" w:color="auto" w:fill="ffffff"/>
        <w:jc w:val="center"/>
        <w:rPr>
          <w:color w:val="000000"/>
          <w:sz w:val="24"/>
          <w:szCs w:val="24"/>
        </w:rPr>
      </w:pPr>
    </w:p>
    <w:p w14:paraId="00000460">
      <w:pPr>
        <w:shd w:val="clear" w:color="auto" w:fill="ffffff"/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Перечень координат  характерных точек образуемого</w:t>
      </w:r>
    </w:p>
    <w:p w14:paraId="00000461">
      <w:pPr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земельного участка 86:02:0808002: 1597:ЗУ1</w:t>
      </w:r>
    </w:p>
    <w:p w14:paraId="00000462">
      <w:pPr>
        <w:shd w:val="clear" w:color="auto" w:fill="ffffff"/>
        <w:jc w:val="center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/>
      </w:tblPr>
      <w:tblGrid>
        <w:gridCol w:w="1631"/>
        <w:gridCol w:w="2551"/>
        <w:gridCol w:w="2977"/>
      </w:tblGrid>
      <w:tr>
        <w:trPr>
          <w:tblHeader w:val="on"/>
          <w:jc w:val="center"/>
        </w:trPr>
        <w:tc>
          <w:tcPr>
            <w:cnfStyle w:val="101000000000"/>
            <w:tcW w:w="1631" w:type="dxa"/>
            <w:shd w:val="clear" w:color="auto" w:fill="auto"/>
            <w:vAlign w:val="center"/>
          </w:tcPr>
          <w:p w14:paraId="0000046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</w:p>
          <w:p w14:paraId="0000046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Номер</w:t>
            </w:r>
          </w:p>
        </w:tc>
        <w:tc>
          <w:tcPr>
            <w:cnfStyle w:val="100000000000"/>
            <w:tcW w:w="2551" w:type="dxa"/>
            <w:shd w:val="clear" w:color="auto" w:fill="auto"/>
            <w:vAlign w:val="center"/>
          </w:tcPr>
          <w:p w14:paraId="0000046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cnfStyle w:val="100000000000"/>
            <w:tcW w:w="2977" w:type="dxa"/>
            <w:shd w:val="clear" w:color="auto" w:fill="auto"/>
            <w:vAlign w:val="center"/>
          </w:tcPr>
          <w:p w14:paraId="0000046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Y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6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6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996027.61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6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2732012.31</w:t>
            </w:r>
          </w:p>
        </w:tc>
      </w:tr>
      <w:tr>
        <w:trPr>
          <w:trHeight w:val="355"/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6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6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996045.45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6C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2732048.53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6D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6E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996032.94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6F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2732048.02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70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71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996028.74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72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2732050.16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73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74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996031.34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75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2732038.40</w:t>
            </w:r>
          </w:p>
        </w:tc>
      </w:tr>
      <w:tr>
        <w:trPr>
          <w:jc w:val="center"/>
        </w:trPr>
        <w:tc>
          <w:tcPr>
            <w:cnfStyle w:val="001000010000"/>
            <w:tcW w:w="1631" w:type="dxa"/>
            <w:shd w:val="clear" w:color="auto" w:fill="auto"/>
          </w:tcPr>
          <w:p w14:paraId="00000476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cnfStyle w:val="000000010000"/>
            <w:tcW w:w="2551" w:type="dxa"/>
            <w:shd w:val="clear" w:color="auto" w:fill="auto"/>
          </w:tcPr>
          <w:p w14:paraId="00000477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996019.57</w:t>
            </w:r>
          </w:p>
        </w:tc>
        <w:tc>
          <w:tcPr>
            <w:cnfStyle w:val="000000010000"/>
            <w:tcW w:w="2977" w:type="dxa"/>
            <w:shd w:val="clear" w:color="auto" w:fill="auto"/>
          </w:tcPr>
          <w:p w14:paraId="00000478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2732016.33</w:t>
            </w:r>
          </w:p>
        </w:tc>
      </w:tr>
      <w:tr>
        <w:trPr>
          <w:jc w:val="center"/>
        </w:trPr>
        <w:tc>
          <w:tcPr>
            <w:cnfStyle w:val="001000100000"/>
            <w:tcW w:w="1631" w:type="dxa"/>
            <w:shd w:val="clear" w:color="auto" w:fill="auto"/>
          </w:tcPr>
          <w:p w14:paraId="00000479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00100000"/>
            <w:tcW w:w="2551" w:type="dxa"/>
            <w:shd w:val="clear" w:color="auto" w:fill="auto"/>
          </w:tcPr>
          <w:p w14:paraId="0000047A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996027.61</w:t>
            </w:r>
          </w:p>
        </w:tc>
        <w:tc>
          <w:tcPr>
            <w:cnfStyle w:val="000000100000"/>
            <w:tcW w:w="2977" w:type="dxa"/>
            <w:shd w:val="clear" w:color="auto" w:fill="auto"/>
          </w:tcPr>
          <w:p w14:paraId="0000047B">
            <w:pPr>
              <w:jc w:val="center"/>
              <w:rPr>
                <w:rFonts w:ascii="Times New Roman" w:cs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color w:val="000000"/>
                <w:sz w:val="24"/>
                <w:szCs w:val="24"/>
              </w:rPr>
              <w:t>2732012.31</w:t>
            </w:r>
          </w:p>
        </w:tc>
      </w:tr>
    </w:tbl>
    <w:p w14:paraId="0000047C">
      <w:pPr>
        <w:jc w:val="center"/>
        <w:rPr>
          <w:color w:val="000000"/>
          <w:sz w:val="24"/>
          <w:szCs w:val="24"/>
        </w:rPr>
      </w:pPr>
    </w:p>
    <w:p w14:paraId="0000047D">
      <w:pPr>
        <w:shd w:val="clear" w:color="auto" w:fill="ffffff"/>
        <w:jc w:val="center"/>
        <w:rPr>
          <w:color w:val="000000"/>
          <w:sz w:val="24"/>
          <w:szCs w:val="24"/>
        </w:rPr>
      </w:pPr>
    </w:p>
    <w:p w14:paraId="0000047E">
      <w:pPr>
        <w:shd w:val="clear" w:color="auto" w:fill="ffffff"/>
        <w:jc w:val="center"/>
        <w:rPr>
          <w:color w:val="000000"/>
          <w:sz w:val="24"/>
          <w:szCs w:val="24"/>
        </w:rPr>
      </w:pPr>
    </w:p>
    <w:p w14:paraId="0000047F">
      <w:pPr>
        <w:tabs>
          <w:tab w:val="left" w:pos="7069"/>
        </w:tabs>
        <w:jc w:val="center"/>
        <w:rPr>
          <w:rFonts w:ascii="Times New Roman" w:cs="Times New Roman" w:hAnsi="Times New Roman"/>
          <w:sz w:val="28"/>
          <w:szCs w:val="28"/>
        </w:rPr>
      </w:pPr>
    </w:p>
    <w:sectPr>
      <w:pgSz w:w="11906" w:h="16838"/>
      <w:pgMar w:top="1418" w:right="1247" w:bottom="1134" w:left="1588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 w:tentative="0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multiLevelType w:val="hybridMultilevel"/>
    <w:lvl w:ilvl="0" w:tentative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multilevel"/>
    <w:lvl w:ilvl="0" w:tentative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entative="0">
      <w:start w:val="1"/>
      <w:numFmt w:val="decimal"/>
      <w:isLgl w:val="on"/>
      <w:lvlText w:val="%1.%2"/>
      <w:lvlJc w:val="left"/>
      <w:pPr>
        <w:ind w:left="1455" w:hanging="375"/>
      </w:pPr>
      <w:rPr>
        <w:rFonts w:hint="default"/>
      </w:rPr>
    </w:lvl>
    <w:lvl w:ilvl="2" w:tentative="0">
      <w:start w:val="1"/>
      <w:numFmt w:val="decimal"/>
      <w:isLgl w:val="on"/>
      <w:lvlText w:val="%1.%2.%3"/>
      <w:lvlJc w:val="left"/>
      <w:pPr>
        <w:ind w:left="1800" w:hanging="720"/>
      </w:pPr>
      <w:rPr>
        <w:rFonts w:hint="default"/>
      </w:rPr>
    </w:lvl>
    <w:lvl w:ilvl="3" w:tentative="0">
      <w:start w:val="1"/>
      <w:numFmt w:val="decimal"/>
      <w:isLgl w:val="on"/>
      <w:lvlText w:val="%1.%2.%3.%4"/>
      <w:lvlJc w:val="left"/>
      <w:pPr>
        <w:ind w:left="2160" w:hanging="1080"/>
      </w:pPr>
      <w:rPr>
        <w:rFonts w:hint="default"/>
      </w:rPr>
    </w:lvl>
    <w:lvl w:ilvl="4" w:tentative="0">
      <w:start w:val="1"/>
      <w:numFmt w:val="decimal"/>
      <w:isLgl w:val="on"/>
      <w:lvlText w:val="%1.%2.%3.%4.%5"/>
      <w:lvlJc w:val="left"/>
      <w:pPr>
        <w:ind w:left="216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"/>
      <w:lvlJc w:val="left"/>
      <w:pPr>
        <w:ind w:left="2520" w:hanging="1440"/>
      </w:pPr>
      <w:rPr>
        <w:rFonts w:hint="default"/>
      </w:rPr>
    </w:lvl>
    <w:lvl w:ilvl="6" w:tentative="0">
      <w:start w:val="1"/>
      <w:numFmt w:val="decimal"/>
      <w:isLgl w:val="on"/>
      <w:lvlText w:val="%1.%2.%3.%4.%5.%6.%7"/>
      <w:lvlJc w:val="left"/>
      <w:pPr>
        <w:ind w:left="252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"/>
      <w:lvlJc w:val="left"/>
      <w:pPr>
        <w:ind w:left="2880" w:hanging="1800"/>
      </w:pPr>
      <w:rPr>
        <w:rFonts w:hint="default"/>
      </w:rPr>
    </w:lvl>
    <w:lvl w:ilvl="8" w:tentative="0">
      <w:start w:val="1"/>
      <w:numFmt w:val="decimal"/>
      <w:isLgl w:val="on"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4">
    <w:multiLevelType w:val="multilevel"/>
    <w:lvl w:ilvl="0" w:tentative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6A"/>
    <w:rsid w:val="00023FB2"/>
    <w:rsid w:val="00081E6B"/>
    <w:rsid w:val="000839A2"/>
    <w:rsid w:val="00090D26"/>
    <w:rsid w:val="00130CB0"/>
    <w:rsid w:val="001C40B6"/>
    <w:rsid w:val="002B6997"/>
    <w:rsid w:val="0039351B"/>
    <w:rsid w:val="00405F3D"/>
    <w:rsid w:val="0044490E"/>
    <w:rsid w:val="005367E9"/>
    <w:rsid w:val="0055546A"/>
    <w:rsid w:val="0056118C"/>
    <w:rsid w:val="006104F2"/>
    <w:rsid w:val="00700742"/>
    <w:rsid w:val="00722BC4"/>
    <w:rsid w:val="008F76A3"/>
    <w:rsid w:val="009709F5"/>
    <w:rsid w:val="009B2A4D"/>
    <w:rsid w:val="009E524C"/>
    <w:rsid w:val="009E77A8"/>
    <w:rsid w:val="00A350B7"/>
    <w:rsid w:val="00C61941"/>
    <w:rsid w:val="00D53054"/>
    <w:rsid w:val="00E15076"/>
    <w:rsid w:val="00E775EE"/>
    <w:rsid w:val="00F9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46615-0738-4781-B6D4-ECDA2CADF30E}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default="1" w:styleId="Normal">
    <w:name w:val="Normal"/>
    <w:uiPriority w:val="99"/>
    <w:qFormat w:val="on"/>
  </w:style>
  <w:style w:type="paragraph" w:styleId="Heading1">
    <w:name w:val="Heading 1"/>
    <w:link w:val="Заголовок1Знак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Заголовок1Знак">
    <w:name w:val="Заголовок 1 Знак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НазваниеЗнак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НазваниеЗнак">
    <w:name w:val="Название Знак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Текст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ВерхнийколонтитулЗнак"/>
    <w:uiPriority w:val="99"/>
    <w:unhideWhenUsed w:val="on"/>
    <w:pPr>
      <w:spacing w:after="0" w:line="240" w:lineRule="auto"/>
    </w:pPr>
  </w:style>
  <w:style w:type="character" w:customStyle="1" w:styleId="ВерхнийколонтитулЗнак">
    <w:name w:val="Верхний колонтитул Знак"/>
    <w:link w:val="Header"/>
    <w:uiPriority w:val="99"/>
  </w:style>
  <w:style w:type="paragraph" w:styleId="Footer">
    <w:name w:val="Footer"/>
    <w:link w:val="НижнийколонтитулЗнак"/>
    <w:uiPriority w:val="99"/>
    <w:unhideWhenUsed w:val="on"/>
    <w:pPr>
      <w:spacing w:after="0" w:line="240" w:lineRule="auto"/>
    </w:pPr>
  </w:style>
  <w:style w:type="character" w:customStyle="1" w:styleId="НижнийколонтитулЗнак">
    <w:name w:val="Нижний колонтитул Знак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ListContinue2">
    <w:name w:val="List Continue 2"/>
    <w:basedOn w:val="Normal"/>
    <w:uiPriority w:val="99"/>
    <w:unhideWhenUsed w:val="on"/>
    <w:pPr>
      <w:spacing w:after="120"/>
      <w:ind w:left="566"/>
    </w:pPr>
    <w:rPr>
      <w:sz w:val="24"/>
      <w:szCs w:val="24"/>
    </w:rPr>
  </w:style>
  <w:style w:type="paragraph" w:customStyle="1" w:styleId="Default">
    <w:name w:val="Default"/>
    <w:uiPriority w:val="99"/>
    <w:rPr>
      <w:rFonts w:eastAsia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openxmlformats.org/officeDocument/2006/relationships/image" Target="media/image10.png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" Type="http://schemas.openxmlformats.org/officeDocument/2006/relationships/styles" Target="styles.xml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0.pn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" Type="http://schemas.openxmlformats.org/officeDocument/2006/relationships/settings" Target="settings.xml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30851/533ee5fc98aee7416dbf5b5c15265ff54e020592/" TargetMode="External"/><Relationship Id="rId16" Type="http://schemas.openxmlformats.org/officeDocument/2006/relationships/hyperlink" Target="http://www.consultant.ru/document/cons_doc_LAW_330851/533ee5fc98aee7416dbf5b5c15265ff54e020592/" TargetMode="Externa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78D08-0730-4939-9FE3-305BFD55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38</Pages>
  <Words>5678</Words>
  <Characters>32366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Slr</cp:lastModifiedBy>
</cp:coreProperties>
</file>