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2"/>
        <w:widowControl w:val="1"/>
        <w:tabs>
          <w:tab w:leader="none" w:pos="4500" w:val="left"/>
        </w:tabs>
        <w:spacing w:line="322" w:lineRule="exact"/>
        <w:ind w:firstLine="709" w:left="-142"/>
        <w:jc w:val="center"/>
        <w:rPr>
          <w:rStyle w:val="Style_3_ch"/>
          <w:b w:val="1"/>
          <w:sz w:val="28"/>
        </w:rPr>
      </w:pPr>
      <w:r>
        <w:rPr>
          <w:rStyle w:val="Style_3_ch"/>
          <w:b w:val="1"/>
          <w:sz w:val="28"/>
        </w:rPr>
        <w:t xml:space="preserve">Основные параметры бюджета сельского поселения </w:t>
      </w:r>
      <w:r>
        <w:rPr>
          <w:rStyle w:val="Style_3_ch"/>
          <w:b w:val="1"/>
          <w:sz w:val="28"/>
        </w:rPr>
        <w:t xml:space="preserve">Селиярово </w:t>
      </w:r>
      <w:r>
        <w:rPr>
          <w:rStyle w:val="Style_3_ch"/>
          <w:b w:val="1"/>
          <w:sz w:val="28"/>
        </w:rPr>
        <w:t>на 202</w:t>
      </w:r>
      <w:r>
        <w:rPr>
          <w:rStyle w:val="Style_3_ch"/>
          <w:b w:val="1"/>
          <w:sz w:val="28"/>
        </w:rPr>
        <w:t>5</w:t>
      </w:r>
      <w:r>
        <w:rPr>
          <w:rStyle w:val="Style_3_ch"/>
          <w:b w:val="1"/>
          <w:sz w:val="28"/>
        </w:rPr>
        <w:t xml:space="preserve"> год</w:t>
      </w:r>
      <w:r>
        <w:rPr>
          <w:rStyle w:val="Style_3_ch"/>
          <w:b w:val="1"/>
          <w:sz w:val="28"/>
        </w:rPr>
        <w:t xml:space="preserve"> и</w:t>
      </w:r>
      <w:r>
        <w:rPr>
          <w:rStyle w:val="Style_3_ch"/>
          <w:b w:val="1"/>
          <w:sz w:val="28"/>
        </w:rPr>
        <w:t xml:space="preserve"> на</w:t>
      </w:r>
      <w:r>
        <w:rPr>
          <w:rStyle w:val="Style_3_ch"/>
          <w:b w:val="1"/>
          <w:sz w:val="28"/>
        </w:rPr>
        <w:t xml:space="preserve"> плановый период 20</w:t>
      </w:r>
      <w:r>
        <w:rPr>
          <w:rStyle w:val="Style_3_ch"/>
          <w:b w:val="1"/>
          <w:sz w:val="28"/>
        </w:rPr>
        <w:t>2</w:t>
      </w:r>
      <w:r>
        <w:rPr>
          <w:rStyle w:val="Style_3_ch"/>
          <w:b w:val="1"/>
          <w:sz w:val="28"/>
        </w:rPr>
        <w:t>6</w:t>
      </w:r>
      <w:r>
        <w:rPr>
          <w:rStyle w:val="Style_3_ch"/>
          <w:b w:val="1"/>
          <w:sz w:val="28"/>
        </w:rPr>
        <w:t xml:space="preserve"> и </w:t>
      </w:r>
      <w:r>
        <w:rPr>
          <w:rStyle w:val="Style_3_ch"/>
          <w:b w:val="1"/>
          <w:sz w:val="28"/>
        </w:rPr>
        <w:t>20</w:t>
      </w:r>
      <w:r>
        <w:rPr>
          <w:rStyle w:val="Style_3_ch"/>
          <w:b w:val="1"/>
          <w:sz w:val="28"/>
        </w:rPr>
        <w:t>2</w:t>
      </w:r>
      <w:r>
        <w:rPr>
          <w:rStyle w:val="Style_3_ch"/>
          <w:b w:val="1"/>
          <w:sz w:val="28"/>
        </w:rPr>
        <w:t>7</w:t>
      </w:r>
      <w:r>
        <w:rPr>
          <w:rStyle w:val="Style_3_ch"/>
          <w:b w:val="1"/>
          <w:sz w:val="28"/>
        </w:rPr>
        <w:t xml:space="preserve"> год</w:t>
      </w:r>
      <w:r>
        <w:rPr>
          <w:rStyle w:val="Style_3_ch"/>
          <w:b w:val="1"/>
          <w:sz w:val="28"/>
        </w:rPr>
        <w:t>ов</w:t>
      </w:r>
      <w:r>
        <w:rPr>
          <w:rStyle w:val="Style_3_ch"/>
          <w:b w:val="1"/>
          <w:sz w:val="28"/>
        </w:rPr>
        <w:t>.</w:t>
      </w:r>
    </w:p>
    <w:p w14:paraId="04000000">
      <w:pPr>
        <w:pStyle w:val="Style_2"/>
        <w:widowControl w:val="1"/>
        <w:spacing w:line="322" w:lineRule="exact"/>
        <w:ind w:firstLine="0" w:left="0"/>
        <w:rPr>
          <w:rStyle w:val="Style_3_ch"/>
          <w:sz w:val="28"/>
        </w:rPr>
      </w:pPr>
    </w:p>
    <w:p w14:paraId="05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 xml:space="preserve">Проект решения Совета депутатов сельского поселения Селиярово </w:t>
      </w:r>
      <w:r>
        <w:rPr>
          <w:sz w:val="28"/>
        </w:rPr>
        <w:t xml:space="preserve">«О бюджете сельского поселения </w:t>
      </w:r>
      <w:r>
        <w:rPr>
          <w:sz w:val="28"/>
        </w:rPr>
        <w:t>Селиярово</w:t>
      </w:r>
      <w:r>
        <w:rPr>
          <w:sz w:val="28"/>
        </w:rPr>
        <w:t xml:space="preserve"> на 2025 год и плановый период 2026 и 2027 годов» подготовлен в со</w:t>
      </w:r>
      <w:r>
        <w:rPr>
          <w:sz w:val="28"/>
        </w:rPr>
        <w:t>ответствии с требованиями Бюджетного кодекса Российской Федерации</w:t>
      </w:r>
      <w:r>
        <w:rPr>
          <w:sz w:val="28"/>
        </w:rPr>
        <w:t>.</w:t>
      </w:r>
    </w:p>
    <w:p w14:paraId="06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 xml:space="preserve">Публичные слушания проведены </w:t>
      </w:r>
      <w:r>
        <w:rPr>
          <w:sz w:val="28"/>
        </w:rPr>
        <w:t>14.11.2024 года</w:t>
      </w:r>
      <w:r>
        <w:rPr>
          <w:sz w:val="28"/>
        </w:rPr>
        <w:t xml:space="preserve">, Проект решения размещен на официальном сайте </w:t>
      </w:r>
      <w:r>
        <w:rPr>
          <w:sz w:val="28"/>
        </w:rPr>
        <w:t xml:space="preserve"> Ханты-Мансийского района в разделе сельского поселения района, в подразделе СП Селиярово «Бюджет для граждан»</w:t>
      </w:r>
      <w:r>
        <w:rPr>
          <w:sz w:val="28"/>
        </w:rPr>
        <w:t xml:space="preserve"> </w:t>
      </w:r>
      <w:r>
        <w:rPr>
          <w:sz w:val="28"/>
        </w:rPr>
        <w:t>2024</w:t>
      </w:r>
      <w:r>
        <w:rPr>
          <w:sz w:val="28"/>
        </w:rPr>
        <w:t xml:space="preserve"> </w:t>
      </w:r>
      <w:r>
        <w:rPr>
          <w:sz w:val="28"/>
        </w:rPr>
        <w:t>года</w:t>
      </w:r>
      <w:r>
        <w:rPr>
          <w:sz w:val="28"/>
        </w:rPr>
        <w:t>.</w:t>
      </w:r>
    </w:p>
    <w:p w14:paraId="07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>Общий объем д</w:t>
      </w:r>
      <w:r>
        <w:rPr>
          <w:sz w:val="28"/>
        </w:rPr>
        <w:t>оход</w:t>
      </w:r>
      <w:r>
        <w:rPr>
          <w:sz w:val="28"/>
        </w:rPr>
        <w:t>ов</w:t>
      </w:r>
      <w:r>
        <w:rPr>
          <w:sz w:val="28"/>
        </w:rPr>
        <w:t xml:space="preserve"> бюджета </w:t>
      </w:r>
      <w:r>
        <w:rPr>
          <w:sz w:val="28"/>
        </w:rPr>
        <w:t xml:space="preserve">сельского поселения </w:t>
      </w:r>
      <w:r>
        <w:rPr>
          <w:sz w:val="28"/>
        </w:rPr>
        <w:t>Селиярово</w:t>
      </w:r>
      <w:r>
        <w:rPr>
          <w:sz w:val="28"/>
        </w:rPr>
        <w:t xml:space="preserve"> </w:t>
      </w:r>
      <w:r>
        <w:rPr>
          <w:sz w:val="28"/>
        </w:rPr>
        <w:t xml:space="preserve">составит в </w:t>
      </w:r>
      <w:r>
        <w:rPr>
          <w:sz w:val="28"/>
        </w:rPr>
        <w:t>202</w:t>
      </w:r>
      <w:r>
        <w:rPr>
          <w:sz w:val="28"/>
        </w:rPr>
        <w:t>5</w:t>
      </w:r>
      <w:r>
        <w:rPr>
          <w:sz w:val="28"/>
        </w:rPr>
        <w:t xml:space="preserve"> год</w:t>
      </w:r>
      <w:r>
        <w:rPr>
          <w:sz w:val="28"/>
        </w:rPr>
        <w:t xml:space="preserve">у – </w:t>
      </w:r>
      <w:r>
        <w:rPr>
          <w:sz w:val="28"/>
        </w:rPr>
        <w:t>45 055,3</w:t>
      </w:r>
      <w:r>
        <w:t xml:space="preserve"> </w:t>
      </w:r>
      <w:r>
        <w:rPr>
          <w:sz w:val="28"/>
        </w:rPr>
        <w:t>тыс</w:t>
      </w:r>
      <w:r>
        <w:rPr>
          <w:sz w:val="28"/>
        </w:rPr>
        <w:t>.</w:t>
      </w:r>
      <w:r>
        <w:rPr>
          <w:sz w:val="28"/>
        </w:rPr>
        <w:t xml:space="preserve"> руб</w:t>
      </w:r>
      <w:r>
        <w:rPr>
          <w:sz w:val="28"/>
        </w:rPr>
        <w:t>.,</w:t>
      </w:r>
      <w:r>
        <w:rPr>
          <w:sz w:val="28"/>
        </w:rPr>
        <w:t xml:space="preserve"> 202</w:t>
      </w:r>
      <w:r>
        <w:rPr>
          <w:sz w:val="28"/>
        </w:rPr>
        <w:t>6</w:t>
      </w:r>
      <w:r>
        <w:rPr>
          <w:sz w:val="28"/>
        </w:rPr>
        <w:t xml:space="preserve"> год</w:t>
      </w:r>
      <w:r>
        <w:rPr>
          <w:sz w:val="28"/>
        </w:rPr>
        <w:t xml:space="preserve">у </w:t>
      </w:r>
      <w:r>
        <w:rPr>
          <w:sz w:val="28"/>
        </w:rPr>
        <w:t xml:space="preserve"> </w:t>
      </w:r>
      <w:r>
        <w:rPr>
          <w:sz w:val="28"/>
        </w:rPr>
        <w:t>– 41 614,0</w:t>
      </w:r>
      <w:r>
        <w:t xml:space="preserve"> </w:t>
      </w:r>
      <w:r>
        <w:rPr>
          <w:sz w:val="28"/>
        </w:rPr>
        <w:t>тыс</w:t>
      </w:r>
      <w:r>
        <w:rPr>
          <w:sz w:val="28"/>
        </w:rPr>
        <w:t>. руб</w:t>
      </w:r>
      <w:r>
        <w:rPr>
          <w:sz w:val="28"/>
        </w:rPr>
        <w:t xml:space="preserve">., </w:t>
      </w:r>
      <w:r>
        <w:rPr>
          <w:sz w:val="28"/>
        </w:rPr>
        <w:t>202</w:t>
      </w:r>
      <w:r>
        <w:rPr>
          <w:sz w:val="28"/>
        </w:rPr>
        <w:t>7</w:t>
      </w:r>
      <w:r>
        <w:rPr>
          <w:sz w:val="28"/>
        </w:rPr>
        <w:t xml:space="preserve"> год</w:t>
      </w:r>
      <w:r>
        <w:rPr>
          <w:sz w:val="28"/>
        </w:rPr>
        <w:t>у</w:t>
      </w:r>
      <w:r>
        <w:rPr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42 758,6</w:t>
      </w:r>
      <w:r>
        <w:rPr>
          <w:sz w:val="28"/>
        </w:rPr>
        <w:t xml:space="preserve"> тыс.</w:t>
      </w:r>
      <w:r>
        <w:rPr>
          <w:sz w:val="28"/>
        </w:rPr>
        <w:t xml:space="preserve"> </w:t>
      </w:r>
      <w:r>
        <w:rPr>
          <w:sz w:val="28"/>
        </w:rPr>
        <w:t>рублей.</w:t>
      </w:r>
      <w:r>
        <w:rPr>
          <w:sz w:val="28"/>
        </w:rPr>
        <w:t xml:space="preserve"> </w:t>
      </w:r>
    </w:p>
    <w:p w14:paraId="08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 xml:space="preserve">Общий объем расходов бюджет сельского поселения </w:t>
      </w:r>
      <w:r>
        <w:rPr>
          <w:sz w:val="28"/>
        </w:rPr>
        <w:t>Селиярово</w:t>
      </w:r>
      <w:r>
        <w:rPr>
          <w:sz w:val="28"/>
        </w:rPr>
        <w:t xml:space="preserve"> планируется </w:t>
      </w:r>
      <w:r>
        <w:rPr>
          <w:sz w:val="28"/>
        </w:rPr>
        <w:t xml:space="preserve">соответственно объему доходов: </w:t>
      </w:r>
      <w:r>
        <w:rPr>
          <w:sz w:val="28"/>
        </w:rPr>
        <w:t xml:space="preserve">в 2025 году – </w:t>
      </w:r>
      <w:r>
        <w:rPr>
          <w:sz w:val="28"/>
        </w:rPr>
        <w:t>45 055,3</w:t>
      </w:r>
      <w:r>
        <w:t xml:space="preserve"> </w:t>
      </w:r>
      <w:r>
        <w:rPr>
          <w:sz w:val="28"/>
        </w:rPr>
        <w:t>тыс. рублей;</w:t>
      </w:r>
      <w:r>
        <w:rPr>
          <w:sz w:val="28"/>
        </w:rPr>
        <w:t xml:space="preserve"> </w:t>
      </w:r>
      <w:r>
        <w:rPr>
          <w:sz w:val="28"/>
        </w:rPr>
        <w:t xml:space="preserve"> 2026 году  – </w:t>
      </w:r>
      <w:r>
        <w:rPr>
          <w:sz w:val="28"/>
        </w:rPr>
        <w:t>41 614,0</w:t>
      </w:r>
      <w:r>
        <w:rPr>
          <w:sz w:val="28"/>
        </w:rPr>
        <w:t xml:space="preserve"> </w:t>
      </w:r>
      <w:r>
        <w:rPr>
          <w:sz w:val="28"/>
        </w:rPr>
        <w:t xml:space="preserve">тыс. рублей; </w:t>
      </w:r>
      <w:r>
        <w:rPr>
          <w:sz w:val="28"/>
        </w:rPr>
        <w:t xml:space="preserve"> </w:t>
      </w:r>
      <w:r>
        <w:rPr>
          <w:sz w:val="28"/>
        </w:rPr>
        <w:t>2027 году –</w:t>
      </w:r>
      <w:r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sz w:val="28"/>
        </w:rPr>
        <w:t xml:space="preserve">42 758,6 </w:t>
      </w:r>
      <w:r>
        <w:rPr>
          <w:sz w:val="28"/>
        </w:rPr>
        <w:t xml:space="preserve">тыс. рублей. </w:t>
      </w:r>
    </w:p>
    <w:p w14:paraId="09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 xml:space="preserve">Бюджет на предстоящий трехлетний период спрогнозирован </w:t>
      </w:r>
      <w:r>
        <w:rPr>
          <w:sz w:val="28"/>
        </w:rPr>
        <w:t xml:space="preserve">без дефицита </w:t>
      </w:r>
      <w:r>
        <w:rPr>
          <w:sz w:val="28"/>
        </w:rPr>
        <w:t xml:space="preserve">бюджета </w:t>
      </w:r>
      <w:r>
        <w:rPr>
          <w:sz w:val="28"/>
        </w:rPr>
        <w:t xml:space="preserve">сельского поселения </w:t>
      </w:r>
      <w:r>
        <w:rPr>
          <w:sz w:val="28"/>
        </w:rPr>
        <w:t>Селиярово</w:t>
      </w:r>
      <w:r>
        <w:rPr>
          <w:sz w:val="28"/>
        </w:rPr>
        <w:t xml:space="preserve"> на </w:t>
      </w:r>
      <w:r>
        <w:rPr>
          <w:sz w:val="28"/>
        </w:rPr>
        <w:t>весь период</w:t>
      </w:r>
      <w:r>
        <w:rPr>
          <w:sz w:val="28"/>
        </w:rPr>
        <w:t>.</w:t>
      </w:r>
    </w:p>
    <w:p w14:paraId="0A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>Принятый трехлетний бюджет в целом отвечает всем ра</w:t>
      </w:r>
      <w:r>
        <w:rPr>
          <w:sz w:val="28"/>
        </w:rPr>
        <w:t>нее сформированным приоритетам государственной политики. Бюджет остается социально ориентированным и гарантирует выполнение всех обязательств перед людьми</w:t>
      </w:r>
      <w:r>
        <w:rPr>
          <w:sz w:val="28"/>
        </w:rPr>
        <w:t xml:space="preserve">, </w:t>
      </w:r>
      <w:r>
        <w:rPr>
          <w:sz w:val="28"/>
        </w:rPr>
        <w:t>а также поддержку участников специальной военной операции и членов их семей</w:t>
      </w:r>
      <w:r>
        <w:rPr>
          <w:sz w:val="28"/>
        </w:rPr>
        <w:t xml:space="preserve"> в форме привлечения их к участию в культурных мер</w:t>
      </w:r>
      <w:r>
        <w:rPr>
          <w:sz w:val="28"/>
        </w:rPr>
        <w:t>оприятиях</w:t>
      </w:r>
      <w:r>
        <w:rPr>
          <w:sz w:val="28"/>
        </w:rPr>
        <w:t>.</w:t>
      </w:r>
    </w:p>
    <w:p w14:paraId="0B000000">
      <w:pPr>
        <w:widowControl w:val="1"/>
        <w:ind w:firstLine="708" w:left="0"/>
        <w:jc w:val="both"/>
        <w:rPr>
          <w:sz w:val="28"/>
        </w:rPr>
      </w:pPr>
    </w:p>
    <w:p w14:paraId="0C000000">
      <w:pPr>
        <w:ind w:firstLine="709" w:left="0"/>
        <w:jc w:val="both"/>
        <w:rPr>
          <w:b w:val="1"/>
          <w:sz w:val="28"/>
          <w:u w:val="single"/>
        </w:rPr>
      </w:pPr>
      <w:r>
        <w:rPr>
          <w:b w:val="1"/>
          <w:sz w:val="28"/>
          <w:u w:val="single"/>
        </w:rPr>
        <w:t>Доходы:</w:t>
      </w:r>
    </w:p>
    <w:p w14:paraId="0D000000">
      <w:pPr>
        <w:ind w:firstLine="709" w:left="0"/>
        <w:jc w:val="both"/>
        <w:rPr>
          <w:sz w:val="28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1524000" cy="1184275"/>
            <wp:wrapSquare distL="114300" distR="114300" wrapText="bothSides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1524000" cy="11842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302260" cy="302260"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sz w:val="28"/>
        </w:rPr>
        <w:t>На 2025 год н</w:t>
      </w:r>
      <w:r>
        <w:rPr>
          <w:sz w:val="28"/>
        </w:rPr>
        <w:t xml:space="preserve">алоговые доходы </w:t>
      </w:r>
      <w:r>
        <w:rPr>
          <w:sz w:val="28"/>
        </w:rPr>
        <w:t>спланированы</w:t>
      </w:r>
      <w:r>
        <w:rPr>
          <w:sz w:val="28"/>
        </w:rPr>
        <w:t xml:space="preserve"> в сумме 45 055,3</w:t>
      </w:r>
      <w:r>
        <w:rPr>
          <w:sz w:val="28"/>
        </w:rPr>
        <w:t xml:space="preserve"> </w:t>
      </w:r>
      <w:r>
        <w:rPr>
          <w:sz w:val="28"/>
        </w:rPr>
        <w:t>тыс. рублей, что на 15.7</w:t>
      </w:r>
      <w:r>
        <w:rPr>
          <w:sz w:val="28"/>
        </w:rPr>
        <w:t xml:space="preserve"> % выше первоначального плана 2024 года (+</w:t>
      </w:r>
      <w:r>
        <w:rPr>
          <w:sz w:val="28"/>
        </w:rPr>
        <w:t xml:space="preserve"> 7 086,71</w:t>
      </w:r>
      <w:r>
        <w:rPr>
          <w:sz w:val="28"/>
        </w:rPr>
        <w:t xml:space="preserve"> </w:t>
      </w:r>
      <w:r>
        <w:rPr>
          <w:sz w:val="28"/>
        </w:rPr>
        <w:t xml:space="preserve">тыс. рублей), в связи с </w:t>
      </w:r>
      <w:r>
        <w:rPr>
          <w:sz w:val="28"/>
        </w:rPr>
        <w:t>увеличением налоговых</w:t>
      </w:r>
      <w:r>
        <w:rPr>
          <w:sz w:val="28"/>
        </w:rPr>
        <w:t xml:space="preserve"> поступлений по налогу на доходы физических лиц, акцизам по подакцизным товарам, налог на имущество физических лиц, и по доходам от использования имущества, находящегося в государственной и муниципальной собственности.</w:t>
      </w:r>
    </w:p>
    <w:p w14:paraId="0E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Неналоговые доходы </w:t>
      </w:r>
      <w:r>
        <w:rPr>
          <w:sz w:val="28"/>
        </w:rPr>
        <w:t>спланированы</w:t>
      </w:r>
      <w:r>
        <w:rPr>
          <w:sz w:val="28"/>
        </w:rPr>
        <w:t xml:space="preserve"> </w:t>
      </w:r>
      <w:r>
        <w:rPr>
          <w:sz w:val="28"/>
        </w:rPr>
        <w:t xml:space="preserve">на 2025 год </w:t>
      </w:r>
      <w:r>
        <w:rPr>
          <w:sz w:val="28"/>
        </w:rPr>
        <w:t xml:space="preserve">в сумме </w:t>
      </w:r>
      <w:r>
        <w:rPr>
          <w:sz w:val="28"/>
        </w:rPr>
        <w:t>623,6</w:t>
      </w:r>
      <w:r>
        <w:rPr>
          <w:sz w:val="28"/>
        </w:rPr>
        <w:t xml:space="preserve"> тыс. рублей</w:t>
      </w:r>
      <w:r>
        <w:rPr>
          <w:sz w:val="28"/>
        </w:rPr>
        <w:t xml:space="preserve">. </w:t>
      </w:r>
    </w:p>
    <w:p w14:paraId="0F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Безвозмездные поступления </w:t>
      </w:r>
      <w:r>
        <w:rPr>
          <w:sz w:val="28"/>
        </w:rPr>
        <w:t>спланированы</w:t>
      </w:r>
      <w:r>
        <w:rPr>
          <w:sz w:val="28"/>
        </w:rPr>
        <w:t xml:space="preserve"> в</w:t>
      </w:r>
      <w:r>
        <w:rPr>
          <w:sz w:val="28"/>
        </w:rPr>
        <w:t xml:space="preserve"> сумме 38 158,0</w:t>
      </w:r>
      <w:r>
        <w:rPr>
          <w:sz w:val="28"/>
        </w:rPr>
        <w:t xml:space="preserve"> тыс. рублей, </w:t>
      </w:r>
      <w:r>
        <w:rPr>
          <w:sz w:val="28"/>
        </w:rPr>
        <w:t>в том числе:</w:t>
      </w:r>
    </w:p>
    <w:p w14:paraId="10000000">
      <w:pPr>
        <w:numPr>
          <w:ilvl w:val="0"/>
          <w:numId w:val="1"/>
        </w:numPr>
        <w:ind/>
        <w:contextualSpacing w:val="1"/>
        <w:jc w:val="both"/>
        <w:rPr>
          <w:sz w:val="28"/>
        </w:rPr>
      </w:pPr>
      <w:r>
        <w:rPr>
          <w:sz w:val="28"/>
        </w:rPr>
        <w:t xml:space="preserve">дотация </w:t>
      </w:r>
      <w:r>
        <w:rPr>
          <w:sz w:val="28"/>
        </w:rPr>
        <w:t>на выравнивание бюджетной обеспеченности</w:t>
      </w:r>
      <w:r>
        <w:rPr>
          <w:sz w:val="28"/>
        </w:rPr>
        <w:t xml:space="preserve"> бюджетам поселений</w:t>
      </w:r>
      <w:r>
        <w:rPr>
          <w:sz w:val="28"/>
        </w:rPr>
        <w:t xml:space="preserve"> в сумме 34 257,7</w:t>
      </w:r>
      <w:r>
        <w:rPr>
          <w:sz w:val="28"/>
        </w:rPr>
        <w:t xml:space="preserve"> </w:t>
      </w:r>
      <w:r>
        <w:rPr>
          <w:sz w:val="28"/>
        </w:rPr>
        <w:t xml:space="preserve"> тыс. рублей (76</w:t>
      </w:r>
      <w:r>
        <w:rPr>
          <w:sz w:val="28"/>
        </w:rPr>
        <w:t>,</w:t>
      </w:r>
      <w:r>
        <w:rPr>
          <w:sz w:val="28"/>
        </w:rPr>
        <w:t xml:space="preserve">0 </w:t>
      </w:r>
      <w:r>
        <w:rPr>
          <w:sz w:val="28"/>
        </w:rPr>
        <w:t>%);</w:t>
      </w:r>
    </w:p>
    <w:p w14:paraId="11000000">
      <w:pPr>
        <w:numPr>
          <w:ilvl w:val="0"/>
          <w:numId w:val="1"/>
        </w:numPr>
        <w:ind/>
        <w:contextualSpacing w:val="1"/>
        <w:jc w:val="both"/>
        <w:rPr>
          <w:sz w:val="28"/>
        </w:rPr>
      </w:pPr>
      <w:r>
        <w:rPr>
          <w:sz w:val="28"/>
        </w:rPr>
        <w:t>субсидия в сумме 124,4</w:t>
      </w:r>
      <w:r>
        <w:rPr>
          <w:sz w:val="28"/>
        </w:rPr>
        <w:t xml:space="preserve"> </w:t>
      </w:r>
      <w:r>
        <w:rPr>
          <w:sz w:val="28"/>
        </w:rPr>
        <w:t>тыс. рублей (</w:t>
      </w:r>
      <w:r>
        <w:rPr>
          <w:sz w:val="28"/>
        </w:rPr>
        <w:t>0</w:t>
      </w:r>
      <w:r>
        <w:rPr>
          <w:sz w:val="28"/>
        </w:rPr>
        <w:t xml:space="preserve">,3 </w:t>
      </w:r>
      <w:r>
        <w:rPr>
          <w:sz w:val="28"/>
        </w:rPr>
        <w:t>%)</w:t>
      </w:r>
      <w:r>
        <w:rPr>
          <w:sz w:val="28"/>
        </w:rPr>
        <w:t>;</w:t>
      </w:r>
    </w:p>
    <w:p w14:paraId="12000000">
      <w:pPr>
        <w:ind w:firstLine="708" w:left="0"/>
        <w:contextualSpacing w:val="1"/>
        <w:jc w:val="both"/>
        <w:rPr>
          <w:sz w:val="28"/>
        </w:rPr>
      </w:pPr>
      <w:r>
        <w:rPr>
          <w:sz w:val="28"/>
        </w:rPr>
        <w:t xml:space="preserve">2) субвенции в сумме </w:t>
      </w:r>
      <w:r>
        <w:rPr>
          <w:sz w:val="28"/>
        </w:rPr>
        <w:t xml:space="preserve">353,1 </w:t>
      </w:r>
      <w:r>
        <w:rPr>
          <w:sz w:val="28"/>
        </w:rPr>
        <w:t>тыс. рублей (</w:t>
      </w:r>
      <w:r>
        <w:rPr>
          <w:sz w:val="28"/>
        </w:rPr>
        <w:t>0</w:t>
      </w:r>
      <w:r>
        <w:rPr>
          <w:sz w:val="28"/>
        </w:rPr>
        <w:t xml:space="preserve">,8 </w:t>
      </w:r>
      <w:r>
        <w:rPr>
          <w:sz w:val="28"/>
        </w:rPr>
        <w:t>%);</w:t>
      </w:r>
    </w:p>
    <w:p w14:paraId="13000000">
      <w:pPr>
        <w:ind w:firstLine="708" w:left="0"/>
        <w:contextualSpacing w:val="1"/>
        <w:jc w:val="both"/>
        <w:rPr>
          <w:sz w:val="28"/>
        </w:rPr>
      </w:pPr>
      <w:r>
        <w:rPr>
          <w:sz w:val="28"/>
        </w:rPr>
        <w:t>3) иные межбюджетные трансферты в су</w:t>
      </w:r>
      <w:r>
        <w:rPr>
          <w:sz w:val="28"/>
        </w:rPr>
        <w:t>мме 3 422,8</w:t>
      </w:r>
      <w:r>
        <w:rPr>
          <w:sz w:val="28"/>
        </w:rPr>
        <w:t xml:space="preserve"> </w:t>
      </w:r>
      <w:r>
        <w:rPr>
          <w:sz w:val="28"/>
        </w:rPr>
        <w:t xml:space="preserve">тыс. рублей (7,6 </w:t>
      </w:r>
      <w:r>
        <w:rPr>
          <w:sz w:val="28"/>
        </w:rPr>
        <w:t>%).</w:t>
      </w:r>
    </w:p>
    <w:p w14:paraId="14000000">
      <w:pPr>
        <w:pStyle w:val="Style_4"/>
        <w:widowControl w:val="1"/>
        <w:spacing w:line="240" w:lineRule="auto"/>
        <w:ind w:firstLine="709" w:left="0"/>
        <w:rPr>
          <w:rStyle w:val="Style_3_ch"/>
          <w:b w:val="1"/>
          <w:sz w:val="28"/>
          <w:u w:val="single"/>
        </w:rPr>
      </w:pPr>
    </w:p>
    <w:p w14:paraId="15000000">
      <w:pPr>
        <w:pStyle w:val="Style_4"/>
        <w:widowControl w:val="1"/>
        <w:spacing w:line="240" w:lineRule="auto"/>
        <w:ind w:firstLine="709" w:left="0"/>
        <w:rPr>
          <w:rStyle w:val="Style_3_ch"/>
          <w:b w:val="1"/>
          <w:sz w:val="28"/>
          <w:u w:val="single"/>
        </w:rPr>
      </w:pPr>
    </w:p>
    <w:p w14:paraId="16000000">
      <w:pPr>
        <w:pStyle w:val="Style_4"/>
        <w:widowControl w:val="1"/>
        <w:spacing w:line="240" w:lineRule="auto"/>
        <w:ind w:firstLine="709" w:left="0"/>
        <w:rPr>
          <w:rStyle w:val="Style_3_ch"/>
          <w:b w:val="1"/>
          <w:sz w:val="28"/>
          <w:u w:val="single"/>
        </w:rPr>
      </w:pPr>
      <w:r>
        <w:rPr>
          <w:rStyle w:val="Style_3_ch"/>
          <w:b w:val="1"/>
          <w:sz w:val="28"/>
          <w:u w:val="single"/>
        </w:rPr>
        <w:t>Расходы:</w:t>
      </w:r>
    </w:p>
    <w:p w14:paraId="17000000">
      <w:pPr>
        <w:pStyle w:val="Style_4"/>
        <w:widowControl w:val="1"/>
        <w:spacing w:line="240" w:lineRule="auto"/>
        <w:ind w:firstLine="709" w:left="0"/>
        <w:rPr>
          <w:rStyle w:val="Style_3_ch"/>
          <w:sz w:val="28"/>
        </w:rPr>
      </w:pPr>
      <w:r>
        <w:rPr>
          <w:rStyle w:val="Style_3_ch"/>
          <w:sz w:val="28"/>
        </w:rPr>
        <w:t>Общий объем расходов в бюджете поселения запланированы</w:t>
      </w:r>
      <w:r>
        <w:rPr>
          <w:rStyle w:val="Style_3_ch"/>
          <w:sz w:val="28"/>
        </w:rPr>
        <w:t xml:space="preserve"> на 2025 год – 45 055,3</w:t>
      </w:r>
      <w:r>
        <w:rPr>
          <w:rStyle w:val="Style_3_ch"/>
          <w:sz w:val="28"/>
        </w:rPr>
        <w:t xml:space="preserve"> </w:t>
      </w:r>
      <w:r>
        <w:rPr>
          <w:rStyle w:val="Style_3_ch"/>
          <w:sz w:val="28"/>
        </w:rPr>
        <w:t>тыс. рублей; 2026 год –41 614,0</w:t>
      </w:r>
      <w:r>
        <w:rPr>
          <w:rStyle w:val="Style_3_ch"/>
          <w:sz w:val="28"/>
        </w:rPr>
        <w:t xml:space="preserve"> </w:t>
      </w:r>
      <w:r>
        <w:rPr>
          <w:rStyle w:val="Style_3_ch"/>
          <w:sz w:val="28"/>
        </w:rPr>
        <w:t>тыс. рублей, 2027 год – 42 758,6 тыс.</w:t>
      </w:r>
      <w:r>
        <w:rPr>
          <w:rStyle w:val="Style_3_ch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 xml:space="preserve">ублей. </w:t>
      </w:r>
    </w:p>
    <w:p w14:paraId="18000000">
      <w:pPr>
        <w:pStyle w:val="Style_4"/>
        <w:widowControl w:val="1"/>
        <w:spacing w:line="240" w:lineRule="auto"/>
        <w:ind w:firstLine="709" w:left="0"/>
        <w:rPr>
          <w:sz w:val="28"/>
        </w:rPr>
      </w:pPr>
    </w:p>
    <w:p w14:paraId="19000000">
      <w:pPr>
        <w:pStyle w:val="Style_4"/>
        <w:widowControl w:val="1"/>
        <w:spacing w:line="240" w:lineRule="auto"/>
        <w:ind w:firstLine="709" w:left="0"/>
        <w:rPr>
          <w:sz w:val="28"/>
        </w:rPr>
      </w:pPr>
    </w:p>
    <w:p w14:paraId="1A000000">
      <w:pPr>
        <w:pStyle w:val="Style_4"/>
        <w:widowControl w:val="1"/>
        <w:spacing w:line="240" w:lineRule="auto"/>
        <w:ind w:firstLine="709" w:left="0"/>
        <w:rPr>
          <w:sz w:val="28"/>
        </w:rPr>
      </w:pPr>
    </w:p>
    <w:p w14:paraId="1B000000">
      <w:pPr>
        <w:widowControl w:val="1"/>
        <w:ind w:firstLine="708" w:left="0"/>
        <w:jc w:val="both"/>
        <w:rPr>
          <w:sz w:val="28"/>
        </w:rPr>
      </w:pPr>
      <w:r>
        <w:rPr>
          <w:b w:val="1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3140" cy="1691004"/>
            <wp:wrapSquare distL="114300" distR="114300" wrapText="bothSides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263140" cy="1691004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304800" cy="304800"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</w:rPr>
        <w:t xml:space="preserve">         </w:t>
      </w:r>
      <w:r>
        <w:rPr>
          <w:b w:val="1"/>
          <w:sz w:val="28"/>
          <w:u w:val="single"/>
        </w:rPr>
        <w:t>«Национальная оборона»</w:t>
      </w:r>
      <w:r>
        <w:rPr>
          <w:b w:val="1"/>
          <w:sz w:val="28"/>
          <w:u w:val="single"/>
        </w:rPr>
        <w:br/>
      </w:r>
      <w:r>
        <w:rPr>
          <w:sz w:val="28"/>
        </w:rPr>
        <w:t xml:space="preserve">предусмотрены расходы </w:t>
      </w:r>
      <w:r>
        <w:rPr>
          <w:sz w:val="28"/>
        </w:rPr>
        <w:t>на 2025 год</w:t>
      </w:r>
      <w:r>
        <w:rPr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 xml:space="preserve">342,6 </w:t>
      </w:r>
      <w:r>
        <w:rPr>
          <w:sz w:val="28"/>
        </w:rPr>
        <w:t>тыс. рублей</w:t>
      </w:r>
      <w:r>
        <w:rPr>
          <w:sz w:val="28"/>
        </w:rPr>
        <w:t xml:space="preserve">, </w:t>
      </w:r>
      <w:r>
        <w:rPr>
          <w:sz w:val="28"/>
        </w:rPr>
        <w:t>2026</w:t>
      </w:r>
      <w:r>
        <w:rPr>
          <w:sz w:val="28"/>
        </w:rPr>
        <w:t xml:space="preserve"> – </w:t>
      </w:r>
      <w:r>
        <w:rPr>
          <w:sz w:val="28"/>
        </w:rPr>
        <w:t>375,5</w:t>
      </w:r>
      <w:r>
        <w:rPr>
          <w:sz w:val="28"/>
        </w:rPr>
        <w:t xml:space="preserve"> тыс. рублей</w:t>
      </w:r>
      <w:r>
        <w:rPr>
          <w:sz w:val="28"/>
        </w:rPr>
        <w:t xml:space="preserve">, </w:t>
      </w:r>
      <w:r>
        <w:rPr>
          <w:sz w:val="28"/>
        </w:rPr>
        <w:t xml:space="preserve">2027 – </w:t>
      </w:r>
      <w:r>
        <w:rPr>
          <w:sz w:val="28"/>
        </w:rPr>
        <w:t>389,2</w:t>
      </w:r>
      <w:r>
        <w:rPr>
          <w:sz w:val="28"/>
        </w:rPr>
        <w:t xml:space="preserve"> тыс. рублей. </w:t>
      </w:r>
    </w:p>
    <w:p w14:paraId="1C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 xml:space="preserve">Расходы </w:t>
      </w:r>
      <w:r>
        <w:rPr>
          <w:sz w:val="28"/>
        </w:rPr>
        <w:t>спланированы</w:t>
      </w:r>
      <w:r>
        <w:rPr>
          <w:sz w:val="28"/>
        </w:rPr>
        <w:t xml:space="preserve"> на осуществление первичного воинского учета на территории, где отсутствуют военные комиссариаты (Федеральный закон от 28.03.1998 г. № 53-ФЗ) за счет средств </w:t>
      </w:r>
      <w:r>
        <w:rPr>
          <w:sz w:val="28"/>
        </w:rPr>
        <w:t>федеральной</w:t>
      </w:r>
      <w:r>
        <w:rPr>
          <w:sz w:val="28"/>
        </w:rPr>
        <w:t xml:space="preserve"> субвенции.</w:t>
      </w:r>
    </w:p>
    <w:p w14:paraId="1D000000">
      <w:pPr>
        <w:widowControl w:val="1"/>
        <w:ind w:firstLine="708" w:left="0"/>
        <w:jc w:val="both"/>
        <w:rPr>
          <w:sz w:val="28"/>
        </w:rPr>
      </w:pPr>
    </w:p>
    <w:p w14:paraId="1E000000">
      <w:pPr>
        <w:widowControl w:val="1"/>
        <w:ind w:firstLine="708" w:left="0"/>
        <w:jc w:val="both"/>
        <w:rPr>
          <w:sz w:val="28"/>
          <w:highlight w:val="cyan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302260" cy="302260"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F000000">
      <w:pPr>
        <w:widowControl w:val="1"/>
        <w:ind w:firstLine="708" w:left="0"/>
        <w:jc w:val="both"/>
        <w:rPr>
          <w:sz w:val="28"/>
        </w:rPr>
      </w:pPr>
      <w:r>
        <w:rPr>
          <w:b w:val="1"/>
          <w:sz w:val="28"/>
          <w:u w:val="single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2482215" cy="1437005"/>
            <wp:wrapSquare distL="114300" distR="114300" wrapText="bothSides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2482215" cy="14370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304800" cy="304800"/>
                <wp:docPr hidden="false" id="10" name="Picture 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>«</w:t>
      </w:r>
      <w:r>
        <w:rPr>
          <w:b w:val="1"/>
          <w:sz w:val="28"/>
          <w:u w:val="single"/>
        </w:rPr>
        <w:t>Национальная безопасность и правоохранительная деятельность</w:t>
      </w:r>
      <w:r>
        <w:rPr>
          <w:b w:val="1"/>
          <w:sz w:val="28"/>
          <w:u w:val="single"/>
        </w:rPr>
        <w:t>»</w:t>
      </w:r>
      <w:r>
        <w:rPr>
          <w:b w:val="1"/>
          <w:sz w:val="28"/>
          <w:u w:val="single"/>
        </w:rPr>
        <w:br/>
      </w:r>
      <w:r>
        <w:rPr>
          <w:sz w:val="28"/>
        </w:rPr>
        <w:t xml:space="preserve">на 2025 год спланировано </w:t>
      </w:r>
      <w:r>
        <w:rPr>
          <w:sz w:val="28"/>
        </w:rPr>
        <w:t xml:space="preserve">– </w:t>
      </w:r>
      <w:r>
        <w:rPr>
          <w:sz w:val="28"/>
        </w:rPr>
        <w:t>576,3</w:t>
      </w:r>
      <w:r>
        <w:rPr>
          <w:sz w:val="28"/>
        </w:rPr>
        <w:t xml:space="preserve"> тыс. рублей, на 2</w:t>
      </w:r>
      <w:r>
        <w:rPr>
          <w:sz w:val="28"/>
        </w:rPr>
        <w:t xml:space="preserve">026 год – </w:t>
      </w:r>
      <w:r>
        <w:rPr>
          <w:sz w:val="28"/>
        </w:rPr>
        <w:t>610,3</w:t>
      </w:r>
      <w:r>
        <w:rPr>
          <w:sz w:val="28"/>
        </w:rPr>
        <w:t xml:space="preserve"> тыс. рублей</w:t>
      </w:r>
      <w:r>
        <w:rPr>
          <w:sz w:val="28"/>
        </w:rPr>
        <w:t xml:space="preserve">, </w:t>
      </w:r>
      <w:r>
        <w:rPr>
          <w:sz w:val="28"/>
        </w:rPr>
        <w:t xml:space="preserve">2027 год – </w:t>
      </w:r>
      <w:r>
        <w:rPr>
          <w:sz w:val="28"/>
        </w:rPr>
        <w:t>610,3</w:t>
      </w:r>
      <w:r>
        <w:rPr>
          <w:sz w:val="28"/>
        </w:rPr>
        <w:t xml:space="preserve"> тыс. рублей.</w:t>
      </w:r>
    </w:p>
    <w:p w14:paraId="20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 xml:space="preserve">Расходы предусмотрены </w:t>
      </w:r>
      <w:r>
        <w:rPr>
          <w:sz w:val="28"/>
        </w:rPr>
        <w:t xml:space="preserve">на </w:t>
      </w:r>
      <w:r>
        <w:rPr>
          <w:sz w:val="28"/>
        </w:rPr>
        <w:t>создание условий для деятельности народных дружин, на реализацию мероприятий в сфере гражданской обороны, защиты населения</w:t>
      </w:r>
      <w:r>
        <w:rPr>
          <w:sz w:val="28"/>
        </w:rPr>
        <w:t>, а</w:t>
      </w:r>
      <w:r>
        <w:rPr>
          <w:sz w:val="28"/>
        </w:rPr>
        <w:t xml:space="preserve"> также на обеспечени</w:t>
      </w:r>
      <w:r>
        <w:rPr>
          <w:sz w:val="28"/>
        </w:rPr>
        <w:t>е</w:t>
      </w:r>
      <w:r>
        <w:rPr>
          <w:sz w:val="28"/>
        </w:rPr>
        <w:t xml:space="preserve"> первичных мер пожарной безопасности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21000000">
      <w:pPr>
        <w:widowControl w:val="1"/>
        <w:ind w:firstLine="708" w:left="0"/>
        <w:jc w:val="both"/>
        <w:rPr>
          <w:sz w:val="28"/>
        </w:rPr>
      </w:pPr>
    </w:p>
    <w:p w14:paraId="22000000">
      <w:pPr>
        <w:widowControl w:val="1"/>
        <w:ind w:firstLine="708" w:left="0"/>
        <w:jc w:val="both"/>
        <w:rPr>
          <w:sz w:val="28"/>
        </w:rPr>
      </w:pPr>
      <w:r>
        <w:rPr>
          <w:b w:val="1"/>
          <w:sz w:val="28"/>
          <w:u w:val="single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2083435" cy="1327785"/>
            <wp:wrapSquare distL="114300" distR="114300" wrapText="bothSides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2083435" cy="13277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sz w:val="28"/>
        </w:rPr>
        <w:t xml:space="preserve">                  </w:t>
      </w:r>
      <w:r>
        <w:rPr>
          <w:b w:val="1"/>
          <w:sz w:val="28"/>
          <w:u w:val="single"/>
        </w:rPr>
        <w:t>«Национальная экономика»</w:t>
      </w:r>
      <w:r>
        <w:rPr>
          <w:b w:val="1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br/>
      </w:r>
      <w:r>
        <w:rPr>
          <w:sz w:val="28"/>
        </w:rPr>
        <w:t>на 2025 год</w:t>
      </w:r>
      <w:r>
        <w:rPr>
          <w:sz w:val="28"/>
        </w:rPr>
        <w:t xml:space="preserve"> запланированы ра</w:t>
      </w:r>
      <w:r>
        <w:rPr>
          <w:sz w:val="28"/>
        </w:rPr>
        <w:t xml:space="preserve">сходы </w:t>
      </w:r>
      <w:r>
        <w:rPr>
          <w:sz w:val="28"/>
        </w:rPr>
        <w:t xml:space="preserve"> </w:t>
      </w:r>
      <w:r>
        <w:rPr>
          <w:sz w:val="28"/>
        </w:rPr>
        <w:t xml:space="preserve">в сумме – </w:t>
      </w:r>
      <w:r>
        <w:rPr>
          <w:sz w:val="28"/>
        </w:rPr>
        <w:t>2354,3</w:t>
      </w:r>
      <w:r>
        <w:rPr>
          <w:sz w:val="28"/>
        </w:rPr>
        <w:t xml:space="preserve"> тыс. рублей</w:t>
      </w:r>
      <w:r>
        <w:rPr>
          <w:sz w:val="28"/>
        </w:rPr>
        <w:t xml:space="preserve">, </w:t>
      </w:r>
      <w:r>
        <w:rPr>
          <w:sz w:val="28"/>
        </w:rPr>
        <w:t xml:space="preserve">на 2026 год – </w:t>
      </w:r>
      <w:r>
        <w:rPr>
          <w:sz w:val="28"/>
        </w:rPr>
        <w:t>2407,4</w:t>
      </w:r>
      <w:r>
        <w:rPr>
          <w:sz w:val="28"/>
        </w:rPr>
        <w:t xml:space="preserve"> тыс. рублей</w:t>
      </w:r>
      <w:r>
        <w:rPr>
          <w:sz w:val="28"/>
        </w:rPr>
        <w:t xml:space="preserve">, </w:t>
      </w:r>
      <w:r>
        <w:rPr>
          <w:sz w:val="28"/>
        </w:rPr>
        <w:t>на 2027 год –3053,8</w:t>
      </w:r>
      <w:r>
        <w:rPr>
          <w:sz w:val="28"/>
        </w:rPr>
        <w:t xml:space="preserve"> тыс. рублей.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>Денежные средства будут направлены</w:t>
      </w:r>
      <w:r>
        <w:rPr>
          <w:sz w:val="28"/>
        </w:rPr>
        <w:t xml:space="preserve"> на</w:t>
      </w:r>
      <w:r>
        <w:rPr>
          <w:sz w:val="28"/>
        </w:rPr>
        <w:t>:</w:t>
      </w:r>
    </w:p>
    <w:p w14:paraId="23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 xml:space="preserve"> содержание дорог (</w:t>
      </w:r>
      <w:r>
        <w:rPr>
          <w:sz w:val="28"/>
        </w:rPr>
        <w:t>снегоуборка и посыпка песком в зимний период, содержание дорог в летний период);</w:t>
      </w:r>
    </w:p>
    <w:p w14:paraId="24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 xml:space="preserve">  </w:t>
      </w:r>
      <w:r>
        <w:rPr>
          <w:sz w:val="28"/>
        </w:rPr>
        <w:t>приобретение программного обеспечения для доступа к системе информационно-технического обеспечения;</w:t>
      </w:r>
    </w:p>
    <w:p w14:paraId="25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мероприятия по</w:t>
      </w:r>
      <w:r>
        <w:rPr>
          <w:sz w:val="28"/>
        </w:rPr>
        <w:t xml:space="preserve"> энергосбережени</w:t>
      </w:r>
      <w:r>
        <w:rPr>
          <w:sz w:val="28"/>
        </w:rPr>
        <w:t>ю</w:t>
      </w:r>
      <w:r>
        <w:rPr>
          <w:sz w:val="28"/>
        </w:rPr>
        <w:t xml:space="preserve"> (покупка энергосберегающих ламп для уличного освещения и их установка)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26000000">
      <w:pPr>
        <w:widowControl w:val="1"/>
        <w:ind w:firstLine="708" w:left="0"/>
        <w:jc w:val="both"/>
        <w:rPr>
          <w:sz w:val="28"/>
        </w:rPr>
      </w:pPr>
    </w:p>
    <w:p w14:paraId="27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1900554" cy="1519555"/>
            <wp:wrapSquare distL="114300" distR="114300" wrapText="bothSides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1900554" cy="15195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sz w:val="28"/>
        </w:rPr>
        <w:t xml:space="preserve">     </w:t>
      </w:r>
      <w:r>
        <w:rPr>
          <w:b w:val="1"/>
          <w:sz w:val="28"/>
          <w:u w:val="single"/>
        </w:rPr>
        <w:t>«</w:t>
      </w:r>
      <w:r>
        <w:rPr>
          <w:b w:val="1"/>
          <w:sz w:val="28"/>
          <w:u w:val="single"/>
        </w:rPr>
        <w:t>Жилищно-коммунальное</w:t>
      </w:r>
      <w:r>
        <w:rPr>
          <w:b w:val="1"/>
          <w:sz w:val="28"/>
          <w:u w:val="single"/>
        </w:rPr>
        <w:t xml:space="preserve"> х</w:t>
      </w:r>
      <w:r>
        <w:rPr>
          <w:b w:val="1"/>
          <w:sz w:val="28"/>
          <w:u w:val="single"/>
        </w:rPr>
        <w:t>озяйство</w:t>
      </w:r>
      <w:r>
        <w:rPr>
          <w:b w:val="1"/>
          <w:sz w:val="28"/>
          <w:u w:val="single"/>
        </w:rPr>
        <w:t>»</w:t>
      </w:r>
      <w:r>
        <w:rPr>
          <w:sz w:val="28"/>
        </w:rPr>
        <w:t xml:space="preserve"> запланированы</w:t>
      </w:r>
      <w:r>
        <w:rPr>
          <w:sz w:val="28"/>
        </w:rPr>
        <w:t xml:space="preserve"> расходы</w:t>
      </w:r>
      <w:r>
        <w:rPr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t>2025 год</w:t>
      </w:r>
      <w:r>
        <w:rPr>
          <w:sz w:val="28"/>
        </w:rPr>
        <w:t xml:space="preserve"> –</w:t>
      </w:r>
      <w:r>
        <w:rPr>
          <w:sz w:val="28"/>
        </w:rPr>
        <w:t xml:space="preserve"> 5 303,0</w:t>
      </w:r>
      <w:r>
        <w:rPr>
          <w:sz w:val="28"/>
        </w:rPr>
        <w:t xml:space="preserve"> тыс. руб</w:t>
      </w:r>
      <w:r>
        <w:rPr>
          <w:sz w:val="28"/>
        </w:rPr>
        <w:t xml:space="preserve">лей, </w:t>
      </w:r>
      <w:r>
        <w:rPr>
          <w:sz w:val="28"/>
        </w:rPr>
        <w:t>на 2026</w:t>
      </w:r>
      <w:r>
        <w:rPr>
          <w:sz w:val="28"/>
        </w:rPr>
        <w:t xml:space="preserve"> </w:t>
      </w:r>
      <w:r>
        <w:rPr>
          <w:sz w:val="28"/>
        </w:rPr>
        <w:t>год</w:t>
      </w:r>
      <w:r>
        <w:rPr>
          <w:sz w:val="28"/>
        </w:rPr>
        <w:t xml:space="preserve"> – </w:t>
      </w:r>
      <w:r>
        <w:rPr>
          <w:sz w:val="28"/>
        </w:rPr>
        <w:t>4 345,0</w:t>
      </w:r>
      <w:r>
        <w:rPr>
          <w:sz w:val="28"/>
        </w:rPr>
        <w:t xml:space="preserve"> тыс. руб</w:t>
      </w:r>
      <w:r>
        <w:rPr>
          <w:sz w:val="28"/>
        </w:rPr>
        <w:t>лей;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>на 2027 год</w:t>
      </w:r>
      <w:r>
        <w:rPr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4 321,1</w:t>
      </w:r>
      <w:r>
        <w:rPr>
          <w:sz w:val="28"/>
        </w:rPr>
        <w:t xml:space="preserve"> тыс. руб</w:t>
      </w:r>
      <w:r>
        <w:rPr>
          <w:sz w:val="28"/>
        </w:rPr>
        <w:t>лей.</w:t>
      </w:r>
    </w:p>
    <w:p w14:paraId="28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>Р</w:t>
      </w:r>
      <w:r>
        <w:rPr>
          <w:sz w:val="28"/>
        </w:rPr>
        <w:t xml:space="preserve">асходы </w:t>
      </w:r>
      <w:r>
        <w:rPr>
          <w:sz w:val="28"/>
        </w:rPr>
        <w:t xml:space="preserve">предусмотрены </w:t>
      </w:r>
      <w:r>
        <w:rPr>
          <w:sz w:val="28"/>
        </w:rPr>
        <w:t xml:space="preserve">на содержание муниципального имущества </w:t>
      </w:r>
      <w:r>
        <w:rPr>
          <w:sz w:val="28"/>
        </w:rPr>
        <w:t>(взносы на капитальный ремонт муниципального жилья, ремонт муниципального жилья)</w:t>
      </w:r>
      <w:r>
        <w:rPr>
          <w:sz w:val="28"/>
        </w:rPr>
        <w:t xml:space="preserve">, </w:t>
      </w:r>
      <w:r>
        <w:rPr>
          <w:sz w:val="28"/>
        </w:rPr>
        <w:t xml:space="preserve"> </w:t>
      </w:r>
      <w:r>
        <w:rPr>
          <w:sz w:val="28"/>
        </w:rPr>
        <w:t>на мероприятия по б</w:t>
      </w:r>
      <w:r>
        <w:rPr>
          <w:sz w:val="28"/>
        </w:rPr>
        <w:t>лагоустройств</w:t>
      </w:r>
      <w:r>
        <w:rPr>
          <w:sz w:val="28"/>
        </w:rPr>
        <w:t>у</w:t>
      </w:r>
      <w:r>
        <w:rPr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расходы на текущее содержание и обслуживание наружных сетей уличного освещения территории поселения, замену светильников, озеленение территорий, организацию и содержание мест захоронений, вырубку березняка, откос травы</w:t>
      </w:r>
      <w:r>
        <w:rPr>
          <w:sz w:val="28"/>
        </w:rPr>
        <w:t>)</w:t>
      </w:r>
      <w:r>
        <w:rPr>
          <w:sz w:val="28"/>
        </w:rPr>
        <w:t>.</w:t>
      </w:r>
    </w:p>
    <w:p w14:paraId="29000000">
      <w:pPr>
        <w:widowControl w:val="1"/>
        <w:ind w:firstLine="708" w:left="0"/>
        <w:jc w:val="both"/>
        <w:rPr>
          <w:sz w:val="28"/>
        </w:rPr>
      </w:pPr>
    </w:p>
    <w:p w14:paraId="2A000000">
      <w:pPr>
        <w:widowControl w:val="1"/>
        <w:ind w:firstLine="708" w:left="0"/>
        <w:jc w:val="both"/>
        <w:rPr>
          <w:sz w:val="28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-2540</wp:posOffset>
            </wp:positionH>
            <wp:positionV relativeFrom="paragraph">
              <wp:posOffset>197485</wp:posOffset>
            </wp:positionV>
            <wp:extent cx="2706370" cy="1876425"/>
            <wp:wrapSquare distL="114300" distR="114300" wrapText="bothSides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706370" cy="18764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B000000">
      <w:pPr>
        <w:widowControl w:val="1"/>
        <w:ind w:firstLine="708" w:left="0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b w:val="1"/>
          <w:sz w:val="28"/>
          <w:u w:val="single"/>
        </w:rPr>
        <w:t>«Культу</w:t>
      </w:r>
      <w:r>
        <w:rPr>
          <w:b w:val="1"/>
          <w:sz w:val="28"/>
          <w:u w:val="single"/>
        </w:rPr>
        <w:t>ра</w:t>
      </w:r>
      <w:r>
        <w:rPr>
          <w:b w:val="1"/>
          <w:sz w:val="28"/>
          <w:u w:val="single"/>
        </w:rPr>
        <w:t>,</w:t>
      </w:r>
      <w:r>
        <w:rPr>
          <w:b w:val="1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>кинематография</w:t>
      </w:r>
      <w:r>
        <w:rPr>
          <w:b w:val="1"/>
          <w:sz w:val="28"/>
          <w:u w:val="single"/>
        </w:rPr>
        <w:t>»</w:t>
      </w:r>
      <w:r>
        <w:rPr>
          <w:sz w:val="28"/>
        </w:rPr>
        <w:t xml:space="preserve"> запланированы расходы</w:t>
      </w:r>
      <w:r>
        <w:rPr>
          <w:sz w:val="28"/>
        </w:rPr>
        <w:t xml:space="preserve"> на 2</w:t>
      </w:r>
      <w:r>
        <w:rPr>
          <w:sz w:val="28"/>
        </w:rPr>
        <w:t xml:space="preserve">025 год – </w:t>
      </w:r>
      <w:r>
        <w:rPr>
          <w:sz w:val="28"/>
        </w:rPr>
        <w:t xml:space="preserve">18 519,0 </w:t>
      </w:r>
      <w:r>
        <w:rPr>
          <w:sz w:val="28"/>
        </w:rPr>
        <w:t>тыс. рублей</w:t>
      </w:r>
      <w:r>
        <w:rPr>
          <w:sz w:val="28"/>
        </w:rPr>
        <w:t>,</w:t>
      </w:r>
      <w:r>
        <w:rPr>
          <w:sz w:val="28"/>
        </w:rPr>
        <w:t xml:space="preserve"> 2026 год – </w:t>
      </w:r>
      <w:r>
        <w:rPr>
          <w:sz w:val="28"/>
        </w:rPr>
        <w:t xml:space="preserve">14 541,2 </w:t>
      </w:r>
      <w:r>
        <w:rPr>
          <w:sz w:val="28"/>
        </w:rPr>
        <w:t>тыс. рублей</w:t>
      </w:r>
      <w:r>
        <w:rPr>
          <w:sz w:val="28"/>
        </w:rPr>
        <w:t xml:space="preserve">, </w:t>
      </w:r>
      <w:r>
        <w:rPr>
          <w:sz w:val="28"/>
        </w:rPr>
        <w:t xml:space="preserve">2027 год – </w:t>
      </w:r>
      <w:r>
        <w:rPr>
          <w:sz w:val="28"/>
        </w:rPr>
        <w:t>14 794,7</w:t>
      </w:r>
      <w:r>
        <w:rPr>
          <w:sz w:val="28"/>
        </w:rPr>
        <w:t xml:space="preserve"> тыс. рублей.</w:t>
      </w:r>
    </w:p>
    <w:p w14:paraId="2C000000">
      <w:pPr>
        <w:widowControl w:val="1"/>
        <w:tabs>
          <w:tab w:leader="none" w:pos="2660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По данному разделу предусмотрены расходы на </w:t>
      </w:r>
      <w:r>
        <w:rPr>
          <w:sz w:val="28"/>
        </w:rPr>
        <w:t>вы</w:t>
      </w:r>
      <w:r>
        <w:rPr>
          <w:sz w:val="28"/>
        </w:rPr>
        <w:t>плату заработной платы и начисления на оплату труда, льготный проезд, оплат</w:t>
      </w:r>
      <w:r>
        <w:rPr>
          <w:sz w:val="28"/>
        </w:rPr>
        <w:t>у</w:t>
      </w:r>
      <w:r>
        <w:rPr>
          <w:sz w:val="28"/>
        </w:rPr>
        <w:t xml:space="preserve"> коммунальных услуг, </w:t>
      </w:r>
      <w:r>
        <w:rPr>
          <w:sz w:val="28"/>
        </w:rPr>
        <w:t>на подготовку и проведение праздничных мероприятий</w:t>
      </w:r>
      <w:r>
        <w:rPr>
          <w:sz w:val="28"/>
        </w:rPr>
        <w:t>, награждений.</w:t>
      </w:r>
      <w:r>
        <w:rPr>
          <w:sz w:val="28"/>
        </w:rPr>
        <w:t xml:space="preserve"> </w:t>
      </w:r>
      <w:r>
        <w:rPr>
          <w:sz w:val="28"/>
        </w:rPr>
        <w:t>Также предусмотрены расходы на организацию физкультурно-оздоровительных и спортивных мероприятий.</w:t>
      </w:r>
    </w:p>
    <w:p w14:paraId="2D000000">
      <w:pPr>
        <w:widowControl w:val="1"/>
        <w:ind w:firstLine="708" w:left="0"/>
        <w:jc w:val="both"/>
        <w:rPr>
          <w:sz w:val="28"/>
          <w:highlight w:val="cyan"/>
          <w:u w:val="single"/>
        </w:rPr>
      </w:pPr>
    </w:p>
    <w:p w14:paraId="2E000000">
      <w:pPr>
        <w:widowControl w:val="1"/>
        <w:ind w:firstLine="708" w:left="0"/>
        <w:jc w:val="both"/>
        <w:rPr>
          <w:sz w:val="28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-2540</wp:posOffset>
            </wp:positionH>
            <wp:positionV relativeFrom="paragraph">
              <wp:posOffset>88900</wp:posOffset>
            </wp:positionV>
            <wp:extent cx="2399665" cy="1701800"/>
            <wp:wrapSquare distL="114300" distR="114300" wrapText="bothSides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2399665" cy="17018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302260" cy="302260"/>
                <wp:docPr hidden="false" id="19" name="Picture 1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8"/>
          <w:u w:val="single"/>
        </w:rPr>
        <w:t>«Социальная политика»</w:t>
      </w:r>
      <w:r>
        <w:rPr>
          <w:b w:val="1"/>
          <w:sz w:val="28"/>
          <w:u w:val="single"/>
        </w:rPr>
        <w:br/>
      </w:r>
      <w:r>
        <w:rPr>
          <w:sz w:val="28"/>
        </w:rPr>
        <w:t>н</w:t>
      </w:r>
      <w:r>
        <w:rPr>
          <w:sz w:val="28"/>
        </w:rPr>
        <w:t>а 2025 и  пл</w:t>
      </w:r>
      <w:r>
        <w:rPr>
          <w:sz w:val="28"/>
        </w:rPr>
        <w:t>ановый период 20</w:t>
      </w:r>
      <w:r>
        <w:rPr>
          <w:sz w:val="28"/>
        </w:rPr>
        <w:t>2</w:t>
      </w:r>
      <w:r>
        <w:rPr>
          <w:sz w:val="28"/>
        </w:rPr>
        <w:t xml:space="preserve">6-2027 годы </w:t>
      </w:r>
      <w:r>
        <w:rPr>
          <w:sz w:val="28"/>
        </w:rPr>
        <w:t>запланированы</w:t>
      </w:r>
      <w:r>
        <w:rPr>
          <w:sz w:val="28"/>
        </w:rPr>
        <w:t xml:space="preserve"> </w:t>
      </w:r>
      <w:r>
        <w:rPr>
          <w:sz w:val="28"/>
        </w:rPr>
        <w:t>расходы</w:t>
      </w:r>
      <w:r>
        <w:rPr>
          <w:sz w:val="28"/>
        </w:rPr>
        <w:t xml:space="preserve"> на </w:t>
      </w:r>
      <w:r>
        <w:rPr>
          <w:sz w:val="28"/>
        </w:rPr>
        <w:t xml:space="preserve"> пенсионное обеспечение (доплаты к пенсиям бывших  муниципальных</w:t>
      </w:r>
      <w:r>
        <w:rPr>
          <w:sz w:val="28"/>
        </w:rPr>
        <w:t xml:space="preserve"> </w:t>
      </w:r>
      <w:r>
        <w:rPr>
          <w:sz w:val="28"/>
        </w:rPr>
        <w:t xml:space="preserve"> служащих) </w:t>
      </w:r>
      <w:r>
        <w:rPr>
          <w:sz w:val="28"/>
        </w:rPr>
        <w:t xml:space="preserve"> </w:t>
      </w:r>
      <w:r>
        <w:rPr>
          <w:sz w:val="28"/>
        </w:rPr>
        <w:t>в сумме</w:t>
      </w:r>
      <w:r>
        <w:rPr>
          <w:sz w:val="28"/>
        </w:rPr>
        <w:t xml:space="preserve"> </w:t>
      </w:r>
      <w:r>
        <w:rPr>
          <w:sz w:val="28"/>
        </w:rPr>
        <w:t>546,5</w:t>
      </w:r>
      <w:r>
        <w:rPr>
          <w:sz w:val="28"/>
        </w:rPr>
        <w:br/>
      </w:r>
      <w:r>
        <w:rPr>
          <w:sz w:val="28"/>
        </w:rPr>
        <w:t>тыс. рублей</w:t>
      </w:r>
      <w:r>
        <w:rPr>
          <w:sz w:val="28"/>
        </w:rPr>
        <w:t xml:space="preserve"> ежегодно</w:t>
      </w:r>
      <w:r>
        <w:rPr>
          <w:sz w:val="28"/>
        </w:rPr>
        <w:t>.</w:t>
      </w:r>
    </w:p>
    <w:p w14:paraId="2F000000">
      <w:pPr>
        <w:widowControl w:val="1"/>
        <w:ind w:firstLine="708" w:left="0"/>
        <w:jc w:val="both"/>
        <w:rPr>
          <w:sz w:val="28"/>
        </w:rPr>
      </w:pPr>
    </w:p>
    <w:p w14:paraId="30000000">
      <w:pPr>
        <w:widowControl w:val="1"/>
        <w:ind w:firstLine="708" w:left="0"/>
        <w:jc w:val="both"/>
        <w:rPr>
          <w:sz w:val="28"/>
        </w:rPr>
      </w:pPr>
    </w:p>
    <w:p w14:paraId="31000000">
      <w:pPr>
        <w:widowControl w:val="1"/>
        <w:ind w:firstLine="708" w:left="0"/>
        <w:jc w:val="both"/>
        <w:rPr>
          <w:sz w:val="28"/>
        </w:rPr>
      </w:pPr>
    </w:p>
    <w:p w14:paraId="32000000">
      <w:pPr>
        <w:widowControl w:val="1"/>
        <w:ind w:firstLine="708" w:left="0"/>
        <w:jc w:val="both"/>
        <w:rPr>
          <w:sz w:val="28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-2540</wp:posOffset>
            </wp:positionH>
            <wp:positionV relativeFrom="paragraph">
              <wp:posOffset>204470</wp:posOffset>
            </wp:positionV>
            <wp:extent cx="2245995" cy="1670050"/>
            <wp:wrapSquare distL="114300" distR="114300" wrapText="bothSides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2245995" cy="16700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sz w:val="28"/>
        </w:rPr>
        <w:t xml:space="preserve">                                                          </w:t>
      </w:r>
      <w:r>
        <w:rPr>
          <w:b w:val="1"/>
          <w:sz w:val="28"/>
          <w:u w:val="single"/>
        </w:rPr>
        <w:t>«</w:t>
      </w:r>
      <w:r>
        <w:rPr>
          <w:b w:val="1"/>
          <w:sz w:val="28"/>
          <w:u w:val="single"/>
        </w:rPr>
        <w:t>Физическая культура и спорт</w:t>
      </w:r>
      <w:r>
        <w:rPr>
          <w:b w:val="1"/>
          <w:sz w:val="28"/>
          <w:u w:val="single"/>
        </w:rPr>
        <w:t>»</w:t>
      </w:r>
      <w:r>
        <w:rPr>
          <w:b w:val="1"/>
          <w:sz w:val="28"/>
          <w:u w:val="single"/>
        </w:rPr>
        <w:br/>
      </w:r>
      <w:r>
        <w:rPr>
          <w:sz w:val="28"/>
        </w:rPr>
        <w:t xml:space="preserve">на 2025 год – 1 678,0 тыс.рублей и плановый период </w:t>
      </w:r>
      <w:r>
        <w:rPr>
          <w:sz w:val="28"/>
        </w:rPr>
        <w:t xml:space="preserve">2026-2027 годы </w:t>
      </w:r>
      <w:r>
        <w:rPr>
          <w:sz w:val="28"/>
        </w:rPr>
        <w:t>запланированы</w:t>
      </w:r>
      <w:r>
        <w:rPr>
          <w:sz w:val="28"/>
        </w:rPr>
        <w:t xml:space="preserve"> расходы</w:t>
      </w:r>
      <w:r>
        <w:rPr>
          <w:sz w:val="28"/>
        </w:rPr>
        <w:t xml:space="preserve"> в сумме по</w:t>
      </w:r>
      <w:r>
        <w:rPr>
          <w:sz w:val="28"/>
        </w:rPr>
        <w:t xml:space="preserve"> </w:t>
      </w:r>
      <w:r>
        <w:rPr>
          <w:sz w:val="28"/>
        </w:rPr>
        <w:t>2 052,0</w:t>
      </w:r>
      <w:r>
        <w:rPr>
          <w:sz w:val="28"/>
        </w:rPr>
        <w:t xml:space="preserve"> тыс. рублей</w:t>
      </w:r>
      <w:r>
        <w:rPr>
          <w:sz w:val="28"/>
        </w:rPr>
        <w:t xml:space="preserve">. </w:t>
      </w:r>
      <w:r>
        <w:rPr>
          <w:sz w:val="28"/>
        </w:rPr>
        <w:t xml:space="preserve">Бюджетные ассигнования </w:t>
      </w:r>
      <w:r>
        <w:rPr>
          <w:sz w:val="28"/>
        </w:rPr>
        <w:t>будут направлены</w:t>
      </w:r>
      <w:r>
        <w:rPr>
          <w:sz w:val="28"/>
        </w:rPr>
        <w:t xml:space="preserve"> на выплату заработной платы</w:t>
      </w:r>
      <w:r>
        <w:rPr>
          <w:sz w:val="28"/>
        </w:rPr>
        <w:t xml:space="preserve"> с учетом начислений</w:t>
      </w:r>
      <w:r>
        <w:rPr>
          <w:sz w:val="28"/>
        </w:rPr>
        <w:t xml:space="preserve"> на оплату труда</w:t>
      </w:r>
      <w:r>
        <w:rPr>
          <w:sz w:val="28"/>
        </w:rPr>
        <w:t xml:space="preserve"> и </w:t>
      </w:r>
      <w:r>
        <w:rPr>
          <w:sz w:val="28"/>
        </w:rPr>
        <w:t xml:space="preserve">оплату </w:t>
      </w:r>
      <w:r>
        <w:rPr>
          <w:sz w:val="28"/>
        </w:rPr>
        <w:t>льготного проезда, прочая закупка товара.</w:t>
      </w:r>
    </w:p>
    <w:p w14:paraId="33000000">
      <w:pPr>
        <w:widowControl w:val="1"/>
        <w:tabs>
          <w:tab w:leader="none" w:pos="2660" w:val="left"/>
        </w:tabs>
        <w:ind w:firstLine="709" w:left="0"/>
        <w:jc w:val="both"/>
        <w:rPr>
          <w:sz w:val="28"/>
        </w:rPr>
      </w:pPr>
    </w:p>
    <w:p w14:paraId="34000000">
      <w:pPr>
        <w:widowControl w:val="1"/>
        <w:ind/>
        <w:jc w:val="both"/>
        <w:rPr>
          <w:color w:val="000000"/>
          <w:sz w:val="28"/>
        </w:rPr>
      </w:pPr>
    </w:p>
    <w:p w14:paraId="35000000">
      <w:pPr>
        <w:widowControl w:val="1"/>
        <w:ind/>
        <w:jc w:val="both"/>
        <w:rPr>
          <w:color w:val="000000"/>
          <w:sz w:val="28"/>
        </w:rPr>
      </w:pPr>
    </w:p>
    <w:p w14:paraId="36000000">
      <w:pPr>
        <w:widowControl w:val="1"/>
        <w:ind/>
        <w:jc w:val="both"/>
        <w:rPr>
          <w:color w:val="000000"/>
          <w:sz w:val="28"/>
        </w:rPr>
      </w:pPr>
    </w:p>
    <w:p w14:paraId="37000000">
      <w:pPr>
        <w:widowControl w:val="1"/>
        <w:ind/>
        <w:jc w:val="both"/>
        <w:rPr>
          <w:color w:val="000000"/>
          <w:sz w:val="28"/>
        </w:rPr>
      </w:pPr>
    </w:p>
    <w:p w14:paraId="38000000">
      <w:pPr>
        <w:widowControl w:val="1"/>
        <w:ind/>
        <w:jc w:val="both"/>
        <w:rPr>
          <w:color w:val="000000"/>
          <w:sz w:val="28"/>
        </w:rPr>
      </w:pPr>
    </w:p>
    <w:p w14:paraId="39000000">
      <w:pPr>
        <w:widowControl w:val="1"/>
        <w:ind/>
        <w:jc w:val="both"/>
        <w:rPr>
          <w:color w:val="000000"/>
          <w:sz w:val="28"/>
        </w:rPr>
      </w:pPr>
    </w:p>
    <w:p w14:paraId="3A000000">
      <w:pPr>
        <w:widowControl w:val="1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Глава</w:t>
      </w:r>
    </w:p>
    <w:p w14:paraId="3B000000">
      <w:pPr>
        <w:widowControl w:val="1"/>
        <w:ind/>
        <w:jc w:val="both"/>
        <w:rPr>
          <w:sz w:val="20"/>
        </w:rPr>
      </w:pPr>
      <w:r>
        <w:rPr>
          <w:color w:val="000000"/>
          <w:sz w:val="28"/>
        </w:rPr>
        <w:t xml:space="preserve">сельского </w:t>
      </w:r>
      <w:r>
        <w:rPr>
          <w:color w:val="000000"/>
          <w:sz w:val="28"/>
        </w:rPr>
        <w:t xml:space="preserve">поселения </w:t>
      </w:r>
      <w:r>
        <w:rPr>
          <w:sz w:val="28"/>
        </w:rPr>
        <w:t>Селиярово</w:t>
      </w:r>
      <w:r>
        <w:rPr>
          <w:color w:val="000000"/>
          <w:sz w:val="28"/>
        </w:rPr>
        <w:t xml:space="preserve">                                         </w:t>
      </w:r>
      <w:r>
        <w:rPr>
          <w:color w:val="000000"/>
          <w:sz w:val="28"/>
        </w:rPr>
        <w:t>С.В.Маркова</w:t>
      </w:r>
    </w:p>
    <w:p w14:paraId="3C000000">
      <w:pPr>
        <w:widowControl w:val="1"/>
        <w:ind/>
        <w:jc w:val="both"/>
        <w:rPr>
          <w:sz w:val="20"/>
        </w:rPr>
      </w:pPr>
    </w:p>
    <w:sectPr>
      <w:footerReference r:id="rId1" w:type="default"/>
      <w:pgSz w:h="16840" w:orient="portrait" w:w="11907"/>
      <w:pgMar w:bottom="1134" w:footer="720" w:gutter="0" w:header="720" w:left="1701" w:right="851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)"/>
      <w:lvlJc w:val="left"/>
      <w:pPr>
        <w:ind w:hanging="360" w:left="1068"/>
      </w:pPr>
    </w:lvl>
    <w:lvl w:ilvl="1">
      <w:start w:val="1"/>
      <w:numFmt w:val="lowerLetter"/>
      <w:lvlText w:val="%2."/>
      <w:lvlJc w:val="left"/>
      <w:pPr>
        <w:ind w:hanging="360" w:left="1788"/>
      </w:pPr>
    </w:lvl>
    <w:lvl w:ilvl="2">
      <w:start w:val="1"/>
      <w:numFmt w:val="lowerRoman"/>
      <w:lvlText w:val="%3."/>
      <w:lvlJc w:val="right"/>
      <w:pPr>
        <w:ind w:hanging="180" w:left="2508"/>
      </w:pPr>
    </w:lvl>
    <w:lvl w:ilvl="3">
      <w:start w:val="1"/>
      <w:numFmt w:val="decimal"/>
      <w:lvlText w:val="%4."/>
      <w:lvlJc w:val="left"/>
      <w:pPr>
        <w:ind w:hanging="360" w:left="3228"/>
      </w:pPr>
    </w:lvl>
    <w:lvl w:ilvl="4">
      <w:start w:val="1"/>
      <w:numFmt w:val="lowerLetter"/>
      <w:lvlText w:val="%5."/>
      <w:lvlJc w:val="left"/>
      <w:pPr>
        <w:ind w:hanging="360" w:left="3948"/>
      </w:pPr>
    </w:lvl>
    <w:lvl w:ilvl="5">
      <w:start w:val="1"/>
      <w:numFmt w:val="lowerRoman"/>
      <w:lvlText w:val="%6."/>
      <w:lvlJc w:val="right"/>
      <w:pPr>
        <w:ind w:hanging="180" w:left="4668"/>
      </w:pPr>
    </w:lvl>
    <w:lvl w:ilvl="6">
      <w:start w:val="1"/>
      <w:numFmt w:val="decimal"/>
      <w:lvlText w:val="%7."/>
      <w:lvlJc w:val="left"/>
      <w:pPr>
        <w:ind w:hanging="360" w:left="5388"/>
      </w:pPr>
    </w:lvl>
    <w:lvl w:ilvl="7">
      <w:start w:val="1"/>
      <w:numFmt w:val="lowerLetter"/>
      <w:lvlText w:val="%8."/>
      <w:lvlJc w:val="left"/>
      <w:pPr>
        <w:ind w:hanging="360" w:left="6108"/>
      </w:pPr>
    </w:lvl>
    <w:lvl w:ilvl="8">
      <w:start w:val="1"/>
      <w:numFmt w:val="lowerRoman"/>
      <w:lvlText w:val="%9."/>
      <w:lvlJc w:val="right"/>
      <w:pPr>
        <w:ind w:hanging="180" w:left="6828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0"/>
      <w:ind/>
    </w:pPr>
    <w:rPr>
      <w:sz w:val="24"/>
    </w:rPr>
  </w:style>
  <w:style w:default="1" w:styleId="Style_5_ch" w:type="character">
    <w:name w:val="Normal"/>
    <w:link w:val="Style_5"/>
    <w:rPr>
      <w:sz w:val="24"/>
    </w:rPr>
  </w:style>
  <w:style w:styleId="Style_1" w:type="paragraph">
    <w:name w:val="footer"/>
    <w:basedOn w:val="Style_5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5_ch"/>
    <w:link w:val="Style_1"/>
  </w:style>
  <w:style w:styleId="Style_6" w:type="paragraph">
    <w:name w:val="Style15"/>
    <w:basedOn w:val="Style_5"/>
    <w:link w:val="Style_6_ch"/>
    <w:pPr>
      <w:spacing w:line="324" w:lineRule="exact"/>
      <w:ind w:firstLine="1762" w:left="0"/>
    </w:pPr>
  </w:style>
  <w:style w:styleId="Style_6_ch" w:type="character">
    <w:name w:val="Style15"/>
    <w:basedOn w:val="Style_5_ch"/>
    <w:link w:val="Style_6"/>
  </w:style>
  <w:style w:styleId="Style_7" w:type="paragraph">
    <w:name w:val="toc 2"/>
    <w:next w:val="Style_5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2" w:type="paragraph">
    <w:name w:val="Style7"/>
    <w:basedOn w:val="Style_5"/>
    <w:link w:val="Style_2_ch"/>
    <w:pPr>
      <w:spacing w:line="320" w:lineRule="exact"/>
      <w:ind w:firstLine="701" w:left="0"/>
      <w:jc w:val="both"/>
    </w:pPr>
  </w:style>
  <w:style w:styleId="Style_2_ch" w:type="character">
    <w:name w:val="Style7"/>
    <w:basedOn w:val="Style_5_ch"/>
    <w:link w:val="Style_2"/>
  </w:style>
  <w:style w:styleId="Style_8" w:type="paragraph">
    <w:name w:val="constitle"/>
    <w:basedOn w:val="Style_5"/>
    <w:link w:val="Style_8_ch"/>
    <w:pPr>
      <w:widowControl w:val="1"/>
      <w:spacing w:afterAutospacing="on" w:beforeAutospacing="on"/>
      <w:ind/>
    </w:pPr>
  </w:style>
  <w:style w:styleId="Style_8_ch" w:type="character">
    <w:name w:val="constitle"/>
    <w:basedOn w:val="Style_5_ch"/>
    <w:link w:val="Style_8"/>
  </w:style>
  <w:style w:styleId="Style_9" w:type="paragraph">
    <w:name w:val="toc 4"/>
    <w:next w:val="Style_5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5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5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er"/>
    <w:basedOn w:val="Style_5"/>
    <w:link w:val="Style_12_ch"/>
    <w:pPr>
      <w:tabs>
        <w:tab w:leader="none" w:pos="4677" w:val="center"/>
        <w:tab w:leader="none" w:pos="9355" w:val="right"/>
      </w:tabs>
      <w:ind/>
    </w:pPr>
  </w:style>
  <w:style w:styleId="Style_12_ch" w:type="character">
    <w:name w:val="header"/>
    <w:basedOn w:val="Style_5_ch"/>
    <w:link w:val="Style_12"/>
  </w:style>
  <w:style w:styleId="Style_13" w:type="paragraph">
    <w:name w:val="Style1"/>
    <w:basedOn w:val="Style_5"/>
    <w:link w:val="Style_13_ch"/>
    <w:pPr>
      <w:spacing w:line="304" w:lineRule="exact"/>
      <w:ind/>
      <w:jc w:val="center"/>
    </w:pPr>
  </w:style>
  <w:style w:styleId="Style_13_ch" w:type="character">
    <w:name w:val="Style1"/>
    <w:basedOn w:val="Style_5_ch"/>
    <w:link w:val="Style_13"/>
  </w:style>
  <w:style w:styleId="Style_14" w:type="paragraph">
    <w:name w:val="heading 3"/>
    <w:next w:val="Style_5"/>
    <w:link w:val="Style_1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5" w:type="paragraph">
    <w:name w:val="Style19"/>
    <w:basedOn w:val="Style_5"/>
    <w:link w:val="Style_15_ch"/>
    <w:pPr>
      <w:spacing w:line="318" w:lineRule="exact"/>
      <w:ind w:firstLine="341" w:left="0"/>
      <w:jc w:val="both"/>
    </w:pPr>
  </w:style>
  <w:style w:styleId="Style_15_ch" w:type="character">
    <w:name w:val="Style19"/>
    <w:basedOn w:val="Style_5_ch"/>
    <w:link w:val="Style_15"/>
  </w:style>
  <w:style w:styleId="Style_16" w:type="paragraph">
    <w:name w:val="Style5"/>
    <w:basedOn w:val="Style_5"/>
    <w:link w:val="Style_16_ch"/>
  </w:style>
  <w:style w:styleId="Style_16_ch" w:type="character">
    <w:name w:val="Style5"/>
    <w:basedOn w:val="Style_5_ch"/>
    <w:link w:val="Style_16"/>
  </w:style>
  <w:style w:styleId="Style_17" w:type="paragraph">
    <w:name w:val="Body Text"/>
    <w:basedOn w:val="Style_5"/>
    <w:link w:val="Style_17_ch"/>
    <w:pPr>
      <w:widowControl w:val="1"/>
      <w:spacing w:after="120" w:line="276" w:lineRule="auto"/>
      <w:ind/>
    </w:pPr>
    <w:rPr>
      <w:rFonts w:ascii="Calibri" w:hAnsi="Calibri"/>
      <w:sz w:val="22"/>
    </w:rPr>
  </w:style>
  <w:style w:styleId="Style_17_ch" w:type="character">
    <w:name w:val="Body Text"/>
    <w:basedOn w:val="Style_5_ch"/>
    <w:link w:val="Style_17"/>
    <w:rPr>
      <w:rFonts w:ascii="Calibri" w:hAnsi="Calibri"/>
      <w:sz w:val="22"/>
    </w:rPr>
  </w:style>
  <w:style w:styleId="Style_18" w:type="paragraph">
    <w:name w:val="Style10"/>
    <w:basedOn w:val="Style_5"/>
    <w:link w:val="Style_18_ch"/>
  </w:style>
  <w:style w:styleId="Style_18_ch" w:type="character">
    <w:name w:val="Style10"/>
    <w:basedOn w:val="Style_5_ch"/>
    <w:link w:val="Style_18"/>
  </w:style>
  <w:style w:styleId="Style_19" w:type="paragraph">
    <w:name w:val="Style17"/>
    <w:basedOn w:val="Style_5"/>
    <w:link w:val="Style_19_ch"/>
    <w:pPr>
      <w:spacing w:line="317" w:lineRule="exact"/>
      <w:ind/>
      <w:jc w:val="both"/>
    </w:pPr>
  </w:style>
  <w:style w:styleId="Style_19_ch" w:type="character">
    <w:name w:val="Style17"/>
    <w:basedOn w:val="Style_5_ch"/>
    <w:link w:val="Style_19"/>
  </w:style>
  <w:style w:styleId="Style_20" w:type="paragraph">
    <w:name w:val="Style13"/>
    <w:basedOn w:val="Style_5"/>
    <w:link w:val="Style_20_ch"/>
  </w:style>
  <w:style w:styleId="Style_20_ch" w:type="character">
    <w:name w:val="Style13"/>
    <w:basedOn w:val="Style_5_ch"/>
    <w:link w:val="Style_20"/>
  </w:style>
  <w:style w:styleId="Style_21" w:type="paragraph">
    <w:name w:val="Style3"/>
    <w:basedOn w:val="Style_5"/>
    <w:link w:val="Style_21_ch"/>
    <w:pPr>
      <w:ind/>
      <w:jc w:val="both"/>
    </w:pPr>
  </w:style>
  <w:style w:styleId="Style_21_ch" w:type="character">
    <w:name w:val="Style3"/>
    <w:basedOn w:val="Style_5_ch"/>
    <w:link w:val="Style_21"/>
  </w:style>
  <w:style w:styleId="Style_22" w:type="paragraph">
    <w:name w:val="Style2"/>
    <w:basedOn w:val="Style_5"/>
    <w:link w:val="Style_22_ch"/>
  </w:style>
  <w:style w:styleId="Style_22_ch" w:type="character">
    <w:name w:val="Style2"/>
    <w:basedOn w:val="Style_5_ch"/>
    <w:link w:val="Style_22"/>
  </w:style>
  <w:style w:styleId="Style_23" w:type="paragraph">
    <w:name w:val="Style9"/>
    <w:basedOn w:val="Style_5"/>
    <w:link w:val="Style_23_ch"/>
    <w:pPr>
      <w:spacing w:line="312" w:lineRule="exact"/>
      <w:ind w:hanging="250" w:left="250"/>
    </w:pPr>
  </w:style>
  <w:style w:styleId="Style_23_ch" w:type="character">
    <w:name w:val="Style9"/>
    <w:basedOn w:val="Style_5_ch"/>
    <w:link w:val="Style_23"/>
  </w:style>
  <w:style w:styleId="Style_24" w:type="paragraph">
    <w:name w:val="toc 3"/>
    <w:next w:val="Style_5"/>
    <w:link w:val="Style_2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4_ch" w:type="character">
    <w:name w:val="toc 3"/>
    <w:link w:val="Style_24"/>
    <w:rPr>
      <w:rFonts w:ascii="XO Thames" w:hAnsi="XO Thames"/>
      <w:sz w:val="28"/>
    </w:rPr>
  </w:style>
  <w:style w:styleId="Style_25" w:type="paragraph">
    <w:name w:val="Body Text Indent 3"/>
    <w:basedOn w:val="Style_5"/>
    <w:link w:val="Style_25_ch"/>
    <w:pPr>
      <w:widowControl w:val="1"/>
      <w:spacing w:after="120"/>
      <w:ind w:firstLine="0" w:left="283"/>
    </w:pPr>
    <w:rPr>
      <w:sz w:val="16"/>
    </w:rPr>
  </w:style>
  <w:style w:styleId="Style_25_ch" w:type="character">
    <w:name w:val="Body Text Indent 3"/>
    <w:basedOn w:val="Style_5_ch"/>
    <w:link w:val="Style_25"/>
    <w:rPr>
      <w:sz w:val="16"/>
    </w:rPr>
  </w:style>
  <w:style w:styleId="Style_3" w:type="paragraph">
    <w:name w:val="Font Style24"/>
    <w:link w:val="Style_3_ch"/>
    <w:rPr>
      <w:rFonts w:ascii="Times New Roman" w:hAnsi="Times New Roman"/>
      <w:sz w:val="26"/>
    </w:rPr>
  </w:style>
  <w:style w:styleId="Style_3_ch" w:type="character">
    <w:name w:val="Font Style24"/>
    <w:link w:val="Style_3"/>
    <w:rPr>
      <w:rFonts w:ascii="Times New Roman" w:hAnsi="Times New Roman"/>
      <w:sz w:val="26"/>
    </w:rPr>
  </w:style>
  <w:style w:styleId="Style_26" w:type="paragraph">
    <w:name w:val="Style20"/>
    <w:basedOn w:val="Style_5"/>
    <w:link w:val="Style_26_ch"/>
    <w:pPr>
      <w:spacing w:line="315" w:lineRule="exact"/>
      <w:ind w:firstLine="2760" w:left="0"/>
    </w:pPr>
  </w:style>
  <w:style w:styleId="Style_26_ch" w:type="character">
    <w:name w:val="Style20"/>
    <w:basedOn w:val="Style_5_ch"/>
    <w:link w:val="Style_26"/>
  </w:style>
  <w:style w:styleId="Style_27" w:type="paragraph">
    <w:name w:val="Style14"/>
    <w:basedOn w:val="Style_5"/>
    <w:link w:val="Style_27_ch"/>
    <w:pPr>
      <w:spacing w:line="314" w:lineRule="exact"/>
      <w:ind/>
      <w:jc w:val="center"/>
    </w:pPr>
  </w:style>
  <w:style w:styleId="Style_27_ch" w:type="character">
    <w:name w:val="Style14"/>
    <w:basedOn w:val="Style_5_ch"/>
    <w:link w:val="Style_27"/>
  </w:style>
  <w:style w:styleId="Style_28" w:type="paragraph">
    <w:name w:val="heading 5"/>
    <w:next w:val="Style_5"/>
    <w:link w:val="Style_2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8_ch" w:type="character">
    <w:name w:val="heading 5"/>
    <w:link w:val="Style_28"/>
    <w:rPr>
      <w:rFonts w:ascii="XO Thames" w:hAnsi="XO Thames"/>
      <w:b w:val="1"/>
      <w:sz w:val="22"/>
    </w:rPr>
  </w:style>
  <w:style w:styleId="Style_29" w:type="paragraph">
    <w:name w:val="Style4"/>
    <w:basedOn w:val="Style_5"/>
    <w:link w:val="Style_29_ch"/>
    <w:pPr>
      <w:spacing w:line="322" w:lineRule="exact"/>
      <w:ind w:firstLine="490" w:left="0"/>
      <w:jc w:val="both"/>
    </w:pPr>
  </w:style>
  <w:style w:styleId="Style_29_ch" w:type="character">
    <w:name w:val="Style4"/>
    <w:basedOn w:val="Style_5_ch"/>
    <w:link w:val="Style_29"/>
  </w:style>
  <w:style w:styleId="Style_30" w:type="paragraph">
    <w:name w:val="ConsPlusNormal"/>
    <w:link w:val="Style_30_ch"/>
    <w:rPr>
      <w:sz w:val="26"/>
    </w:rPr>
  </w:style>
  <w:style w:styleId="Style_30_ch" w:type="character">
    <w:name w:val="ConsPlusNormal"/>
    <w:link w:val="Style_30"/>
    <w:rPr>
      <w:sz w:val="26"/>
    </w:rPr>
  </w:style>
  <w:style w:styleId="Style_31" w:type="paragraph">
    <w:name w:val="heading 1"/>
    <w:next w:val="Style_5"/>
    <w:link w:val="Style_3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31_ch" w:type="character">
    <w:name w:val="heading 1"/>
    <w:link w:val="Style_31"/>
    <w:rPr>
      <w:rFonts w:ascii="XO Thames" w:hAnsi="XO Thames"/>
      <w:b w:val="1"/>
      <w:sz w:val="32"/>
    </w:rPr>
  </w:style>
  <w:style w:styleId="Style_32" w:type="paragraph">
    <w:name w:val="Body Text Indent"/>
    <w:basedOn w:val="Style_5"/>
    <w:link w:val="Style_32_ch"/>
    <w:pPr>
      <w:widowControl w:val="1"/>
      <w:spacing w:after="120" w:line="276" w:lineRule="auto"/>
      <w:ind w:firstLine="0" w:left="283"/>
    </w:pPr>
    <w:rPr>
      <w:rFonts w:ascii="Calibri" w:hAnsi="Calibri"/>
      <w:sz w:val="22"/>
    </w:rPr>
  </w:style>
  <w:style w:styleId="Style_32_ch" w:type="character">
    <w:name w:val="Body Text Indent"/>
    <w:basedOn w:val="Style_5_ch"/>
    <w:link w:val="Style_32"/>
    <w:rPr>
      <w:rFonts w:ascii="Calibri" w:hAnsi="Calibri"/>
      <w:sz w:val="22"/>
    </w:rPr>
  </w:style>
  <w:style w:styleId="Style_33" w:type="paragraph">
    <w:name w:val="Hyperlink"/>
    <w:link w:val="Style_33_ch"/>
    <w:rPr>
      <w:color w:val="0000FF"/>
      <w:u w:val="single"/>
    </w:rPr>
  </w:style>
  <w:style w:styleId="Style_33_ch" w:type="character">
    <w:name w:val="Hyperlink"/>
    <w:link w:val="Style_33"/>
    <w:rPr>
      <w:color w:val="0000FF"/>
      <w:u w:val="single"/>
    </w:rPr>
  </w:style>
  <w:style w:styleId="Style_34" w:type="paragraph">
    <w:name w:val="Footnote"/>
    <w:link w:val="Style_34_ch"/>
    <w:pPr>
      <w:ind w:firstLine="851" w:left="0"/>
      <w:jc w:val="both"/>
    </w:pPr>
    <w:rPr>
      <w:rFonts w:ascii="XO Thames" w:hAnsi="XO Thames"/>
      <w:sz w:val="22"/>
    </w:rPr>
  </w:style>
  <w:style w:styleId="Style_34_ch" w:type="character">
    <w:name w:val="Footnote"/>
    <w:link w:val="Style_34"/>
    <w:rPr>
      <w:rFonts w:ascii="XO Thames" w:hAnsi="XO Thames"/>
      <w:sz w:val="22"/>
    </w:rPr>
  </w:style>
  <w:style w:styleId="Style_35" w:type="paragraph">
    <w:name w:val="Style6"/>
    <w:basedOn w:val="Style_5"/>
    <w:link w:val="Style_35_ch"/>
    <w:pPr>
      <w:spacing w:line="316" w:lineRule="exact"/>
      <w:ind/>
    </w:pPr>
  </w:style>
  <w:style w:styleId="Style_35_ch" w:type="character">
    <w:name w:val="Style6"/>
    <w:basedOn w:val="Style_5_ch"/>
    <w:link w:val="Style_35"/>
  </w:style>
  <w:style w:styleId="Style_36" w:type="paragraph">
    <w:name w:val="toc 1"/>
    <w:next w:val="Style_5"/>
    <w:link w:val="Style_3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6_ch" w:type="character">
    <w:name w:val="toc 1"/>
    <w:link w:val="Style_36"/>
    <w:rPr>
      <w:rFonts w:ascii="XO Thames" w:hAnsi="XO Thames"/>
      <w:b w:val="1"/>
      <w:sz w:val="28"/>
    </w:rPr>
  </w:style>
  <w:style w:styleId="Style_37" w:type="paragraph">
    <w:name w:val="Font Style23"/>
    <w:link w:val="Style_37_ch"/>
    <w:rPr>
      <w:rFonts w:ascii="Times New Roman" w:hAnsi="Times New Roman"/>
      <w:b w:val="1"/>
      <w:i w:val="1"/>
      <w:sz w:val="20"/>
    </w:rPr>
  </w:style>
  <w:style w:styleId="Style_37_ch" w:type="character">
    <w:name w:val="Font Style23"/>
    <w:link w:val="Style_37"/>
    <w:rPr>
      <w:rFonts w:ascii="Times New Roman" w:hAnsi="Times New Roman"/>
      <w:b w:val="1"/>
      <w:i w:val="1"/>
      <w:sz w:val="20"/>
    </w:rPr>
  </w:style>
  <w:style w:styleId="Style_38" w:type="paragraph">
    <w:name w:val="Header and Footer"/>
    <w:link w:val="Style_38_ch"/>
    <w:pPr>
      <w:spacing w:line="240" w:lineRule="auto"/>
      <w:ind/>
      <w:jc w:val="both"/>
    </w:pPr>
    <w:rPr>
      <w:rFonts w:ascii="XO Thames" w:hAnsi="XO Thames"/>
      <w:sz w:val="20"/>
    </w:rPr>
  </w:style>
  <w:style w:styleId="Style_38_ch" w:type="character">
    <w:name w:val="Header and Footer"/>
    <w:link w:val="Style_38"/>
    <w:rPr>
      <w:rFonts w:ascii="XO Thames" w:hAnsi="XO Thames"/>
      <w:sz w:val="20"/>
    </w:rPr>
  </w:style>
  <w:style w:styleId="Style_39" w:type="paragraph">
    <w:name w:val="caption"/>
    <w:basedOn w:val="Style_5"/>
    <w:next w:val="Style_5"/>
    <w:link w:val="Style_39_ch"/>
    <w:rPr>
      <w:b w:val="1"/>
      <w:sz w:val="20"/>
    </w:rPr>
  </w:style>
  <w:style w:styleId="Style_39_ch" w:type="character">
    <w:name w:val="caption"/>
    <w:basedOn w:val="Style_5_ch"/>
    <w:link w:val="Style_39"/>
    <w:rPr>
      <w:b w:val="1"/>
      <w:sz w:val="20"/>
    </w:rPr>
  </w:style>
  <w:style w:styleId="Style_40" w:type="paragraph">
    <w:name w:val="Style8"/>
    <w:basedOn w:val="Style_5"/>
    <w:link w:val="Style_40_ch"/>
    <w:pPr>
      <w:spacing w:line="317" w:lineRule="exact"/>
      <w:ind w:firstLine="715" w:left="0"/>
      <w:jc w:val="both"/>
    </w:pPr>
  </w:style>
  <w:style w:styleId="Style_40_ch" w:type="character">
    <w:name w:val="Style8"/>
    <w:basedOn w:val="Style_5_ch"/>
    <w:link w:val="Style_40"/>
  </w:style>
  <w:style w:styleId="Style_41" w:type="paragraph">
    <w:name w:val="Font Style22"/>
    <w:link w:val="Style_41_ch"/>
    <w:rPr>
      <w:rFonts w:ascii="Times New Roman" w:hAnsi="Times New Roman"/>
      <w:sz w:val="22"/>
    </w:rPr>
  </w:style>
  <w:style w:styleId="Style_41_ch" w:type="character">
    <w:name w:val="Font Style22"/>
    <w:link w:val="Style_41"/>
    <w:rPr>
      <w:rFonts w:ascii="Times New Roman" w:hAnsi="Times New Roman"/>
      <w:sz w:val="22"/>
    </w:rPr>
  </w:style>
  <w:style w:styleId="Style_42" w:type="paragraph">
    <w:name w:val="toc 9"/>
    <w:next w:val="Style_5"/>
    <w:link w:val="Style_4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42_ch" w:type="character">
    <w:name w:val="toc 9"/>
    <w:link w:val="Style_42"/>
    <w:rPr>
      <w:rFonts w:ascii="XO Thames" w:hAnsi="XO Thames"/>
      <w:sz w:val="28"/>
    </w:rPr>
  </w:style>
  <w:style w:styleId="Style_43" w:type="paragraph">
    <w:name w:val="Font Style30"/>
    <w:link w:val="Style_43_ch"/>
    <w:rPr>
      <w:rFonts w:ascii="Times New Roman" w:hAnsi="Times New Roman"/>
      <w:b w:val="1"/>
      <w:i w:val="1"/>
      <w:spacing w:val="-30"/>
      <w:sz w:val="28"/>
    </w:rPr>
  </w:style>
  <w:style w:styleId="Style_43_ch" w:type="character">
    <w:name w:val="Font Style30"/>
    <w:link w:val="Style_43"/>
    <w:rPr>
      <w:rFonts w:ascii="Times New Roman" w:hAnsi="Times New Roman"/>
      <w:b w:val="1"/>
      <w:i w:val="1"/>
      <w:spacing w:val="-30"/>
      <w:sz w:val="28"/>
    </w:rPr>
  </w:style>
  <w:style w:styleId="Style_44" w:type="paragraph">
    <w:name w:val="Body Text 2"/>
    <w:basedOn w:val="Style_5"/>
    <w:link w:val="Style_44_ch"/>
    <w:pPr>
      <w:widowControl w:val="1"/>
      <w:spacing w:after="120" w:line="480" w:lineRule="auto"/>
      <w:ind/>
    </w:pPr>
    <w:rPr>
      <w:sz w:val="28"/>
    </w:rPr>
  </w:style>
  <w:style w:styleId="Style_44_ch" w:type="character">
    <w:name w:val="Body Text 2"/>
    <w:basedOn w:val="Style_5_ch"/>
    <w:link w:val="Style_44"/>
    <w:rPr>
      <w:sz w:val="28"/>
    </w:rPr>
  </w:style>
  <w:style w:styleId="Style_45" w:type="paragraph">
    <w:name w:val="toc 8"/>
    <w:next w:val="Style_5"/>
    <w:link w:val="Style_4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45_ch" w:type="character">
    <w:name w:val="toc 8"/>
    <w:link w:val="Style_45"/>
    <w:rPr>
      <w:rFonts w:ascii="XO Thames" w:hAnsi="XO Thames"/>
      <w:sz w:val="28"/>
    </w:rPr>
  </w:style>
  <w:style w:styleId="Style_46" w:type="paragraph">
    <w:name w:val="Balloon Text"/>
    <w:basedOn w:val="Style_5"/>
    <w:link w:val="Style_46_ch"/>
    <w:rPr>
      <w:rFonts w:ascii="Tahoma" w:hAnsi="Tahoma"/>
      <w:sz w:val="16"/>
    </w:rPr>
  </w:style>
  <w:style w:styleId="Style_46_ch" w:type="character">
    <w:name w:val="Balloon Text"/>
    <w:basedOn w:val="Style_5_ch"/>
    <w:link w:val="Style_46"/>
    <w:rPr>
      <w:rFonts w:ascii="Tahoma" w:hAnsi="Tahoma"/>
      <w:sz w:val="16"/>
    </w:rPr>
  </w:style>
  <w:style w:styleId="Style_47" w:type="paragraph">
    <w:name w:val="Font Style33"/>
    <w:link w:val="Style_47_ch"/>
    <w:rPr>
      <w:rFonts w:ascii="Times New Roman" w:hAnsi="Times New Roman"/>
      <w:sz w:val="22"/>
    </w:rPr>
  </w:style>
  <w:style w:styleId="Style_47_ch" w:type="character">
    <w:name w:val="Font Style33"/>
    <w:link w:val="Style_47"/>
    <w:rPr>
      <w:rFonts w:ascii="Times New Roman" w:hAnsi="Times New Roman"/>
      <w:sz w:val="22"/>
    </w:rPr>
  </w:style>
  <w:style w:styleId="Style_48" w:type="paragraph">
    <w:name w:val="Font Style27"/>
    <w:link w:val="Style_48_ch"/>
    <w:rPr>
      <w:rFonts w:ascii="Times New Roman" w:hAnsi="Times New Roman"/>
      <w:b w:val="1"/>
      <w:sz w:val="26"/>
    </w:rPr>
  </w:style>
  <w:style w:styleId="Style_48_ch" w:type="character">
    <w:name w:val="Font Style27"/>
    <w:link w:val="Style_48"/>
    <w:rPr>
      <w:rFonts w:ascii="Times New Roman" w:hAnsi="Times New Roman"/>
      <w:b w:val="1"/>
      <w:sz w:val="26"/>
    </w:rPr>
  </w:style>
  <w:style w:styleId="Style_49" w:type="paragraph">
    <w:name w:val="Style12"/>
    <w:basedOn w:val="Style_5"/>
    <w:link w:val="Style_49_ch"/>
  </w:style>
  <w:style w:styleId="Style_49_ch" w:type="character">
    <w:name w:val="Style12"/>
    <w:basedOn w:val="Style_5_ch"/>
    <w:link w:val="Style_49"/>
  </w:style>
  <w:style w:styleId="Style_50" w:type="paragraph">
    <w:name w:val="Font Style25"/>
    <w:link w:val="Style_50_ch"/>
    <w:rPr>
      <w:rFonts w:ascii="Times New Roman" w:hAnsi="Times New Roman"/>
      <w:sz w:val="36"/>
    </w:rPr>
  </w:style>
  <w:style w:styleId="Style_50_ch" w:type="character">
    <w:name w:val="Font Style25"/>
    <w:link w:val="Style_50"/>
    <w:rPr>
      <w:rFonts w:ascii="Times New Roman" w:hAnsi="Times New Roman"/>
      <w:sz w:val="36"/>
    </w:rPr>
  </w:style>
  <w:style w:styleId="Style_51" w:type="paragraph">
    <w:name w:val="Font Style28"/>
    <w:link w:val="Style_51_ch"/>
    <w:rPr>
      <w:rFonts w:ascii="Times New Roman" w:hAnsi="Times New Roman"/>
      <w:b w:val="1"/>
      <w:sz w:val="24"/>
    </w:rPr>
  </w:style>
  <w:style w:styleId="Style_51_ch" w:type="character">
    <w:name w:val="Font Style28"/>
    <w:link w:val="Style_51"/>
    <w:rPr>
      <w:rFonts w:ascii="Times New Roman" w:hAnsi="Times New Roman"/>
      <w:b w:val="1"/>
      <w:sz w:val="24"/>
    </w:rPr>
  </w:style>
  <w:style w:styleId="Style_52" w:type="paragraph">
    <w:name w:val="toc 5"/>
    <w:next w:val="Style_5"/>
    <w:link w:val="Style_5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52_ch" w:type="character">
    <w:name w:val="toc 5"/>
    <w:link w:val="Style_52"/>
    <w:rPr>
      <w:rFonts w:ascii="XO Thames" w:hAnsi="XO Thames"/>
      <w:sz w:val="28"/>
    </w:rPr>
  </w:style>
  <w:style w:styleId="Style_53" w:type="paragraph">
    <w:name w:val="Font Style29"/>
    <w:link w:val="Style_53_ch"/>
    <w:rPr>
      <w:rFonts w:ascii="Times New Roman" w:hAnsi="Times New Roman"/>
      <w:b w:val="1"/>
      <w:sz w:val="16"/>
    </w:rPr>
  </w:style>
  <w:style w:styleId="Style_53_ch" w:type="character">
    <w:name w:val="Font Style29"/>
    <w:link w:val="Style_53"/>
    <w:rPr>
      <w:rFonts w:ascii="Times New Roman" w:hAnsi="Times New Roman"/>
      <w:b w:val="1"/>
      <w:sz w:val="16"/>
    </w:rPr>
  </w:style>
  <w:style w:styleId="Style_54" w:type="paragraph">
    <w:name w:val="Style11"/>
    <w:basedOn w:val="Style_5"/>
    <w:link w:val="Style_54_ch"/>
    <w:pPr>
      <w:spacing w:line="326" w:lineRule="exact"/>
      <w:ind/>
      <w:jc w:val="right"/>
    </w:pPr>
  </w:style>
  <w:style w:styleId="Style_54_ch" w:type="character">
    <w:name w:val="Style11"/>
    <w:basedOn w:val="Style_5_ch"/>
    <w:link w:val="Style_54"/>
  </w:style>
  <w:style w:styleId="Style_55" w:type="paragraph">
    <w:name w:val="Style16"/>
    <w:basedOn w:val="Style_5"/>
    <w:link w:val="Style_55_ch"/>
    <w:pPr>
      <w:spacing w:line="298" w:lineRule="exact"/>
      <w:ind/>
      <w:jc w:val="center"/>
    </w:pPr>
  </w:style>
  <w:style w:styleId="Style_55_ch" w:type="character">
    <w:name w:val="Style16"/>
    <w:basedOn w:val="Style_5_ch"/>
    <w:link w:val="Style_55"/>
  </w:style>
  <w:style w:styleId="Style_56" w:type="paragraph">
    <w:name w:val="Body Text 3"/>
    <w:basedOn w:val="Style_5"/>
    <w:link w:val="Style_56_ch"/>
    <w:pPr>
      <w:widowControl w:val="1"/>
      <w:spacing w:after="120"/>
      <w:ind/>
    </w:pPr>
    <w:rPr>
      <w:sz w:val="16"/>
    </w:rPr>
  </w:style>
  <w:style w:styleId="Style_56_ch" w:type="character">
    <w:name w:val="Body Text 3"/>
    <w:basedOn w:val="Style_5_ch"/>
    <w:link w:val="Style_56"/>
    <w:rPr>
      <w:sz w:val="16"/>
    </w:rPr>
  </w:style>
  <w:style w:styleId="Style_57" w:type="paragraph">
    <w:name w:val="No Spacing"/>
    <w:link w:val="Style_57_ch"/>
    <w:rPr>
      <w:rFonts w:ascii="Calibri" w:hAnsi="Calibri"/>
    </w:rPr>
  </w:style>
  <w:style w:styleId="Style_57_ch" w:type="character">
    <w:name w:val="No Spacing"/>
    <w:link w:val="Style_57"/>
    <w:rPr>
      <w:rFonts w:ascii="Calibri" w:hAnsi="Calibri"/>
    </w:rPr>
  </w:style>
  <w:style w:styleId="Style_58" w:type="paragraph">
    <w:name w:val="Subtitle"/>
    <w:next w:val="Style_5"/>
    <w:link w:val="Style_5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58_ch" w:type="character">
    <w:name w:val="Subtitle"/>
    <w:link w:val="Style_58"/>
    <w:rPr>
      <w:rFonts w:ascii="XO Thames" w:hAnsi="XO Thames"/>
      <w:i w:val="1"/>
      <w:sz w:val="24"/>
    </w:rPr>
  </w:style>
  <w:style w:styleId="Style_59" w:type="paragraph">
    <w:name w:val="Title"/>
    <w:next w:val="Style_5"/>
    <w:link w:val="Style_5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59_ch" w:type="character">
    <w:name w:val="Title"/>
    <w:link w:val="Style_59"/>
    <w:rPr>
      <w:rFonts w:ascii="XO Thames" w:hAnsi="XO Thames"/>
      <w:b w:val="1"/>
      <w:caps w:val="1"/>
      <w:sz w:val="40"/>
    </w:rPr>
  </w:style>
  <w:style w:styleId="Style_60" w:type="paragraph">
    <w:name w:val="Default Paragraph Font"/>
    <w:link w:val="Style_60_ch"/>
  </w:style>
  <w:style w:styleId="Style_60_ch" w:type="character">
    <w:name w:val="Default Paragraph Font"/>
    <w:link w:val="Style_60"/>
  </w:style>
  <w:style w:styleId="Style_61" w:type="paragraph">
    <w:name w:val="heading 4"/>
    <w:basedOn w:val="Style_5"/>
    <w:next w:val="Style_5"/>
    <w:link w:val="Style_61_ch"/>
    <w:uiPriority w:val="9"/>
    <w:qFormat/>
    <w:pPr>
      <w:keepNext w:val="1"/>
      <w:widowControl w:val="1"/>
      <w:spacing w:after="60" w:before="240"/>
      <w:ind/>
      <w:outlineLvl w:val="3"/>
    </w:pPr>
    <w:rPr>
      <w:b w:val="1"/>
      <w:sz w:val="28"/>
    </w:rPr>
  </w:style>
  <w:style w:styleId="Style_61_ch" w:type="character">
    <w:name w:val="heading 4"/>
    <w:basedOn w:val="Style_5_ch"/>
    <w:link w:val="Style_61"/>
    <w:rPr>
      <w:b w:val="1"/>
      <w:sz w:val="28"/>
    </w:rPr>
  </w:style>
  <w:style w:styleId="Style_62" w:type="paragraph">
    <w:name w:val="Font Style26"/>
    <w:link w:val="Style_62_ch"/>
    <w:rPr>
      <w:rFonts w:ascii="Franklin Gothic Demi" w:hAnsi="Franklin Gothic Demi"/>
      <w:sz w:val="14"/>
    </w:rPr>
  </w:style>
  <w:style w:styleId="Style_62_ch" w:type="character">
    <w:name w:val="Font Style26"/>
    <w:link w:val="Style_62"/>
    <w:rPr>
      <w:rFonts w:ascii="Franklin Gothic Demi" w:hAnsi="Franklin Gothic Demi"/>
      <w:sz w:val="14"/>
    </w:rPr>
  </w:style>
  <w:style w:styleId="Style_4" w:type="paragraph">
    <w:name w:val="Style18"/>
    <w:basedOn w:val="Style_5"/>
    <w:link w:val="Style_4_ch"/>
    <w:pPr>
      <w:spacing w:line="320" w:lineRule="exact"/>
      <w:ind w:firstLine="528" w:left="0"/>
      <w:jc w:val="both"/>
    </w:pPr>
  </w:style>
  <w:style w:styleId="Style_4_ch" w:type="character">
    <w:name w:val="Style18"/>
    <w:basedOn w:val="Style_5_ch"/>
    <w:link w:val="Style_4"/>
  </w:style>
  <w:style w:styleId="Style_63" w:type="paragraph">
    <w:name w:val="heading 2"/>
    <w:next w:val="Style_5"/>
    <w:link w:val="Style_6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63_ch" w:type="character">
    <w:name w:val="heading 2"/>
    <w:link w:val="Style_63"/>
    <w:rPr>
      <w:rFonts w:ascii="XO Thames" w:hAnsi="XO Thames"/>
      <w:b w:val="1"/>
      <w:sz w:val="28"/>
    </w:rPr>
  </w:style>
  <w:style w:default="1" w:styleId="Style_6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5" w:type="table">
    <w:name w:val="Table Grid"/>
    <w:basedOn w:val="Style_6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WithEffects.xml" Type="http://schemas.microsoft.com/office/2007/relationships/stylesWithEffects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5" Target="theme/theme1.xml" Type="http://schemas.openxmlformats.org/officeDocument/2006/relationships/theme"/>
  <Relationship Id="rId9" Target="media/8.png" Type="http://schemas.openxmlformats.org/officeDocument/2006/relationships/image"/>
  <Relationship Id="rId8" Target="media/7.png" Type="http://schemas.openxmlformats.org/officeDocument/2006/relationships/image"/>
  <Relationship Id="rId7" Target="media/6.jpeg" Type="http://schemas.openxmlformats.org/officeDocument/2006/relationships/image"/>
  <Relationship Id="rId14" Target="webSettings.xml" Type="http://schemas.openxmlformats.org/officeDocument/2006/relationships/webSettings"/>
  <Relationship Id="rId6" Target="media/5.png" Type="http://schemas.openxmlformats.org/officeDocument/2006/relationships/image"/>
  <Relationship Id="rId5" Target="media/4.png" Type="http://schemas.openxmlformats.org/officeDocument/2006/relationships/image"/>
  <Relationship Id="rId16" Target="numbering.xml" Type="http://schemas.openxmlformats.org/officeDocument/2006/relationships/numbering"/>
  <Relationship Id="rId4" Target="media/3.png" Type="http://schemas.openxmlformats.org/officeDocument/2006/relationships/image"/>
  <Relationship Id="rId12" Target="styles.xml" Type="http://schemas.openxmlformats.org/officeDocument/2006/relationships/styles"/>
  <Relationship Id="rId3" Target="media/2.png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2024-12-26T10:20:43Z</dcterms:modified>
</cp:coreProperties>
</file>