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95E" w:rsidRDefault="0007395E" w:rsidP="0007395E">
      <w:pPr>
        <w:ind w:firstLine="709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b/>
          <w:bCs/>
          <w:sz w:val="28"/>
          <w:szCs w:val="28"/>
          <w:lang w:eastAsia="ru-RU"/>
        </w:rPr>
        <w:t>«Внимание коренных малочисленных народов Севера при осуществлении традиционного рыболовства».</w:t>
      </w: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Рыбоохрана Югры информирует о необходимости соблюдения Правил рыболовства для Западно-Сибирского рыбохозяйственного бассейна утвержденных приказом Министерства сельского хозяйства Российской </w:t>
      </w:r>
      <w:r>
        <w:rPr>
          <w:color w:val="auto"/>
          <w:sz w:val="28"/>
          <w:szCs w:val="28"/>
        </w:rPr>
        <w:t xml:space="preserve">Федерации от 30.10.2020 №646 (далее-Правила рыболовства). </w:t>
      </w:r>
    </w:p>
    <w:p w:rsidR="0007395E" w:rsidRDefault="0007395E" w:rsidP="000739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47 Правил рыболовства, при осуществлении традиционного рыболовства лица, относящиеся к коренным малочисленным народам Севера, Сибири и Дальнего Востока Российской Федерации, и их общины обязаны соблюдать требования к сохранению водных биоресурсов, установленные в главе II Правил рыболовства.</w:t>
      </w:r>
    </w:p>
    <w:p w:rsidR="0007395E" w:rsidRDefault="0007395E" w:rsidP="000739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добычи (вылова) без предоставления рыболовного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орудия добычи (вылова), используемые для традиционного рыболовства, обозначают с помощью буев или опознавательных знаков (бирок), на которые нанесена информация о владельце орудия добычи (вылова) (фамилия, имя, отчество (при наличии) лица, имеющего право осуществления традиционного рыболовства), или наименование общины коренных малочисленных народов Севера, </w:t>
      </w:r>
      <w:r>
        <w:rPr>
          <w:rFonts w:ascii="Times New Roman" w:hAnsi="Times New Roman" w:cs="Times New Roman"/>
          <w:sz w:val="28"/>
          <w:szCs w:val="28"/>
        </w:rPr>
        <w:t>Сибири и Дальнего Востока Российской Федерации, имеющей право осуществлять традиционное рыболовство, с указанием фамилии, имени, отчества (при наличии) владельца орудия добычи (вылова), осуществляющего традиционное рыболовство.</w:t>
      </w:r>
    </w:p>
    <w:p w:rsidR="0007395E" w:rsidRDefault="0007395E" w:rsidP="0007395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осуществления традиционного рыболовства без применения судов рыбопромыслового флота представляют в территориальные органы Росрыболовства сведения о добыче (вылове) водных биоресурсов ежегодно, </w:t>
      </w:r>
      <w:r>
        <w:rPr>
          <w:rFonts w:eastAsiaTheme="minorEastAsia"/>
          <w:b/>
          <w:sz w:val="28"/>
          <w:szCs w:val="28"/>
        </w:rPr>
        <w:t>не позднее 30 января года,</w:t>
      </w:r>
      <w:r>
        <w:rPr>
          <w:rFonts w:eastAsiaTheme="minorEastAsia"/>
          <w:sz w:val="28"/>
          <w:szCs w:val="28"/>
        </w:rPr>
        <w:t xml:space="preserve"> следующего за отчетным, - в случае осуществления добычи (вылова) без предоставления рыболовного (рыбопромыслового) участка.</w:t>
      </w:r>
    </w:p>
    <w:p w:rsidR="0007395E" w:rsidRDefault="0007395E" w:rsidP="000739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относящиеся к коренным малочисленным народам Севера, Сибири и Дальнего Востока Российской Федерации, и их общины, осуществляющие традиционное рыболовство без предоставления рыболовного участка, </w:t>
      </w:r>
      <w:r>
        <w:rPr>
          <w:rFonts w:ascii="Times New Roman" w:hAnsi="Times New Roman" w:cs="Times New Roman"/>
          <w:b/>
          <w:sz w:val="28"/>
          <w:szCs w:val="28"/>
        </w:rPr>
        <w:t>должны иметь при себе паспорт.</w:t>
      </w:r>
    </w:p>
    <w:p w:rsidR="0007395E" w:rsidRDefault="0007395E" w:rsidP="00073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Обь-Иртышском рыбохозяйственном районе запрещается применение любых орудий и способов добычи (вылова), за исключением:</w:t>
      </w:r>
    </w:p>
    <w:p w:rsidR="0007395E" w:rsidRDefault="0007395E" w:rsidP="00073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традиционных способов добычи (вылова) водных биоресурсов, если такие способы прямо или косвенно не ведут к снижению биологического разнообразия, не сокращают численность и устойчивое воспроизводство объектов животного мира, не нарушают среду их обитания и не представляют опасности для человека, в том числе на рыболовных участках, предоставленных для осуществления традиционного рыболовства;</w:t>
      </w:r>
    </w:p>
    <w:p w:rsidR="0007395E" w:rsidRDefault="0007395E" w:rsidP="00073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ставной сети длиной не более 75 м, с шагом ячеи, указанным в пунктах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20.4 и 21.5 Правил рыболовства, а также речных и озерных фитилей, вентерей,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рюж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морд с размером (шагом) ячей, указанным в пунктах 19.5, 20.4, 21.5, 23.5 Правил рыболовства.</w:t>
      </w:r>
    </w:p>
    <w:p w:rsidR="0007395E" w:rsidRDefault="0007395E" w:rsidP="000739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традиционного рыболовства лицами, относящимися к коренным малочисленным народам Севера, Сибири и Дальнего Востока Российской Федерации, и их общинами </w:t>
      </w:r>
      <w:r>
        <w:rPr>
          <w:rFonts w:ascii="Times New Roman" w:hAnsi="Times New Roman" w:cs="Times New Roman"/>
          <w:b/>
          <w:sz w:val="28"/>
          <w:szCs w:val="28"/>
        </w:rPr>
        <w:t>запрещается применение сетных орудий добычи (вылова) из лески (мононити).</w:t>
      </w:r>
    </w:p>
    <w:p w:rsidR="0007395E" w:rsidRDefault="0007395E" w:rsidP="0007395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61064">
        <w:rPr>
          <w:color w:val="000000"/>
          <w:sz w:val="28"/>
          <w:szCs w:val="28"/>
          <w:shd w:val="clear" w:color="auto" w:fill="FFFFFF"/>
        </w:rPr>
        <w:t>В случае прилова редких и находящихся под угрозой исчезновения видов водных биоресурсов без соответствующего разрешения, а также запрещенных для добычи (вылова) водных биоресурсов указанные водные биоресурсы должны незамедлительно выпускаться в естественную среду обитания с наименьшими повреждениями.</w:t>
      </w:r>
    </w:p>
    <w:p w:rsidR="0007395E" w:rsidRDefault="0007395E" w:rsidP="0007395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нарушение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действующих Правил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регламентирующих рыболовство граждане и юридические лица могут быть привлечены к административной ответственности по ч. 2. ст. 8.37 КоАП РФ. </w:t>
      </w: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Отчет о добыче (вылове) водных биоресурсов при осуществлении традиционного рыболовства представляется по адресу: 628007, Ханты-Мансийский автономный округ – Югра, г. Ханты-Мансийск, ул. Гагарина, д.186, </w:t>
      </w:r>
      <w:r>
        <w:rPr>
          <w:b/>
          <w:i/>
          <w:sz w:val="28"/>
          <w:szCs w:val="28"/>
          <w:lang w:val="en-US"/>
        </w:rPr>
        <w:t>e</w:t>
      </w: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mail</w:t>
      </w:r>
      <w:proofErr w:type="spellEnd"/>
      <w:r>
        <w:rPr>
          <w:b/>
          <w:i/>
          <w:sz w:val="28"/>
          <w:szCs w:val="28"/>
        </w:rPr>
        <w:t>:</w:t>
      </w:r>
      <w:r>
        <w:t xml:space="preserve"> </w:t>
      </w:r>
      <w:r>
        <w:rPr>
          <w:b/>
          <w:i/>
          <w:sz w:val="28"/>
          <w:szCs w:val="28"/>
        </w:rPr>
        <w:t>e-mail:goscontrol86@tmn.fish.gov.ru, тел/факс. 8 (3467)33-67-93.</w:t>
      </w: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spacing w:after="12"/>
        <w:jc w:val="right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Примерная форма отчета</w:t>
      </w:r>
    </w:p>
    <w:p w:rsidR="0007395E" w:rsidRDefault="0007395E" w:rsidP="0007395E">
      <w:pPr>
        <w:spacing w:after="12"/>
        <w:jc w:val="center"/>
        <w:rPr>
          <w:sz w:val="28"/>
          <w:szCs w:val="28"/>
          <w:lang w:eastAsia="ru-RU"/>
        </w:rPr>
      </w:pPr>
    </w:p>
    <w:p w:rsidR="0007395E" w:rsidRDefault="0007395E" w:rsidP="0007395E">
      <w:pPr>
        <w:spacing w:after="12"/>
        <w:jc w:val="center"/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>Отчет</w:t>
      </w:r>
    </w:p>
    <w:p w:rsidR="0007395E" w:rsidRDefault="0007395E" w:rsidP="0007395E">
      <w:pPr>
        <w:spacing w:after="12"/>
        <w:jc w:val="both"/>
        <w:rPr>
          <w:lang w:eastAsia="ru-RU"/>
        </w:rPr>
      </w:pPr>
      <w:bookmarkStart w:id="1" w:name="_GoBack11"/>
      <w:bookmarkEnd w:id="1"/>
      <w:r>
        <w:rPr>
          <w:sz w:val="28"/>
          <w:szCs w:val="28"/>
          <w:lang w:eastAsia="ru-RU"/>
        </w:rPr>
        <w:t>о добыче (вылове) водных биоресурсов 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2024 год.</w:t>
      </w:r>
    </w:p>
    <w:p w:rsidR="0007395E" w:rsidRDefault="0007395E" w:rsidP="0007395E">
      <w:pPr>
        <w:spacing w:after="12"/>
        <w:jc w:val="both"/>
        <w:rPr>
          <w:rFonts w:asciiTheme="minorHAnsi" w:hAnsiTheme="minorHAnsi" w:cstheme="minorBidi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07395E" w:rsidRDefault="0007395E" w:rsidP="0007395E">
      <w:pPr>
        <w:spacing w:after="12"/>
        <w:jc w:val="center"/>
        <w:rPr>
          <w:lang w:eastAsia="ru-RU"/>
        </w:rPr>
      </w:pPr>
      <w:r>
        <w:rPr>
          <w:lang w:eastAsia="ru-RU"/>
        </w:rPr>
        <w:t>(ФИО, (для граждан)/Наименование Общины)</w:t>
      </w:r>
    </w:p>
    <w:p w:rsidR="0007395E" w:rsidRDefault="0007395E" w:rsidP="0007395E">
      <w:pPr>
        <w:spacing w:after="12"/>
        <w:jc w:val="center"/>
        <w:rPr>
          <w:lang w:eastAsia="ru-RU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1871"/>
        <w:gridCol w:w="2020"/>
        <w:gridCol w:w="1881"/>
        <w:gridCol w:w="1943"/>
        <w:gridCol w:w="1856"/>
      </w:tblGrid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5E" w:rsidRDefault="0007395E" w:rsidP="00533DF8">
            <w:pPr>
              <w:spacing w:after="12"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Вид водного биоресурса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5E" w:rsidRDefault="0007395E" w:rsidP="00533DF8">
            <w:pPr>
              <w:spacing w:after="12"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Место (район/подрайон) добычи (вылова) водных биоресурсов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5E" w:rsidRDefault="0007395E" w:rsidP="00533DF8">
            <w:pPr>
              <w:spacing w:after="12"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Орудия, способы добычи (вылова) водных биоресурсов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5E" w:rsidRDefault="0007395E" w:rsidP="00533DF8">
            <w:pPr>
              <w:spacing w:after="12"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5E" w:rsidRDefault="0007395E" w:rsidP="00533DF8">
            <w:pPr>
              <w:spacing w:after="12"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Вылов с начала года, тонн/шт.</w:t>
            </w: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5E" w:rsidRDefault="0007395E" w:rsidP="00533D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5E" w:rsidRDefault="0007395E" w:rsidP="00533D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5E" w:rsidRDefault="0007395E" w:rsidP="00533D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5E" w:rsidRDefault="0007395E" w:rsidP="00533D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Район добычи,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5E" w:rsidRDefault="0007395E" w:rsidP="00533D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Водный объект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7395E" w:rsidTr="00533DF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5E" w:rsidRDefault="0007395E" w:rsidP="00533DF8">
            <w:pPr>
              <w:spacing w:after="12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07395E" w:rsidRDefault="0007395E" w:rsidP="0007395E">
      <w:pPr>
        <w:spacing w:after="12"/>
        <w:jc w:val="center"/>
        <w:rPr>
          <w:sz w:val="22"/>
          <w:szCs w:val="22"/>
          <w:lang w:eastAsia="ru-RU"/>
        </w:rPr>
      </w:pPr>
    </w:p>
    <w:p w:rsidR="0007395E" w:rsidRDefault="0007395E" w:rsidP="0007395E">
      <w:pPr>
        <w:spacing w:after="12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Дата_________________20___г,  подпись:  _________            </w:t>
      </w:r>
    </w:p>
    <w:p w:rsidR="0007395E" w:rsidRDefault="0007395E" w:rsidP="0007395E">
      <w:pPr>
        <w:spacing w:after="12"/>
        <w:jc w:val="both"/>
        <w:rPr>
          <w:sz w:val="28"/>
          <w:szCs w:val="28"/>
          <w:lang w:eastAsia="ru-RU"/>
        </w:rPr>
      </w:pPr>
    </w:p>
    <w:p w:rsidR="0007395E" w:rsidRDefault="0007395E" w:rsidP="0007395E">
      <w:pPr>
        <w:spacing w:after="12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М.П. (для общин)</w:t>
      </w:r>
    </w:p>
    <w:p w:rsidR="0007395E" w:rsidRDefault="0007395E" w:rsidP="0007395E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7395E" w:rsidRDefault="0007395E" w:rsidP="0007395E">
      <w:pPr>
        <w:rPr>
          <w:sz w:val="16"/>
          <w:szCs w:val="16"/>
        </w:rPr>
      </w:pPr>
    </w:p>
    <w:p w:rsidR="0007395E" w:rsidRDefault="0007395E" w:rsidP="0007395E">
      <w:pPr>
        <w:rPr>
          <w:sz w:val="18"/>
          <w:szCs w:val="18"/>
        </w:rPr>
      </w:pPr>
    </w:p>
    <w:p w:rsidR="0007395E" w:rsidRDefault="0007395E" w:rsidP="0007395E">
      <w:pPr>
        <w:rPr>
          <w:sz w:val="18"/>
          <w:szCs w:val="18"/>
        </w:rPr>
      </w:pPr>
    </w:p>
    <w:p w:rsidR="00676E79" w:rsidRDefault="00676E79"/>
    <w:sectPr w:rsidR="00676E79" w:rsidSect="0053374E">
      <w:footerReference w:type="default" r:id="rId6"/>
      <w:pgSz w:w="11906" w:h="16838"/>
      <w:pgMar w:top="993" w:right="849" w:bottom="1134" w:left="1134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376C" w:rsidRDefault="0034376C">
      <w:r>
        <w:separator/>
      </w:r>
    </w:p>
  </w:endnote>
  <w:endnote w:type="continuationSeparator" w:id="0">
    <w:p w:rsidR="0034376C" w:rsidRDefault="003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48AD" w:rsidRDefault="003437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376C" w:rsidRDefault="0034376C">
      <w:r>
        <w:separator/>
      </w:r>
    </w:p>
  </w:footnote>
  <w:footnote w:type="continuationSeparator" w:id="0">
    <w:p w:rsidR="0034376C" w:rsidRDefault="00343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57"/>
    <w:rsid w:val="0007395E"/>
    <w:rsid w:val="003121D4"/>
    <w:rsid w:val="0034376C"/>
    <w:rsid w:val="00504557"/>
    <w:rsid w:val="006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577C8-2ABB-489F-ADE1-46F313BE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739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39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073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7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Романчук Руслан Васильевич</dc:creator>
  <cp:keywords/>
  <dc:description/>
  <cp:lastModifiedBy>1</cp:lastModifiedBy>
  <cp:revision>2</cp:revision>
  <dcterms:created xsi:type="dcterms:W3CDTF">2025-01-20T07:08:00Z</dcterms:created>
  <dcterms:modified xsi:type="dcterms:W3CDTF">2025-01-20T07:08:00Z</dcterms:modified>
</cp:coreProperties>
</file>