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 xml:space="preserve">Максимальный размер задолженности для инициирования гражданином процедуры внесудебного банкротства повысили до 1 </w:t>
      </w:r>
      <w:proofErr w:type="gramStart"/>
      <w:r>
        <w:rPr>
          <w:rStyle w:val="a4"/>
          <w:rFonts w:ascii="Arial" w:hAnsi="Arial" w:cs="Arial"/>
          <w:color w:val="666666"/>
        </w:rPr>
        <w:t>млн</w:t>
      </w:r>
      <w:proofErr w:type="gramEnd"/>
      <w:r>
        <w:rPr>
          <w:rStyle w:val="a4"/>
          <w:rFonts w:ascii="Arial" w:hAnsi="Arial" w:cs="Arial"/>
          <w:color w:val="666666"/>
        </w:rPr>
        <w:t xml:space="preserve"> рублей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Соответствующие изменения внесены 04.08.2023 в Федеральный закон «О несостоятельности (банкротстве)» и отдельные законодательные акты Российской Федерации».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до 25 тыс. рублей снижен минимальный размер долга для внесудебного банкротства.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Кроме этого, расширен круг лиц, которые вправе воспользоваться процедурой внесудебного банкротства. </w:t>
      </w:r>
      <w:proofErr w:type="gramStart"/>
      <w:r>
        <w:rPr>
          <w:rFonts w:ascii="Arial" w:hAnsi="Arial" w:cs="Arial"/>
          <w:color w:val="666666"/>
        </w:rPr>
        <w:t>В него включены граждане, в отношении которых не менее одного года до даты обращения с заявлением о признании банкротом во внесудебном порядке выдан исполнительный документ, который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</w:t>
      </w:r>
      <w:proofErr w:type="gramEnd"/>
      <w:r>
        <w:rPr>
          <w:rFonts w:ascii="Arial" w:hAnsi="Arial" w:cs="Arial"/>
          <w:color w:val="666666"/>
        </w:rPr>
        <w:t xml:space="preserve"> ребенка.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Согласно внесенным изменениям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</w:t>
      </w:r>
    </w:p>
    <w:p w:rsidR="00B42B08" w:rsidRDefault="00894C07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5"/>
    <w:rsid w:val="0008576C"/>
    <w:rsid w:val="002D1906"/>
    <w:rsid w:val="00894C07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2023-11-08T06:55:00Z</dcterms:created>
  <dcterms:modified xsi:type="dcterms:W3CDTF">2023-11-08T06:55:00Z</dcterms:modified>
</cp:coreProperties>
</file>