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 xml:space="preserve">сельского поселения </w:t>
      </w:r>
      <w:proofErr w:type="spellStart"/>
      <w:r w:rsidRPr="00187329">
        <w:rPr>
          <w:b/>
        </w:rPr>
        <w:t>Горноправдинск</w:t>
      </w:r>
      <w:proofErr w:type="spellEnd"/>
      <w:r w:rsidRPr="00187329">
        <w:rPr>
          <w:b/>
        </w:rPr>
        <w:t>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proofErr w:type="spellStart"/>
      <w:r w:rsidRPr="00187329">
        <w:rPr>
          <w:b/>
        </w:rPr>
        <w:t>Горноправдинск</w:t>
      </w:r>
      <w:proofErr w:type="spellEnd"/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</w:t>
      </w:r>
      <w:proofErr w:type="gramStart"/>
      <w:r w:rsidRPr="00187329">
        <w:rPr>
          <w:b/>
        </w:rPr>
        <w:t>.Г</w:t>
      </w:r>
      <w:proofErr w:type="gramEnd"/>
      <w:r w:rsidRPr="00187329">
        <w:rPr>
          <w:b/>
        </w:rPr>
        <w:t>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B61BA7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</w:t>
      </w:r>
      <w:proofErr w:type="spellStart"/>
      <w:r w:rsidRPr="00187329">
        <w:rPr>
          <w:sz w:val="24"/>
        </w:rPr>
        <w:t>Горно</w:t>
      </w:r>
      <w:r>
        <w:rPr>
          <w:sz w:val="24"/>
        </w:rPr>
        <w:t>правдинск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Кисельникова</w:t>
      </w:r>
      <w:proofErr w:type="spellEnd"/>
      <w:r>
        <w:rPr>
          <w:sz w:val="24"/>
        </w:rPr>
        <w:t xml:space="preserve"> Наталья Алексеевна</w:t>
      </w:r>
    </w:p>
    <w:p w:rsidR="00B61BA7" w:rsidRDefault="00B61BA7" w:rsidP="00B61BA7">
      <w:pPr>
        <w:jc w:val="center"/>
        <w:rPr>
          <w:b/>
          <w:sz w:val="28"/>
          <w:szCs w:val="28"/>
        </w:rPr>
      </w:pP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  <w:proofErr w:type="gramEnd"/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lastRenderedPageBreak/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Органам местного самоуправления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передать на 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B61BA7" w:rsidRPr="00B61BA7">
        <w:rPr>
          <w:sz w:val="28"/>
          <w:szCs w:val="28"/>
        </w:rPr>
        <w:t xml:space="preserve">Мемориальный комплекс «Аллея Славы» по ул. Победы, № 3а, п. </w:t>
      </w:r>
      <w:proofErr w:type="spellStart"/>
      <w:r w:rsidR="00B61BA7" w:rsidRPr="00B61BA7">
        <w:rPr>
          <w:sz w:val="28"/>
          <w:szCs w:val="28"/>
        </w:rPr>
        <w:t>Горноправдинск</w:t>
      </w:r>
      <w:proofErr w:type="spellEnd"/>
      <w:r w:rsidRPr="00B61BA7">
        <w:rPr>
          <w:rFonts w:eastAsiaTheme="minorHAnsi"/>
          <w:sz w:val="28"/>
          <w:szCs w:val="28"/>
          <w:lang w:eastAsia="en-US"/>
        </w:rPr>
        <w:t>» муниципальной программы Ханты-Мансийского района «</w:t>
      </w:r>
      <w:r w:rsidR="00B61BA7" w:rsidRPr="00B61BA7">
        <w:rPr>
          <w:bCs/>
          <w:sz w:val="28"/>
          <w:szCs w:val="28"/>
        </w:rPr>
        <w:t>Развитие и модернизация жилищно-коммунального комплекса</w:t>
      </w:r>
      <w:proofErr w:type="gramEnd"/>
      <w:r w:rsidR="00B61BA7" w:rsidRPr="00B61BA7">
        <w:rPr>
          <w:bCs/>
          <w:sz w:val="28"/>
          <w:szCs w:val="28"/>
        </w:rPr>
        <w:t xml:space="preserve"> и повышение энергетической эффективности </w:t>
      </w:r>
      <w:proofErr w:type="gramStart"/>
      <w:r w:rsidR="00B61BA7" w:rsidRPr="00B61BA7">
        <w:rPr>
          <w:bCs/>
          <w:sz w:val="28"/>
          <w:szCs w:val="28"/>
        </w:rPr>
        <w:t>в</w:t>
      </w:r>
      <w:proofErr w:type="gramEnd"/>
      <w:r w:rsidR="00B61BA7" w:rsidRPr="00B61BA7">
        <w:rPr>
          <w:bCs/>
          <w:sz w:val="28"/>
          <w:szCs w:val="28"/>
        </w:rPr>
        <w:t xml:space="preserve"> </w:t>
      </w:r>
      <w:proofErr w:type="gramStart"/>
      <w:r w:rsidR="00B61BA7" w:rsidRPr="00B61BA7">
        <w:rPr>
          <w:bCs/>
          <w:sz w:val="28"/>
          <w:szCs w:val="28"/>
        </w:rPr>
        <w:t>Ханты-Мансийском</w:t>
      </w:r>
      <w:proofErr w:type="gramEnd"/>
      <w:r w:rsidR="00B61BA7" w:rsidRPr="00B61BA7">
        <w:rPr>
          <w:bCs/>
          <w:sz w:val="28"/>
          <w:szCs w:val="28"/>
        </w:rPr>
        <w:t xml:space="preserve"> районе на 2019 – 2024 годы</w:t>
      </w:r>
      <w:r w:rsidRPr="00B61BA7">
        <w:rPr>
          <w:rFonts w:eastAsiaTheme="minorHAnsi"/>
          <w:sz w:val="28"/>
          <w:szCs w:val="28"/>
          <w:lang w:eastAsia="en-US"/>
        </w:rPr>
        <w:t>»,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</w:t>
      </w:r>
      <w:r w:rsidR="00B61BA7">
        <w:rPr>
          <w:rFonts w:eastAsiaTheme="minorHAnsi"/>
          <w:bCs/>
          <w:sz w:val="28"/>
          <w:szCs w:val="28"/>
          <w:lang w:eastAsia="en-US"/>
        </w:rPr>
        <w:t>12</w:t>
      </w:r>
      <w:r>
        <w:rPr>
          <w:rFonts w:eastAsiaTheme="minorHAnsi"/>
          <w:bCs/>
          <w:sz w:val="28"/>
          <w:szCs w:val="28"/>
          <w:lang w:eastAsia="en-US"/>
        </w:rPr>
        <w:t>.11.201</w:t>
      </w:r>
      <w:r w:rsidR="00B61BA7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 xml:space="preserve"> № 3</w:t>
      </w:r>
      <w:r w:rsidR="00B61BA7">
        <w:rPr>
          <w:rFonts w:eastAsiaTheme="minorHAnsi"/>
          <w:bCs/>
          <w:sz w:val="28"/>
          <w:szCs w:val="28"/>
          <w:lang w:eastAsia="en-US"/>
        </w:rPr>
        <w:t>28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сельского поселения Горноправдинск заключить с Администрацией Ханты-Мансийского района дополнительное соглашение к Соглашению № 1 от 0</w:t>
      </w:r>
      <w:r w:rsidR="00B61BA7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B61BA7">
        <w:rPr>
          <w:sz w:val="28"/>
          <w:szCs w:val="28"/>
        </w:rPr>
        <w:t>8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201</w:t>
      </w:r>
      <w:r w:rsidR="0016364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22CDF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6722">
        <w:rPr>
          <w:rFonts w:ascii="Times New Roman" w:hAnsi="Times New Roman" w:cs="Times New Roman"/>
          <w:sz w:val="24"/>
          <w:szCs w:val="24"/>
        </w:rPr>
        <w:t>4</w:t>
      </w:r>
      <w:r w:rsidR="00892315">
        <w:rPr>
          <w:rFonts w:ascii="Times New Roman" w:hAnsi="Times New Roman" w:cs="Times New Roman"/>
          <w:sz w:val="24"/>
          <w:szCs w:val="24"/>
        </w:rPr>
        <w:t xml:space="preserve"> июл</w:t>
      </w:r>
      <w:r w:rsidR="00892315" w:rsidRPr="00F5128C">
        <w:rPr>
          <w:rFonts w:ascii="Times New Roman" w:hAnsi="Times New Roman" w:cs="Times New Roman"/>
          <w:sz w:val="24"/>
          <w:szCs w:val="24"/>
        </w:rPr>
        <w:t>я 201</w:t>
      </w:r>
      <w:r w:rsidR="00892315">
        <w:rPr>
          <w:rFonts w:ascii="Times New Roman" w:hAnsi="Times New Roman" w:cs="Times New Roman"/>
          <w:sz w:val="24"/>
          <w:szCs w:val="24"/>
        </w:rPr>
        <w:t>9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892315"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2315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92315"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Репановой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 xml:space="preserve">разработан проект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287301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что возникла потребность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</w:t>
      </w:r>
      <w:proofErr w:type="spellStart"/>
      <w:r w:rsidRPr="00287301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87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28C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22CDF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6722">
        <w:rPr>
          <w:rFonts w:ascii="Times New Roman" w:hAnsi="Times New Roman" w:cs="Times New Roman"/>
          <w:sz w:val="24"/>
          <w:szCs w:val="24"/>
        </w:rPr>
        <w:t>4</w:t>
      </w:r>
      <w:r w:rsidR="00892315" w:rsidRPr="00DA3DEC">
        <w:rPr>
          <w:rFonts w:ascii="Times New Roman" w:hAnsi="Times New Roman" w:cs="Times New Roman"/>
          <w:sz w:val="24"/>
          <w:szCs w:val="24"/>
        </w:rPr>
        <w:t xml:space="preserve"> </w:t>
      </w:r>
      <w:r w:rsidR="00892315">
        <w:rPr>
          <w:rFonts w:ascii="Times New Roman" w:hAnsi="Times New Roman" w:cs="Times New Roman"/>
          <w:sz w:val="24"/>
          <w:szCs w:val="24"/>
        </w:rPr>
        <w:t xml:space="preserve">  июл</w:t>
      </w:r>
      <w:r w:rsidR="00892315" w:rsidRPr="00DA3DEC">
        <w:rPr>
          <w:rFonts w:ascii="Times New Roman" w:hAnsi="Times New Roman" w:cs="Times New Roman"/>
          <w:sz w:val="24"/>
          <w:szCs w:val="24"/>
        </w:rPr>
        <w:t>я 201</w:t>
      </w:r>
      <w:r w:rsidR="00892315">
        <w:rPr>
          <w:rFonts w:ascii="Times New Roman" w:hAnsi="Times New Roman" w:cs="Times New Roman"/>
          <w:sz w:val="24"/>
          <w:szCs w:val="24"/>
        </w:rPr>
        <w:t>9</w:t>
      </w:r>
      <w:r w:rsidR="00892315" w:rsidRPr="00DA3D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</w:r>
      <w:r w:rsidR="00892315" w:rsidRPr="00DA3DE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892315" w:rsidRPr="00DA3DE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2315" w:rsidRPr="00DA3DE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92315" w:rsidRPr="00DA3DE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Репанова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решения Совета депутатов 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>,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передача части полномочий от органов местного самоуправления 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DA3DEC">
        <w:t xml:space="preserve">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92315" w:rsidRPr="00DA3DEC" w:rsidRDefault="00892315" w:rsidP="00892315">
      <w:pPr>
        <w:ind w:firstLine="708"/>
        <w:jc w:val="both"/>
      </w:pPr>
      <w:proofErr w:type="gramStart"/>
      <w:r w:rsidRPr="00DA3DEC">
        <w:t xml:space="preserve">Согласно пункту 2 статьи 3 Устава сельского поселения </w:t>
      </w:r>
      <w:proofErr w:type="spellStart"/>
      <w:r w:rsidRPr="00DA3DEC">
        <w:t>Горноправдинск</w:t>
      </w:r>
      <w:proofErr w:type="spellEnd"/>
      <w:r w:rsidRPr="00DA3DEC">
        <w:t xml:space="preserve">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892315" w:rsidRPr="00DA3DEC" w:rsidRDefault="00892315" w:rsidP="00892315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</w:t>
      </w:r>
      <w:r w:rsidRPr="00DA3DEC">
        <w:lastRenderedPageBreak/>
        <w:t xml:space="preserve">(части полномочий) по решению вопросов местного значения, утвержденного решением Совета депутатов сельского поселения </w:t>
      </w:r>
      <w:proofErr w:type="spellStart"/>
      <w:r w:rsidRPr="00DA3DEC">
        <w:t>Горноправдинск</w:t>
      </w:r>
      <w:proofErr w:type="spellEnd"/>
      <w:r w:rsidRPr="00DA3DEC">
        <w:t xml:space="preserve">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DA3DEC">
        <w:t>Горноправдинск</w:t>
      </w:r>
      <w:proofErr w:type="spellEnd"/>
      <w:r w:rsidRPr="00DA3DEC">
        <w:t xml:space="preserve"> - Совета депутатов сельского поселения </w:t>
      </w:r>
      <w:proofErr w:type="spellStart"/>
      <w:r w:rsidRPr="00DA3DEC">
        <w:t>Горноправдинск</w:t>
      </w:r>
      <w:proofErr w:type="spellEnd"/>
      <w:r w:rsidRPr="00DA3DEC">
        <w:t>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DA3DEC">
        <w:t>Горноправдинск</w:t>
      </w:r>
      <w:proofErr w:type="spellEnd"/>
      <w:r w:rsidRPr="00DA3DEC">
        <w:t xml:space="preserve">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</w:t>
      </w:r>
      <w:proofErr w:type="spellStart"/>
      <w:r w:rsidRPr="00DA3DEC">
        <w:t>Горноправдинск</w:t>
      </w:r>
      <w:proofErr w:type="spellEnd"/>
      <w:r w:rsidRPr="00DA3DEC">
        <w:t xml:space="preserve"> от 12.12.2014 № 44.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 xml:space="preserve">Изучение Проекта на наличие </w:t>
      </w:r>
      <w:proofErr w:type="spellStart"/>
      <w:r w:rsidRPr="00DA3DEC">
        <w:t>коррупциогенных</w:t>
      </w:r>
      <w:proofErr w:type="spellEnd"/>
      <w:r w:rsidRPr="00DA3DE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 xml:space="preserve">. 3 Методики </w:t>
      </w:r>
      <w:proofErr w:type="spellStart"/>
      <w:r w:rsidRPr="00DA3DEC">
        <w:t>коррупциогенного</w:t>
      </w:r>
      <w:proofErr w:type="spellEnd"/>
      <w:r w:rsidRPr="00DA3DEC">
        <w:t xml:space="preserve"> фактора, устанавливающего для </w:t>
      </w:r>
      <w:proofErr w:type="spellStart"/>
      <w:r w:rsidRPr="00DA3DEC">
        <w:t>правоприменителя</w:t>
      </w:r>
      <w:proofErr w:type="spellEnd"/>
      <w:r w:rsidRPr="00DA3DE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3DEC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proofErr w:type="spellStart"/>
      <w:r w:rsidRPr="00DC74F7">
        <w:t>Горноправдинск</w:t>
      </w:r>
      <w:proofErr w:type="spellEnd"/>
      <w:r w:rsidRPr="00DC74F7">
        <w:t xml:space="preserve">                                                                                          </w:t>
      </w:r>
      <w:r w:rsidR="00822CDF">
        <w:t>2</w:t>
      </w:r>
      <w:r w:rsidR="005D6722">
        <w:t>4</w:t>
      </w:r>
      <w:bookmarkStart w:id="0" w:name="_GoBack"/>
      <w:bookmarkEnd w:id="0"/>
      <w:r>
        <w:t xml:space="preserve">   июл</w:t>
      </w:r>
      <w:r w:rsidRPr="00DC74F7">
        <w:t>я 201</w:t>
      </w:r>
      <w:r>
        <w:t>9</w:t>
      </w:r>
      <w:r w:rsidRPr="00DC74F7">
        <w:t xml:space="preserve"> 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 xml:space="preserve">Рассмотрев проект решения Совета депутатов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 xml:space="preserve">я, начальник финансово-экономического отдела администрации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  </w:t>
      </w:r>
      <w:proofErr w:type="spellStart"/>
      <w:r w:rsidRPr="00DC74F7">
        <w:t>Кисельникова</w:t>
      </w:r>
      <w:proofErr w:type="spellEnd"/>
      <w:r w:rsidRPr="00DC74F7">
        <w:t xml:space="preserve"> Наталья Алексеевна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Проект решения разработан в соответствии с полномочиями органа местного самоуправления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 - администрации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 (инициатор) и подлежит принятию надлежащим органом – Советом депутатов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>
        <w:t>869</w:t>
      </w:r>
      <w:r w:rsidRPr="00DA3DEC">
        <w:t xml:space="preserve"> </w:t>
      </w:r>
      <w:r>
        <w:t>21</w:t>
      </w:r>
      <w:r w:rsidR="00B4370F">
        <w:t>6</w:t>
      </w:r>
      <w:r w:rsidRPr="00DA3DEC">
        <w:t xml:space="preserve"> рубл</w:t>
      </w:r>
      <w:r>
        <w:t>ей</w:t>
      </w:r>
      <w:r w:rsidRPr="00DA3DEC">
        <w:t xml:space="preserve"> </w:t>
      </w:r>
      <w:r w:rsidR="00B4370F">
        <w:t>97</w:t>
      </w:r>
      <w:r w:rsidRPr="00DC74F7">
        <w:t xml:space="preserve"> копеек (</w:t>
      </w:r>
      <w:r>
        <w:t>Восемьсот шестьдесят девять</w:t>
      </w:r>
      <w:r w:rsidRPr="00DC74F7">
        <w:t xml:space="preserve"> тысяч</w:t>
      </w:r>
      <w:r>
        <w:t xml:space="preserve"> двести </w:t>
      </w:r>
      <w:r w:rsidR="00B4370F">
        <w:t xml:space="preserve">шестнадцать </w:t>
      </w:r>
      <w:r>
        <w:t xml:space="preserve"> </w:t>
      </w:r>
      <w:r w:rsidRPr="00DC74F7">
        <w:t>рубл</w:t>
      </w:r>
      <w:r>
        <w:t>ей</w:t>
      </w:r>
      <w:r w:rsidRPr="00DC74F7">
        <w:t xml:space="preserve"> </w:t>
      </w:r>
      <w:r w:rsidR="00B4370F">
        <w:t>97</w:t>
      </w:r>
      <w:r w:rsidRPr="00DC74F7">
        <w:t xml:space="preserve"> </w:t>
      </w:r>
      <w:r w:rsidRPr="001576DF">
        <w:t xml:space="preserve">копеек) предусмотрены  в бюджете сельского поселения </w:t>
      </w:r>
      <w:proofErr w:type="spellStart"/>
      <w:r w:rsidRPr="001576DF">
        <w:t>Горноправдинск</w:t>
      </w:r>
      <w:proofErr w:type="spellEnd"/>
      <w:r w:rsidRPr="001576DF">
        <w:t>.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Замечаний по указанному проекту решения Совета депутатов сельского поселения </w:t>
      </w:r>
      <w:proofErr w:type="spellStart"/>
      <w:r w:rsidRPr="00DC74F7">
        <w:t>Горноправдинск</w:t>
      </w:r>
      <w:proofErr w:type="spellEnd"/>
      <w:r w:rsidRPr="00DC74F7">
        <w:t xml:space="preserve">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892315" w:rsidRDefault="00892315" w:rsidP="00892315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</w:t>
      </w:r>
      <w:proofErr w:type="spellStart"/>
      <w:r>
        <w:t>Горноправдинск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Н.А. </w:t>
      </w:r>
      <w:proofErr w:type="spellStart"/>
      <w:r>
        <w:t>Кисельникова</w:t>
      </w:r>
      <w:proofErr w:type="spellEnd"/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6434CB"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619BB"/>
    <w:rsid w:val="00145112"/>
    <w:rsid w:val="00163648"/>
    <w:rsid w:val="00324F34"/>
    <w:rsid w:val="003C15FE"/>
    <w:rsid w:val="00535CC4"/>
    <w:rsid w:val="005D6722"/>
    <w:rsid w:val="006434CB"/>
    <w:rsid w:val="00822CDF"/>
    <w:rsid w:val="00892315"/>
    <w:rsid w:val="0093130E"/>
    <w:rsid w:val="00B4370F"/>
    <w:rsid w:val="00B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Валентина Владимиров</cp:lastModifiedBy>
  <cp:revision>6</cp:revision>
  <cp:lastPrinted>2018-12-04T10:46:00Z</cp:lastPrinted>
  <dcterms:created xsi:type="dcterms:W3CDTF">2018-12-04T10:34:00Z</dcterms:created>
  <dcterms:modified xsi:type="dcterms:W3CDTF">2019-07-24T06:34:00Z</dcterms:modified>
</cp:coreProperties>
</file>